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B84E" w14:textId="489B578A" w:rsidR="00925297" w:rsidRPr="00903A87" w:rsidRDefault="00903A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3A87">
        <w:rPr>
          <w:rFonts w:ascii="Times New Roman" w:hAnsi="Times New Roman" w:cs="Times New Roman"/>
          <w:b/>
          <w:bCs/>
          <w:sz w:val="24"/>
          <w:szCs w:val="24"/>
          <w:u w:val="single"/>
        </w:rPr>
        <w:t>Appendix 10: Energy Efficiency</w:t>
      </w:r>
    </w:p>
    <w:p w14:paraId="0B1DD650" w14:textId="77777777" w:rsidR="00903A87" w:rsidRDefault="00903A8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002E697" w14:textId="2D050F2E" w:rsidR="00903A87" w:rsidRPr="00420167" w:rsidRDefault="00903A87" w:rsidP="00903A8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4F450" w14:textId="77777777" w:rsidR="00903A87" w:rsidRPr="00420167" w:rsidRDefault="00903A87" w:rsidP="00903A87">
      <w:pPr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67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Energy usage at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Field House Farm</w:t>
      </w:r>
      <w:r w:rsidRPr="004201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 as follows:</w:t>
      </w:r>
    </w:p>
    <w:p w14:paraId="282D8984" w14:textId="77777777" w:rsidR="00903A87" w:rsidRPr="00420167" w:rsidRDefault="00903A87" w:rsidP="00903A8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2" w:type="dxa"/>
        </w:tblCellMar>
        <w:tblLook w:val="0000" w:firstRow="0" w:lastRow="0" w:firstColumn="0" w:lastColumn="0" w:noHBand="0" w:noVBand="0"/>
      </w:tblPr>
      <w:tblGrid>
        <w:gridCol w:w="2327"/>
        <w:gridCol w:w="5952"/>
      </w:tblGrid>
      <w:tr w:rsidR="00903A87" w:rsidRPr="00420167" w14:paraId="27280596" w14:textId="77777777" w:rsidTr="001715DD">
        <w:trPr>
          <w:trHeight w:val="159"/>
        </w:trPr>
        <w:tc>
          <w:tcPr>
            <w:tcW w:w="2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-12" w:type="dxa"/>
            </w:tcMar>
          </w:tcPr>
          <w:p w14:paraId="76014885" w14:textId="77777777" w:rsidR="00903A87" w:rsidRPr="00420167" w:rsidRDefault="00903A87" w:rsidP="001715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Energy source </w:t>
            </w:r>
          </w:p>
        </w:tc>
        <w:tc>
          <w:tcPr>
            <w:tcW w:w="5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-12" w:type="dxa"/>
            </w:tcMar>
          </w:tcPr>
          <w:p w14:paraId="2A47FFAB" w14:textId="77777777" w:rsidR="00903A87" w:rsidRPr="00420167" w:rsidRDefault="00903A87" w:rsidP="001715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Use </w:t>
            </w:r>
          </w:p>
        </w:tc>
      </w:tr>
      <w:tr w:rsidR="00903A87" w:rsidRPr="00420167" w14:paraId="52563D24" w14:textId="77777777" w:rsidTr="001715DD">
        <w:trPr>
          <w:trHeight w:val="297"/>
        </w:trPr>
        <w:tc>
          <w:tcPr>
            <w:tcW w:w="2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2" w:type="dxa"/>
            </w:tcMar>
          </w:tcPr>
          <w:p w14:paraId="456B0364" w14:textId="77777777" w:rsidR="00903A87" w:rsidRPr="00420167" w:rsidRDefault="00903A87" w:rsidP="001715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Electricity </w:t>
            </w:r>
          </w:p>
        </w:tc>
        <w:tc>
          <w:tcPr>
            <w:tcW w:w="5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2" w:type="dxa"/>
            </w:tcMar>
          </w:tcPr>
          <w:p w14:paraId="356DDA23" w14:textId="77777777" w:rsidR="00903A87" w:rsidRPr="00420167" w:rsidRDefault="00903A87" w:rsidP="001715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Lighting,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fan </w:t>
            </w:r>
            <w:r w:rsidRPr="00420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and ACNV curtains (where applicable), </w:t>
            </w:r>
            <w:r w:rsidRPr="00420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 control systems, feed augers, water pumps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pressure washing</w:t>
            </w:r>
            <w:r w:rsidRPr="00420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3A87" w:rsidRPr="00420167" w14:paraId="28C98C15" w14:textId="77777777" w:rsidTr="001715DD">
        <w:trPr>
          <w:trHeight w:val="159"/>
        </w:trPr>
        <w:tc>
          <w:tcPr>
            <w:tcW w:w="2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2" w:type="dxa"/>
            </w:tcMar>
          </w:tcPr>
          <w:p w14:paraId="51747268" w14:textId="77777777" w:rsidR="00903A87" w:rsidRPr="00420167" w:rsidRDefault="00903A87" w:rsidP="001715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Bottled gas </w:t>
            </w:r>
          </w:p>
        </w:tc>
        <w:tc>
          <w:tcPr>
            <w:tcW w:w="5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2" w:type="dxa"/>
            </w:tcMar>
          </w:tcPr>
          <w:p w14:paraId="7B55E1EF" w14:textId="77777777" w:rsidR="00903A87" w:rsidRPr="00420167" w:rsidRDefault="00903A87" w:rsidP="001715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903A87" w:rsidRPr="00420167" w14:paraId="155DBE5C" w14:textId="77777777" w:rsidTr="001715DD">
        <w:trPr>
          <w:trHeight w:val="297"/>
        </w:trPr>
        <w:tc>
          <w:tcPr>
            <w:tcW w:w="2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2" w:type="dxa"/>
            </w:tcMar>
          </w:tcPr>
          <w:p w14:paraId="570FB7A7" w14:textId="77777777" w:rsidR="00903A87" w:rsidRPr="00420167" w:rsidRDefault="00903A87" w:rsidP="001715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Diesel </w:t>
            </w:r>
          </w:p>
        </w:tc>
        <w:tc>
          <w:tcPr>
            <w:tcW w:w="5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2" w:type="dxa"/>
            </w:tcMar>
          </w:tcPr>
          <w:p w14:paraId="11055A16" w14:textId="076853AF" w:rsidR="00903A87" w:rsidRPr="00420167" w:rsidRDefault="00903A87" w:rsidP="001715D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Vehicles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pressure washer</w:t>
            </w:r>
          </w:p>
        </w:tc>
      </w:tr>
    </w:tbl>
    <w:p w14:paraId="485C8405" w14:textId="77777777" w:rsidR="00903A87" w:rsidRPr="00420167" w:rsidRDefault="00903A87" w:rsidP="00903A87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41A14A" w14:textId="77777777" w:rsidR="00903A87" w:rsidRPr="00420167" w:rsidRDefault="00903A87" w:rsidP="00903A8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0D555D3" w14:textId="77777777" w:rsidR="00903A87" w:rsidRPr="00420167" w:rsidRDefault="00903A87" w:rsidP="00903A87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Basic energy requirements</w:t>
      </w:r>
    </w:p>
    <w:p w14:paraId="634A2D22" w14:textId="77777777" w:rsidR="00903A87" w:rsidRPr="00420167" w:rsidRDefault="00903A87" w:rsidP="00903A87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B25502" w14:textId="77777777" w:rsidR="00903A87" w:rsidRPr="00420167" w:rsidRDefault="00903A87" w:rsidP="00903A87">
      <w:pPr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73F787" w14:textId="77777777" w:rsidR="00903A87" w:rsidRPr="00420167" w:rsidRDefault="00903A87" w:rsidP="00903A87">
      <w:pPr>
        <w:pStyle w:val="ListParagraph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color w:val="000000"/>
          <w:sz w:val="24"/>
          <w:szCs w:val="24"/>
        </w:rPr>
        <w:t xml:space="preserve">Control sensors are checked in accordance with manufacturer’s instructions and kept clean so they are able to detect the temperature at the stock level </w:t>
      </w:r>
    </w:p>
    <w:p w14:paraId="66EBF305" w14:textId="77777777" w:rsidR="00903A87" w:rsidRPr="00420167" w:rsidRDefault="00903A87" w:rsidP="00903A87">
      <w:pPr>
        <w:pStyle w:val="ListParagraph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color w:val="000000"/>
          <w:sz w:val="24"/>
          <w:szCs w:val="24"/>
        </w:rPr>
        <w:t>Ventilation rates are computer controlled to minimise</w:t>
      </w:r>
      <w:r w:rsidRPr="00295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167">
        <w:rPr>
          <w:rFonts w:ascii="Times New Roman" w:hAnsi="Times New Roman" w:cs="Times New Roman"/>
          <w:color w:val="000000"/>
          <w:sz w:val="24"/>
          <w:szCs w:val="24"/>
        </w:rPr>
        <w:t xml:space="preserve">heat losses from the sheds, as far as the indoor requirements allow </w:t>
      </w:r>
    </w:p>
    <w:p w14:paraId="04D70620" w14:textId="77777777" w:rsidR="00903A87" w:rsidRPr="00420167" w:rsidRDefault="00903A87" w:rsidP="00903A87">
      <w:pPr>
        <w:pStyle w:val="ListParagraph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color w:val="000000"/>
          <w:sz w:val="24"/>
          <w:szCs w:val="24"/>
        </w:rPr>
        <w:t xml:space="preserve">The sheds are maintained in good condition </w:t>
      </w:r>
    </w:p>
    <w:p w14:paraId="48129E0A" w14:textId="77777777" w:rsidR="00903A87" w:rsidRPr="00420167" w:rsidRDefault="00903A87" w:rsidP="00903A87">
      <w:pPr>
        <w:pStyle w:val="ListParagraph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color w:val="000000"/>
          <w:sz w:val="24"/>
          <w:szCs w:val="24"/>
        </w:rPr>
        <w:t xml:space="preserve">The sheds are fully insulated to reduce condensation, heat loss and solar gain </w:t>
      </w:r>
    </w:p>
    <w:p w14:paraId="0D45CA1D" w14:textId="77777777" w:rsidR="00903A87" w:rsidRPr="00420167" w:rsidRDefault="00903A87" w:rsidP="00903A87">
      <w:pPr>
        <w:pStyle w:val="ListParagraph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color w:val="000000"/>
          <w:sz w:val="24"/>
          <w:szCs w:val="24"/>
        </w:rPr>
        <w:t xml:space="preserve">The flooring is maintained, and </w:t>
      </w:r>
      <w:r>
        <w:rPr>
          <w:rFonts w:ascii="Times New Roman" w:hAnsi="Times New Roman" w:cs="Times New Roman"/>
          <w:color w:val="000000"/>
          <w:sz w:val="24"/>
          <w:szCs w:val="24"/>
        </w:rPr>
        <w:t>damage is</w:t>
      </w:r>
      <w:r w:rsidRPr="00420167">
        <w:rPr>
          <w:rFonts w:ascii="Times New Roman" w:hAnsi="Times New Roman" w:cs="Times New Roman"/>
          <w:color w:val="000000"/>
          <w:sz w:val="24"/>
          <w:szCs w:val="24"/>
        </w:rPr>
        <w:t xml:space="preserve"> repaired </w:t>
      </w:r>
    </w:p>
    <w:p w14:paraId="49678444" w14:textId="77777777" w:rsidR="00903A87" w:rsidRPr="00420167" w:rsidRDefault="00903A87" w:rsidP="00903A87">
      <w:pPr>
        <w:pStyle w:val="ListParagraph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49F45B" w14:textId="77777777" w:rsidR="00903A87" w:rsidRPr="00420167" w:rsidRDefault="00903A87" w:rsidP="00903A8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FFDC1" w14:textId="77777777" w:rsidR="00903A87" w:rsidRPr="00420167" w:rsidRDefault="00903A87" w:rsidP="00903A87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Electricity</w:t>
      </w:r>
    </w:p>
    <w:p w14:paraId="3726C5E2" w14:textId="77777777" w:rsidR="00903A87" w:rsidRPr="00420167" w:rsidRDefault="00903A87" w:rsidP="00903A87">
      <w:pPr>
        <w:pStyle w:val="ListParagraph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color w:val="000000"/>
          <w:sz w:val="24"/>
          <w:szCs w:val="24"/>
        </w:rPr>
        <w:t xml:space="preserve">The ventilation fans 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new </w:t>
      </w:r>
      <w:r w:rsidRPr="00420167">
        <w:rPr>
          <w:rFonts w:ascii="Times New Roman" w:hAnsi="Times New Roman" w:cs="Times New Roman"/>
          <w:color w:val="000000"/>
          <w:sz w:val="24"/>
          <w:szCs w:val="24"/>
        </w:rPr>
        <w:t xml:space="preserve">sheds have been selected so that they are the appropriate power and size for the age and number of animals housed </w:t>
      </w:r>
    </w:p>
    <w:p w14:paraId="658230BD" w14:textId="77777777" w:rsidR="00903A87" w:rsidRPr="00420167" w:rsidRDefault="00903A87" w:rsidP="00903A87">
      <w:pPr>
        <w:pStyle w:val="ListParagraph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color w:val="000000"/>
          <w:sz w:val="24"/>
          <w:szCs w:val="24"/>
        </w:rPr>
        <w:t xml:space="preserve">The computer systems control the ventilation for maximum efficiency </w:t>
      </w:r>
    </w:p>
    <w:p w14:paraId="4E94A0FF" w14:textId="77777777" w:rsidR="00903A87" w:rsidRPr="00420167" w:rsidRDefault="00903A87" w:rsidP="00903A87">
      <w:pPr>
        <w:pStyle w:val="ListParagraph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color w:val="000000"/>
          <w:sz w:val="24"/>
          <w:szCs w:val="24"/>
        </w:rPr>
        <w:t xml:space="preserve">The fans are low energy and are regularly maintained and cleared of debris </w:t>
      </w:r>
    </w:p>
    <w:p w14:paraId="36F1246A" w14:textId="77777777" w:rsidR="00903A87" w:rsidRPr="00420167" w:rsidRDefault="00903A87" w:rsidP="00903A87">
      <w:pPr>
        <w:pStyle w:val="ListParagraph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color w:val="000000"/>
          <w:sz w:val="24"/>
          <w:szCs w:val="24"/>
        </w:rPr>
        <w:t xml:space="preserve">Low energy light bulbs are used in the office and stores </w:t>
      </w:r>
    </w:p>
    <w:p w14:paraId="5C0EBED0" w14:textId="77777777" w:rsidR="00903A87" w:rsidRPr="00420167" w:rsidRDefault="00903A87" w:rsidP="00903A87">
      <w:pPr>
        <w:pStyle w:val="ListParagraph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color w:val="000000"/>
          <w:sz w:val="24"/>
          <w:szCs w:val="24"/>
        </w:rPr>
        <w:t xml:space="preserve">LED lights are used in the sheds. </w:t>
      </w:r>
    </w:p>
    <w:p w14:paraId="3CBB1644" w14:textId="77777777" w:rsidR="00903A87" w:rsidRPr="00420167" w:rsidRDefault="00903A87" w:rsidP="00903A87">
      <w:pPr>
        <w:pStyle w:val="ListParagraph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0520D56" w14:textId="77777777" w:rsidR="00903A87" w:rsidRPr="00420167" w:rsidRDefault="00903A87" w:rsidP="00903A87">
      <w:pPr>
        <w:pStyle w:val="ListParagraph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685E5" w14:textId="77777777" w:rsidR="00903A87" w:rsidRPr="00420167" w:rsidRDefault="00903A87" w:rsidP="00903A87">
      <w:pPr>
        <w:spacing w:after="0" w:line="100" w:lineRule="atLeast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Fuel oil</w:t>
      </w:r>
    </w:p>
    <w:p w14:paraId="3EDB5A2A" w14:textId="77777777" w:rsidR="00903A87" w:rsidRPr="002367EE" w:rsidRDefault="00903A87" w:rsidP="00903A87">
      <w:pPr>
        <w:pStyle w:val="ListParagraph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 is </w:t>
      </w:r>
      <w:r w:rsidRPr="002367EE"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7EE">
        <w:rPr>
          <w:rFonts w:ascii="Times New Roman" w:hAnsi="Times New Roman" w:cs="Times New Roman"/>
          <w:color w:val="000000"/>
          <w:sz w:val="24"/>
          <w:szCs w:val="24"/>
        </w:rPr>
        <w:t>generator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within the installation or primarily used for the pigs. If a generator was required, a mobile generator would be brought in. </w:t>
      </w:r>
      <w:r w:rsidRPr="002367EE">
        <w:rPr>
          <w:rFonts w:ascii="Times New Roman" w:hAnsi="Times New Roman" w:cs="Times New Roman"/>
          <w:color w:val="000000"/>
          <w:sz w:val="24"/>
          <w:szCs w:val="24"/>
        </w:rPr>
        <w:t>There are no fuel tanks located within the installation boundary or specifically related to the pig enterprise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1ECB0A" w14:textId="77777777" w:rsidR="00903A87" w:rsidRPr="00420167" w:rsidRDefault="00903A87" w:rsidP="00903A87">
      <w:pPr>
        <w:pStyle w:val="ListParagraph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color w:val="000000"/>
          <w:sz w:val="24"/>
          <w:szCs w:val="24"/>
        </w:rPr>
        <w:t>Vehicles and tractors are serviced by a contractor at recommended service intervals</w:t>
      </w:r>
    </w:p>
    <w:p w14:paraId="385FE093" w14:textId="77777777" w:rsidR="00903A87" w:rsidRPr="00420167" w:rsidRDefault="00903A87" w:rsidP="00903A87">
      <w:pPr>
        <w:pStyle w:val="ListParagraph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0167">
        <w:rPr>
          <w:rFonts w:ascii="Times New Roman" w:hAnsi="Times New Roman" w:cs="Times New Roman"/>
          <w:sz w:val="24"/>
          <w:szCs w:val="24"/>
        </w:rPr>
        <w:t xml:space="preserve">All staff and contractors employed on site are trained in the efficient use of equipment, 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420167">
        <w:rPr>
          <w:rFonts w:ascii="Times New Roman" w:hAnsi="Times New Roman" w:cs="Times New Roman"/>
          <w:sz w:val="24"/>
          <w:szCs w:val="24"/>
        </w:rPr>
        <w:t>ncluding driving techniques. Training needs are reviewed annually, and as new equipment or techniques are introduced</w:t>
      </w:r>
    </w:p>
    <w:p w14:paraId="51374C1B" w14:textId="77777777" w:rsidR="00903A87" w:rsidRPr="00420167" w:rsidRDefault="00903A87" w:rsidP="00903A87">
      <w:pPr>
        <w:pStyle w:val="ListParagraph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Energy usage is recorded. In accordance with the permit, energy efficiency and usage will be reviewed every four years. Opportunities to improve energy efficiency will be implemented if suitable.    </w:t>
      </w:r>
    </w:p>
    <w:p w14:paraId="516F94D4" w14:textId="77777777" w:rsidR="00903A87" w:rsidRPr="00420167" w:rsidRDefault="00903A87" w:rsidP="00903A87">
      <w:pPr>
        <w:pStyle w:val="ListParagraph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167">
        <w:rPr>
          <w:rFonts w:ascii="Times New Roman" w:hAnsi="Times New Roman" w:cs="Times New Roman"/>
          <w:bCs/>
          <w:color w:val="000000"/>
          <w:sz w:val="24"/>
          <w:szCs w:val="24"/>
        </w:rPr>
        <w:t>We use well maintained machinery with energy efficient engines, on a rotating replacement policy looking for the most energy efficient models.</w:t>
      </w:r>
    </w:p>
    <w:p w14:paraId="40AD6DDF" w14:textId="77777777" w:rsidR="00903A87" w:rsidRPr="00420167" w:rsidRDefault="00903A87" w:rsidP="00903A87">
      <w:pPr>
        <w:spacing w:after="0" w:line="100" w:lineRule="atLeast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CCA38" w14:textId="77777777" w:rsidR="00903A87" w:rsidRPr="00420167" w:rsidRDefault="00903A87" w:rsidP="00903A8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67">
        <w:rPr>
          <w:rFonts w:ascii="Times New Roman" w:hAnsi="Times New Roman" w:cs="Times New Roman"/>
          <w:b/>
          <w:sz w:val="24"/>
          <w:szCs w:val="24"/>
        </w:rPr>
        <w:t>Further potential improvement measures include:</w:t>
      </w:r>
    </w:p>
    <w:p w14:paraId="7AC6A7BF" w14:textId="77777777" w:rsidR="00903A87" w:rsidRDefault="00903A87" w:rsidP="00903A87">
      <w:pPr>
        <w:pStyle w:val="Bulletnormal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20167">
        <w:rPr>
          <w:rFonts w:ascii="Times New Roman" w:hAnsi="Times New Roman"/>
          <w:sz w:val="24"/>
          <w:szCs w:val="24"/>
        </w:rPr>
        <w:t>Installing more energy efficient equipment and controllers, as appropriate, eg lighting timers</w:t>
      </w:r>
    </w:p>
    <w:p w14:paraId="445B791E" w14:textId="77777777" w:rsidR="00BB00CC" w:rsidRDefault="00BB00CC" w:rsidP="00BB00CC">
      <w:pPr>
        <w:pStyle w:val="Bulletnormal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7EE97A9D" w14:textId="77777777" w:rsidR="00BB00CC" w:rsidRDefault="00BB00CC" w:rsidP="00BB00CC">
      <w:pPr>
        <w:pStyle w:val="Bulletnormal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6C3DFCB2" w14:textId="3DA536FD" w:rsidR="00BB00CC" w:rsidRPr="00420167" w:rsidRDefault="00BB00CC" w:rsidP="00BB00CC">
      <w:pPr>
        <w:pStyle w:val="Bullet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Reviewed January 2025</w:t>
      </w:r>
    </w:p>
    <w:p w14:paraId="09878B97" w14:textId="77777777" w:rsidR="00903A87" w:rsidRPr="00903A87" w:rsidRDefault="00903A87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03A87" w:rsidRPr="00903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1D6"/>
    <w:multiLevelType w:val="multilevel"/>
    <w:tmpl w:val="452AD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3B27B1"/>
    <w:multiLevelType w:val="multilevel"/>
    <w:tmpl w:val="EA44C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A55DD6"/>
    <w:multiLevelType w:val="multilevel"/>
    <w:tmpl w:val="3EDA8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1E54D6"/>
    <w:multiLevelType w:val="multilevel"/>
    <w:tmpl w:val="A17EF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20124853">
    <w:abstractNumId w:val="0"/>
  </w:num>
  <w:num w:numId="2" w16cid:durableId="880094561">
    <w:abstractNumId w:val="1"/>
  </w:num>
  <w:num w:numId="3" w16cid:durableId="1308437750">
    <w:abstractNumId w:val="3"/>
  </w:num>
  <w:num w:numId="4" w16cid:durableId="8612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87"/>
    <w:rsid w:val="00181D14"/>
    <w:rsid w:val="00903A87"/>
    <w:rsid w:val="00925297"/>
    <w:rsid w:val="00B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4086"/>
  <w15:chartTrackingRefBased/>
  <w15:docId w15:val="{A4CE2DA2-A840-45C5-A0B5-DE4C6629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A8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903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A87"/>
    <w:rPr>
      <w:b/>
      <w:bCs/>
      <w:smallCaps/>
      <w:color w:val="0F4761" w:themeColor="accent1" w:themeShade="BF"/>
      <w:spacing w:val="5"/>
    </w:rPr>
  </w:style>
  <w:style w:type="paragraph" w:customStyle="1" w:styleId="Bulletnormal">
    <w:name w:val="Bullet normal"/>
    <w:basedOn w:val="Normal"/>
    <w:rsid w:val="00903A87"/>
    <w:pPr>
      <w:suppressAutoHyphens/>
      <w:spacing w:before="60" w:after="60" w:line="100" w:lineRule="atLeast"/>
    </w:pPr>
    <w:rPr>
      <w:rFonts w:ascii="Tahoma" w:eastAsia="Times New Roman" w:hAnsi="Tahoma" w:cs="Times New Roman"/>
      <w:color w:val="00000A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2025-01-09T00:00:00+00:00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EPR-AP3727SU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EPR/AP3727SU</OtherReference>
    <EventLink xmlns="5ffd8e36-f429-4edc-ab50-c5be84842779" xsi:nil="true"/>
    <Customer_x002f_OperatorName xmlns="eebef177-55b5-4448-a5fb-28ea454417ee">John Tindall and Son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2025-01-09T00:00:00+00:00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EPR/AP3727SU/A001</EPRNumber>
    <FacilityAddressPostcode xmlns="eebef177-55b5-4448-a5fb-28ea454417ee">YO17 8SS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John Tindall and Son</ExternalAuthor>
    <SiteName xmlns="eebef177-55b5-4448-a5fb-28ea454417ee">Field House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Field House Farm Yedingham Malton North Yorkshire YO17 8SS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14995C9D-CA76-4F16-B983-857C4F2771C9}"/>
</file>

<file path=customXml/itemProps2.xml><?xml version="1.0" encoding="utf-8"?>
<ds:datastoreItem xmlns:ds="http://schemas.openxmlformats.org/officeDocument/2006/customXml" ds:itemID="{890E6D44-751D-48BD-A0CB-BC689F539AA1}"/>
</file>

<file path=customXml/itemProps3.xml><?xml version="1.0" encoding="utf-8"?>
<ds:datastoreItem xmlns:ds="http://schemas.openxmlformats.org/officeDocument/2006/customXml" ds:itemID="{8D1792AB-753A-475E-827D-1C11BA897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Bentley</dc:creator>
  <cp:keywords/>
  <dc:description/>
  <cp:lastModifiedBy>Lizzie Bentley</cp:lastModifiedBy>
  <cp:revision>2</cp:revision>
  <dcterms:created xsi:type="dcterms:W3CDTF">2025-01-09T23:14:00Z</dcterms:created>
  <dcterms:modified xsi:type="dcterms:W3CDTF">2025-01-09T23:16:00Z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