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EC88" w14:textId="77777777" w:rsidR="00B0060B" w:rsidRPr="000B6D93" w:rsidRDefault="00E47302" w:rsidP="000677A2">
      <w:pPr>
        <w:pStyle w:val="Title"/>
        <w:jc w:val="center"/>
      </w:pPr>
      <w:r w:rsidRPr="000B6D93">
        <w:t>Site Condition Report</w:t>
      </w:r>
    </w:p>
    <w:p w14:paraId="733BE4A9" w14:textId="77777777" w:rsidR="00B0060B" w:rsidRPr="000B6D93" w:rsidRDefault="00B0060B">
      <w:pPr>
        <w:pStyle w:val="BodyText3"/>
        <w:jc w:val="both"/>
        <w:rPr>
          <w:rFonts w:asciiTheme="minorHAnsi" w:hAnsiTheme="minorHAnsi" w:cstheme="minorHAnsi"/>
          <w:sz w:val="24"/>
          <w:szCs w:val="24"/>
        </w:rPr>
      </w:pPr>
    </w:p>
    <w:p w14:paraId="46263FDB" w14:textId="77777777" w:rsidR="00B0060B" w:rsidRPr="000B6D93" w:rsidRDefault="00B0060B">
      <w:pPr>
        <w:jc w:val="center"/>
        <w:rPr>
          <w:rFonts w:asciiTheme="minorHAnsi" w:hAnsiTheme="minorHAnsi" w:cstheme="minorHAnsi"/>
          <w:szCs w:val="24"/>
        </w:rPr>
      </w:pPr>
    </w:p>
    <w:p w14:paraId="446C9FEE" w14:textId="77777777" w:rsidR="00B0060B" w:rsidRPr="000B6D93" w:rsidRDefault="00B0060B">
      <w:pPr>
        <w:pStyle w:val="BodyText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501"/>
        <w:gridCol w:w="4515"/>
      </w:tblGrid>
      <w:tr w:rsidR="00B0060B" w:rsidRPr="000B6D93" w14:paraId="255F030B" w14:textId="77777777">
        <w:trPr>
          <w:trHeight w:val="471"/>
          <w:jc w:val="center"/>
        </w:trPr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73" w:type="dxa"/>
            </w:tcMar>
          </w:tcPr>
          <w:p w14:paraId="16405278" w14:textId="77777777" w:rsidR="00B0060B" w:rsidRPr="000B6D93" w:rsidRDefault="00E47302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0B6D93">
              <w:rPr>
                <w:rFonts w:asciiTheme="minorHAnsi" w:hAnsiTheme="minorHAnsi" w:cstheme="minorHAnsi"/>
                <w:b/>
                <w:szCs w:val="24"/>
              </w:rPr>
              <w:t>1.0 Site details</w:t>
            </w:r>
          </w:p>
        </w:tc>
        <w:tc>
          <w:tcPr>
            <w:tcW w:w="49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13" w:type="dxa"/>
            </w:tcMar>
          </w:tcPr>
          <w:p w14:paraId="3CA87360" w14:textId="77777777" w:rsidR="00B0060B" w:rsidRPr="000B6D93" w:rsidRDefault="00B0060B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060B" w:rsidRPr="000B6D93" w14:paraId="1C1D65C8" w14:textId="77777777" w:rsidTr="00DF3BE6">
        <w:trPr>
          <w:jc w:val="center"/>
        </w:trPr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9047651" w14:textId="77777777" w:rsidR="00B0060B" w:rsidRPr="000B6D93" w:rsidRDefault="00E47302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Name of the applicant</w:t>
            </w:r>
          </w:p>
          <w:p w14:paraId="4B3BD98B" w14:textId="77777777" w:rsidR="00B0060B" w:rsidRPr="000B6D93" w:rsidRDefault="00B0060B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2157459" w14:textId="6E98F0C2" w:rsidR="00B0060B" w:rsidRPr="000B6D93" w:rsidRDefault="00366C46" w:rsidP="009562B1">
            <w:pPr>
              <w:pStyle w:val="StyleBodyText38pt"/>
              <w:ind w:left="0" w:firstLine="0"/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66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Scampston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03EE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</w:p>
        </w:tc>
      </w:tr>
      <w:tr w:rsidR="00B0060B" w:rsidRPr="000B6D93" w14:paraId="32496E69" w14:textId="77777777">
        <w:trPr>
          <w:jc w:val="center"/>
        </w:trPr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ED66F44" w14:textId="77777777" w:rsidR="00B0060B" w:rsidRPr="000B6D93" w:rsidRDefault="00E47302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Activity address</w:t>
            </w:r>
          </w:p>
          <w:p w14:paraId="737753B9" w14:textId="77777777" w:rsidR="00B0060B" w:rsidRPr="000B6D93" w:rsidRDefault="00B0060B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2464264" w14:textId="77777777" w:rsidR="00813818" w:rsidRPr="00813818" w:rsidRDefault="00813818">
            <w:pPr>
              <w:rPr>
                <w:rFonts w:asciiTheme="minorHAnsi" w:hAnsiTheme="minorHAnsi" w:cstheme="minorHAnsi"/>
                <w:szCs w:val="24"/>
              </w:rPr>
            </w:pPr>
            <w:r w:rsidRPr="00813818">
              <w:rPr>
                <w:rFonts w:asciiTheme="minorHAnsi" w:hAnsiTheme="minorHAnsi" w:cstheme="minorHAnsi"/>
                <w:szCs w:val="24"/>
              </w:rPr>
              <w:t xml:space="preserve">Poplars Farm </w:t>
            </w:r>
          </w:p>
          <w:p w14:paraId="4CB24977" w14:textId="77777777" w:rsidR="00813818" w:rsidRPr="00813818" w:rsidRDefault="00813818">
            <w:pPr>
              <w:rPr>
                <w:rFonts w:asciiTheme="minorHAnsi" w:hAnsiTheme="minorHAnsi" w:cstheme="minorHAnsi"/>
                <w:szCs w:val="24"/>
              </w:rPr>
            </w:pPr>
            <w:r w:rsidRPr="00813818">
              <w:rPr>
                <w:rFonts w:asciiTheme="minorHAnsi" w:hAnsiTheme="minorHAnsi" w:cstheme="minorHAnsi"/>
                <w:szCs w:val="24"/>
              </w:rPr>
              <w:t xml:space="preserve">Malton Road </w:t>
            </w:r>
          </w:p>
          <w:p w14:paraId="51127397" w14:textId="77777777" w:rsidR="00813818" w:rsidRPr="00813818" w:rsidRDefault="00813818">
            <w:pPr>
              <w:rPr>
                <w:rFonts w:asciiTheme="minorHAnsi" w:hAnsiTheme="minorHAnsi" w:cstheme="minorHAnsi"/>
                <w:szCs w:val="24"/>
              </w:rPr>
            </w:pPr>
            <w:r w:rsidRPr="00813818">
              <w:rPr>
                <w:rFonts w:asciiTheme="minorHAnsi" w:hAnsiTheme="minorHAnsi" w:cstheme="minorHAnsi"/>
                <w:szCs w:val="24"/>
              </w:rPr>
              <w:t>West Knapton Malton</w:t>
            </w:r>
          </w:p>
          <w:p w14:paraId="7ABC024E" w14:textId="77777777" w:rsidR="00813818" w:rsidRPr="00813818" w:rsidRDefault="00813818">
            <w:pPr>
              <w:rPr>
                <w:rFonts w:asciiTheme="minorHAnsi" w:hAnsiTheme="minorHAnsi" w:cstheme="minorHAnsi"/>
                <w:szCs w:val="24"/>
              </w:rPr>
            </w:pPr>
            <w:r w:rsidRPr="00813818">
              <w:rPr>
                <w:rFonts w:asciiTheme="minorHAnsi" w:hAnsiTheme="minorHAnsi" w:cstheme="minorHAnsi"/>
                <w:szCs w:val="24"/>
              </w:rPr>
              <w:t>North Yorkshire</w:t>
            </w:r>
          </w:p>
          <w:p w14:paraId="43D3E01C" w14:textId="59FDDAB4" w:rsidR="00FF7F90" w:rsidRPr="000B6D93" w:rsidRDefault="0081381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3818">
              <w:rPr>
                <w:rFonts w:asciiTheme="minorHAnsi" w:hAnsiTheme="minorHAnsi" w:cstheme="minorHAnsi"/>
                <w:szCs w:val="24"/>
              </w:rPr>
              <w:t>YO17 6RL</w:t>
            </w:r>
          </w:p>
        </w:tc>
      </w:tr>
      <w:tr w:rsidR="00B0060B" w:rsidRPr="000B6D93" w14:paraId="107984CB" w14:textId="77777777">
        <w:trPr>
          <w:jc w:val="center"/>
        </w:trPr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61D7CA0" w14:textId="2D3A557E" w:rsidR="00B0060B" w:rsidRPr="000B6D93" w:rsidRDefault="00E47302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National grid reference</w:t>
            </w:r>
          </w:p>
          <w:p w14:paraId="7442CEBA" w14:textId="77777777" w:rsidR="00B0060B" w:rsidRPr="000B6D93" w:rsidRDefault="00B0060B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6B59DF4" w14:textId="3D5793A1" w:rsidR="003C08A7" w:rsidRPr="000B6D93" w:rsidRDefault="00C554FA" w:rsidP="00FF7F90">
            <w:pPr>
              <w:tabs>
                <w:tab w:val="left" w:pos="1632"/>
              </w:tabs>
              <w:autoSpaceDE w:val="0"/>
              <w:ind w:left="-81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C554FA">
              <w:rPr>
                <w:rFonts w:asciiTheme="minorHAnsi" w:hAnsiTheme="minorHAnsi" w:cstheme="minorHAnsi"/>
                <w:bCs/>
                <w:color w:val="000000"/>
                <w:szCs w:val="24"/>
              </w:rPr>
              <w:t>486626, 476984</w:t>
            </w:r>
          </w:p>
        </w:tc>
      </w:tr>
    </w:tbl>
    <w:p w14:paraId="20E8097C" w14:textId="77777777" w:rsidR="00B0060B" w:rsidRPr="000B6D93" w:rsidRDefault="00B0060B">
      <w:pPr>
        <w:pStyle w:val="StyleBodyText38pt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744"/>
        <w:gridCol w:w="6272"/>
      </w:tblGrid>
      <w:tr w:rsidR="00B0060B" w:rsidRPr="000B6D93" w14:paraId="09DE4F06" w14:textId="77777777">
        <w:trPr>
          <w:jc w:val="center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0C09432" w14:textId="77777777" w:rsidR="00B0060B" w:rsidRPr="000B6D93" w:rsidRDefault="00E47302">
            <w:pPr>
              <w:pStyle w:val="StyleBodyText38p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Document reference and dates for Site Condition Report at permit application and surrender</w:t>
            </w:r>
          </w:p>
        </w:tc>
        <w:tc>
          <w:tcPr>
            <w:tcW w:w="6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701F3D7" w14:textId="791C33BB" w:rsidR="00B0060B" w:rsidRPr="000B6D93" w:rsidRDefault="00E47302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Ref. </w:t>
            </w:r>
            <w:r w:rsidR="009562B1">
              <w:rPr>
                <w:rFonts w:asciiTheme="minorHAnsi" w:hAnsiTheme="minorHAnsi" w:cstheme="minorHAnsi"/>
                <w:sz w:val="24"/>
                <w:szCs w:val="24"/>
              </w:rPr>
              <w:t>Site Plans and Supporting Information Document</w:t>
            </w:r>
          </w:p>
          <w:p w14:paraId="20F4695B" w14:textId="767740ED" w:rsidR="00DF3BE6" w:rsidRPr="000B6D93" w:rsidRDefault="00E47302" w:rsidP="00DF3BE6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Permit application –</w:t>
            </w:r>
            <w:r w:rsidR="000B6D93">
              <w:rPr>
                <w:rFonts w:asciiTheme="minorHAnsi" w:hAnsiTheme="minorHAnsi" w:cstheme="minorHAnsi"/>
                <w:sz w:val="24"/>
                <w:szCs w:val="24"/>
              </w:rPr>
              <w:t xml:space="preserve"> NEW 2020</w:t>
            </w:r>
            <w:r w:rsidR="009562B1">
              <w:rPr>
                <w:rFonts w:asciiTheme="minorHAnsi" w:hAnsiTheme="minorHAnsi" w:cstheme="minorHAnsi"/>
                <w:sz w:val="24"/>
                <w:szCs w:val="24"/>
              </w:rPr>
              <w:t xml:space="preserve"> (Preapplication reference EPR/CP3404SW/A001)</w:t>
            </w:r>
          </w:p>
          <w:p w14:paraId="5B7A9CCD" w14:textId="77777777" w:rsidR="00B0060B" w:rsidRPr="000B6D93" w:rsidRDefault="00E47302" w:rsidP="00DF3BE6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Surrender – N/A</w:t>
            </w:r>
          </w:p>
        </w:tc>
      </w:tr>
    </w:tbl>
    <w:p w14:paraId="308A57E5" w14:textId="77777777" w:rsidR="00B0060B" w:rsidRPr="000B6D93" w:rsidRDefault="00B0060B">
      <w:pPr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2764"/>
        <w:gridCol w:w="6252"/>
      </w:tblGrid>
      <w:tr w:rsidR="009562B1" w:rsidRPr="000B6D93" w14:paraId="6A895FC1" w14:textId="77777777">
        <w:trPr>
          <w:jc w:val="center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65AC74E" w14:textId="77777777" w:rsidR="00B0060B" w:rsidRPr="000B6D93" w:rsidRDefault="00E47302">
            <w:pPr>
              <w:pStyle w:val="StyleBodyText38pt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Document references for site plans (including location and boundaries)</w:t>
            </w:r>
          </w:p>
          <w:p w14:paraId="239CD062" w14:textId="77777777" w:rsidR="00B0060B" w:rsidRPr="000B6D93" w:rsidRDefault="00B0060B">
            <w:pPr>
              <w:pStyle w:val="StyleBodyText38p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1F2F94C" w14:textId="73770893" w:rsidR="00B0060B" w:rsidRPr="000B6D93" w:rsidRDefault="009562B1">
            <w:pPr>
              <w:pStyle w:val="StyleBodyText38pt"/>
              <w:ind w:left="72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Site Plans and Supporting Information Document includes</w:t>
            </w:r>
            <w:r w:rsidR="00E47302" w:rsidRPr="000B6D9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152AD33" w14:textId="77777777" w:rsidR="00B0060B" w:rsidRPr="000B6D93" w:rsidRDefault="00E47302">
            <w:pPr>
              <w:pStyle w:val="StyleBodyText38p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Site Location </w:t>
            </w:r>
          </w:p>
          <w:p w14:paraId="0BCB8081" w14:textId="77777777" w:rsidR="00B0060B" w:rsidRPr="000B6D93" w:rsidRDefault="00E47302">
            <w:pPr>
              <w:pStyle w:val="StyleBodyText38p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Site Layout </w:t>
            </w:r>
          </w:p>
          <w:p w14:paraId="190D9BD3" w14:textId="1A6810C2" w:rsidR="00B0060B" w:rsidRPr="000B6D93" w:rsidRDefault="00E47302">
            <w:pPr>
              <w:pStyle w:val="StyleBodyText38p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Site Drainage </w:t>
            </w:r>
            <w:r w:rsidR="00BA2D35">
              <w:rPr>
                <w:rFonts w:asciiTheme="minorHAnsi" w:hAnsiTheme="minorHAnsi" w:cstheme="minorHAnsi"/>
                <w:sz w:val="24"/>
                <w:szCs w:val="24"/>
              </w:rPr>
              <w:t>(for finisher unit)</w:t>
            </w:r>
          </w:p>
          <w:p w14:paraId="3A1FA1A7" w14:textId="1B2270FF" w:rsidR="00B0060B" w:rsidRPr="000B6D93" w:rsidRDefault="00E47302">
            <w:pPr>
              <w:pStyle w:val="StyleBodyText38p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Emissions Points</w:t>
            </w:r>
            <w:r w:rsidR="00BA2D35">
              <w:rPr>
                <w:rFonts w:asciiTheme="minorHAnsi" w:hAnsiTheme="minorHAnsi" w:cstheme="minorHAnsi"/>
                <w:sz w:val="24"/>
                <w:szCs w:val="24"/>
              </w:rPr>
              <w:t xml:space="preserve"> (for finisher unit)</w:t>
            </w:r>
          </w:p>
        </w:tc>
      </w:tr>
    </w:tbl>
    <w:p w14:paraId="332B5205" w14:textId="77777777" w:rsidR="00B0060B" w:rsidRPr="000B6D93" w:rsidRDefault="00B0060B">
      <w:pPr>
        <w:jc w:val="both"/>
        <w:rPr>
          <w:rFonts w:asciiTheme="minorHAnsi" w:hAnsiTheme="minorHAnsi" w:cstheme="minorHAnsi"/>
          <w:b/>
          <w:szCs w:val="24"/>
        </w:rPr>
      </w:pPr>
    </w:p>
    <w:p w14:paraId="7CD48D4D" w14:textId="77777777" w:rsidR="00B0060B" w:rsidRPr="000B6D93" w:rsidRDefault="00B0060B">
      <w:pPr>
        <w:ind w:left="1418" w:hanging="1418"/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478"/>
        <w:gridCol w:w="4538"/>
      </w:tblGrid>
      <w:tr w:rsidR="00B0060B" w:rsidRPr="000B6D93" w14:paraId="73A876AC" w14:textId="77777777">
        <w:trPr>
          <w:cantSplit/>
          <w:jc w:val="center"/>
        </w:trPr>
        <w:tc>
          <w:tcPr>
            <w:tcW w:w="9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14:paraId="013DC99F" w14:textId="77777777" w:rsidR="00B0060B" w:rsidRPr="000B6D93" w:rsidRDefault="00E4730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B6D93">
              <w:rPr>
                <w:rFonts w:asciiTheme="minorHAnsi" w:hAnsiTheme="minorHAnsi" w:cstheme="minorHAnsi"/>
                <w:b/>
                <w:szCs w:val="24"/>
              </w:rPr>
              <w:t>2.0 Condition of the land at permit issue</w:t>
            </w:r>
          </w:p>
          <w:p w14:paraId="3A6C9BF9" w14:textId="77777777" w:rsidR="00B0060B" w:rsidRPr="000B6D93" w:rsidRDefault="00B0060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C0189" w:rsidRPr="000B6D93" w14:paraId="0998D7A9" w14:textId="77777777">
        <w:trPr>
          <w:jc w:val="center"/>
        </w:trPr>
        <w:tc>
          <w:tcPr>
            <w:tcW w:w="4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0DD9A46" w14:textId="77777777" w:rsidR="00B0060B" w:rsidRPr="000B6D93" w:rsidRDefault="00E47302">
            <w:p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Environmental setting including:</w:t>
            </w:r>
          </w:p>
          <w:p w14:paraId="70743795" w14:textId="77777777" w:rsidR="00B0060B" w:rsidRPr="000B6D93" w:rsidRDefault="00E4730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Geology</w:t>
            </w:r>
          </w:p>
          <w:p w14:paraId="35854C43" w14:textId="77777777" w:rsidR="00B0060B" w:rsidRPr="000B6D93" w:rsidRDefault="00E4730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Hydrogeology</w:t>
            </w:r>
          </w:p>
          <w:p w14:paraId="55CB6701" w14:textId="77777777" w:rsidR="00B0060B" w:rsidRPr="000B6D93" w:rsidRDefault="00E4730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Surface waters</w:t>
            </w:r>
          </w:p>
          <w:p w14:paraId="755A3A35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177F60C" w14:textId="77777777" w:rsidR="00A3555B" w:rsidRPr="000B6D93" w:rsidRDefault="00A3555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9093712" w14:textId="77777777" w:rsidR="00A3555B" w:rsidRPr="000B6D93" w:rsidRDefault="00A3555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192771F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AF0A1F9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C82B2C3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D10AC7E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3B64CD2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3ADCF43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DF4EEF1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87F76D4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CFE96B4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DE8629D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71BF81A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709D9D5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FF698CB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2508A7A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6DD1EEC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BF80AD7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5C4C268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862E39F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4C354C9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498469C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0D9B339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ABD88C4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434B92C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5B08B06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0D24E4F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F12DA2E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148FA5E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7B9B21B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9F27400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558F4B4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0B0428E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4F61F06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110F010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1D66934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98EF676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C91EF67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599F06C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DA94D4F" w14:textId="6DAE8B86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3077CA8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1461245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837C7B8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EF5B1D6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2B45055" w14:textId="77777777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773B61D5" w14:textId="2B2A83A6" w:rsidR="00431672" w:rsidRPr="000B6D93" w:rsidRDefault="00431672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3C252BBB" w14:textId="0F16B348" w:rsidR="00B0060B" w:rsidRPr="000B6D93" w:rsidRDefault="00E4730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lastRenderedPageBreak/>
              <w:t xml:space="preserve">The </w:t>
            </w:r>
            <w:r w:rsidR="003C08A7" w:rsidRPr="000B6D93">
              <w:rPr>
                <w:rFonts w:asciiTheme="minorHAnsi" w:hAnsiTheme="minorHAnsi" w:cstheme="minorHAnsi"/>
                <w:szCs w:val="24"/>
              </w:rPr>
              <w:t>installation</w:t>
            </w:r>
            <w:r w:rsidRPr="000B6D93">
              <w:rPr>
                <w:rFonts w:asciiTheme="minorHAnsi" w:hAnsiTheme="minorHAnsi" w:cstheme="minorHAnsi"/>
                <w:szCs w:val="24"/>
              </w:rPr>
              <w:t xml:space="preserve"> is located within a flat landscape which is characterised by large arable fields, enclosed by field boundary hedgerow</w:t>
            </w:r>
            <w:r w:rsidR="00A3555B" w:rsidRPr="000B6D93">
              <w:rPr>
                <w:rFonts w:asciiTheme="minorHAnsi" w:hAnsiTheme="minorHAnsi" w:cstheme="minorHAnsi"/>
                <w:szCs w:val="24"/>
              </w:rPr>
              <w:t xml:space="preserve">s, with </w:t>
            </w:r>
            <w:r w:rsidR="007E6B94">
              <w:rPr>
                <w:rFonts w:asciiTheme="minorHAnsi" w:hAnsiTheme="minorHAnsi" w:cstheme="minorHAnsi"/>
                <w:szCs w:val="24"/>
              </w:rPr>
              <w:t>a woodlan</w:t>
            </w:r>
            <w:r w:rsidR="00800A1E">
              <w:rPr>
                <w:rFonts w:asciiTheme="minorHAnsi" w:hAnsiTheme="minorHAnsi" w:cstheme="minorHAnsi"/>
                <w:szCs w:val="24"/>
              </w:rPr>
              <w:t>d</w:t>
            </w:r>
            <w:r w:rsidR="007E6B94">
              <w:rPr>
                <w:rFonts w:asciiTheme="minorHAnsi" w:hAnsiTheme="minorHAnsi" w:cstheme="minorHAnsi"/>
                <w:szCs w:val="24"/>
              </w:rPr>
              <w:t xml:space="preserve"> to the </w:t>
            </w:r>
            <w:proofErr w:type="gramStart"/>
            <w:r w:rsidR="007E6B94">
              <w:rPr>
                <w:rFonts w:asciiTheme="minorHAnsi" w:hAnsiTheme="minorHAnsi" w:cstheme="minorHAnsi"/>
                <w:szCs w:val="24"/>
              </w:rPr>
              <w:t>South West</w:t>
            </w:r>
            <w:proofErr w:type="gramEnd"/>
            <w:r w:rsidR="007E6B94">
              <w:rPr>
                <w:rFonts w:asciiTheme="minorHAnsi" w:hAnsiTheme="minorHAnsi" w:cstheme="minorHAnsi"/>
                <w:szCs w:val="24"/>
              </w:rPr>
              <w:t xml:space="preserve"> of the units </w:t>
            </w:r>
            <w:r w:rsidR="00800A1E">
              <w:rPr>
                <w:rFonts w:asciiTheme="minorHAnsi" w:hAnsiTheme="minorHAnsi" w:cstheme="minorHAnsi"/>
                <w:szCs w:val="24"/>
              </w:rPr>
              <w:t xml:space="preserve">and to the North of the gilt </w:t>
            </w:r>
            <w:proofErr w:type="spellStart"/>
            <w:r w:rsidR="00800A1E">
              <w:rPr>
                <w:rFonts w:asciiTheme="minorHAnsi" w:hAnsiTheme="minorHAnsi" w:cstheme="minorHAnsi"/>
                <w:szCs w:val="24"/>
              </w:rPr>
              <w:t>growout</w:t>
            </w:r>
            <w:proofErr w:type="spellEnd"/>
            <w:r w:rsidR="00A3555B" w:rsidRPr="000B6D93">
              <w:rPr>
                <w:rFonts w:asciiTheme="minorHAnsi" w:hAnsiTheme="minorHAnsi" w:cstheme="minorHAnsi"/>
                <w:szCs w:val="24"/>
              </w:rPr>
              <w:t>.</w:t>
            </w:r>
          </w:p>
          <w:p w14:paraId="790B6871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5B2AA24" w14:textId="1264A2EC" w:rsidR="00B0060B" w:rsidRPr="000B6D93" w:rsidRDefault="00E4730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 xml:space="preserve">The installation site surfacing is hard standing and there is a </w:t>
            </w:r>
            <w:r w:rsidR="000911BE">
              <w:rPr>
                <w:rFonts w:asciiTheme="minorHAnsi" w:hAnsiTheme="minorHAnsi" w:cstheme="minorHAnsi"/>
                <w:szCs w:val="24"/>
              </w:rPr>
              <w:t>private track from the</w:t>
            </w:r>
            <w:r w:rsidR="00CF1AF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CF1AF3">
              <w:rPr>
                <w:rFonts w:asciiTheme="minorHAnsi" w:hAnsiTheme="minorHAnsi" w:cstheme="minorHAnsi"/>
                <w:szCs w:val="24"/>
              </w:rPr>
              <w:t>malton</w:t>
            </w:r>
            <w:proofErr w:type="spellEnd"/>
            <w:r w:rsidR="00CF1AF3">
              <w:rPr>
                <w:rFonts w:asciiTheme="minorHAnsi" w:hAnsiTheme="minorHAnsi" w:cstheme="minorHAnsi"/>
                <w:szCs w:val="24"/>
              </w:rPr>
              <w:t xml:space="preserve"> road to the unit</w:t>
            </w:r>
            <w:r w:rsidR="00E444E2">
              <w:rPr>
                <w:rFonts w:asciiTheme="minorHAnsi" w:hAnsiTheme="minorHAnsi" w:cstheme="minorHAnsi"/>
                <w:szCs w:val="24"/>
              </w:rPr>
              <w:t>. T</w:t>
            </w:r>
            <w:r w:rsidR="00A3555B" w:rsidRPr="000B6D93">
              <w:rPr>
                <w:rFonts w:asciiTheme="minorHAnsi" w:hAnsiTheme="minorHAnsi" w:cstheme="minorHAnsi"/>
                <w:szCs w:val="24"/>
              </w:rPr>
              <w:t>his is a dead end</w:t>
            </w:r>
            <w:r w:rsidR="00E444E2">
              <w:rPr>
                <w:rFonts w:asciiTheme="minorHAnsi" w:hAnsiTheme="minorHAnsi" w:cstheme="minorHAnsi"/>
                <w:szCs w:val="24"/>
              </w:rPr>
              <w:t>;</w:t>
            </w:r>
            <w:r w:rsidR="00A3555B" w:rsidRPr="000B6D93">
              <w:rPr>
                <w:rFonts w:asciiTheme="minorHAnsi" w:hAnsiTheme="minorHAnsi" w:cstheme="minorHAnsi"/>
                <w:szCs w:val="24"/>
              </w:rPr>
              <w:t xml:space="preserve"> the road </w:t>
            </w:r>
            <w:r w:rsidR="00CA61D4">
              <w:rPr>
                <w:rFonts w:asciiTheme="minorHAnsi" w:hAnsiTheme="minorHAnsi" w:cstheme="minorHAnsi"/>
                <w:szCs w:val="24"/>
              </w:rPr>
              <w:t xml:space="preserve">leads to Popular Farm and then to the two farms behind </w:t>
            </w:r>
            <w:r w:rsidR="007E063A">
              <w:rPr>
                <w:rFonts w:asciiTheme="minorHAnsi" w:hAnsiTheme="minorHAnsi" w:cstheme="minorHAnsi"/>
                <w:szCs w:val="24"/>
              </w:rPr>
              <w:t xml:space="preserve">this (West Farm and </w:t>
            </w:r>
            <w:proofErr w:type="spellStart"/>
            <w:r w:rsidR="007E063A">
              <w:rPr>
                <w:rFonts w:asciiTheme="minorHAnsi" w:hAnsiTheme="minorHAnsi" w:cstheme="minorHAnsi"/>
                <w:szCs w:val="24"/>
              </w:rPr>
              <w:t>Wintringham</w:t>
            </w:r>
            <w:proofErr w:type="spellEnd"/>
            <w:r w:rsidR="007E063A">
              <w:rPr>
                <w:rFonts w:asciiTheme="minorHAnsi" w:hAnsiTheme="minorHAnsi" w:cstheme="minorHAnsi"/>
                <w:szCs w:val="24"/>
              </w:rPr>
              <w:t xml:space="preserve"> Farm)</w:t>
            </w:r>
            <w:r w:rsidR="003637C9">
              <w:rPr>
                <w:rFonts w:asciiTheme="minorHAnsi" w:hAnsiTheme="minorHAnsi" w:cstheme="minorHAnsi"/>
                <w:szCs w:val="24"/>
              </w:rPr>
              <w:t>.</w:t>
            </w:r>
          </w:p>
          <w:p w14:paraId="723600EA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CCE090C" w14:textId="21A16E63" w:rsidR="00B0060B" w:rsidRPr="00CD6924" w:rsidRDefault="00E47302">
            <w:pPr>
              <w:jc w:val="both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lastRenderedPageBreak/>
              <w:t>Uncontaminated road and yard rainwater is directed t</w:t>
            </w:r>
            <w:r w:rsidR="00DF3BE6"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o </w:t>
            </w:r>
            <w:r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t>unnamed drainage ditch</w:t>
            </w:r>
            <w:r w:rsidR="00DF3BE6"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t>es</w:t>
            </w:r>
            <w:r w:rsidR="00CD6924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which will lead to </w:t>
            </w:r>
            <w:r w:rsidR="00100CE6">
              <w:rPr>
                <w:rFonts w:asciiTheme="minorHAnsi" w:hAnsiTheme="minorHAnsi" w:cstheme="minorHAnsi"/>
                <w:bCs/>
                <w:color w:val="000000"/>
                <w:szCs w:val="24"/>
              </w:rPr>
              <w:t>the River Derwent</w:t>
            </w:r>
            <w:r w:rsidRPr="00CD6924">
              <w:rPr>
                <w:rFonts w:asciiTheme="minorHAnsi" w:hAnsiTheme="minorHAnsi" w:cstheme="minorHAnsi"/>
                <w:bCs/>
                <w:color w:val="auto"/>
                <w:szCs w:val="24"/>
              </w:rPr>
              <w:t>.</w:t>
            </w:r>
            <w:r w:rsidR="00DF3BE6" w:rsidRPr="00CD6924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</w:t>
            </w:r>
            <w:r w:rsidRPr="00CD6924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</w:t>
            </w:r>
          </w:p>
          <w:p w14:paraId="273DC48A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7A997EF" w14:textId="15ECB152" w:rsidR="00B0060B" w:rsidRPr="000B6D93" w:rsidRDefault="00E4730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The pre-application report (date</w:t>
            </w:r>
            <w:r w:rsidR="00D246F1">
              <w:rPr>
                <w:rFonts w:asciiTheme="minorHAnsi" w:hAnsiTheme="minorHAnsi" w:cstheme="minorHAnsi"/>
                <w:szCs w:val="24"/>
              </w:rPr>
              <w:t>d 202</w:t>
            </w:r>
            <w:r w:rsidR="007660FA">
              <w:rPr>
                <w:rFonts w:asciiTheme="minorHAnsi" w:hAnsiTheme="minorHAnsi" w:cstheme="minorHAnsi"/>
                <w:szCs w:val="24"/>
              </w:rPr>
              <w:t>1</w:t>
            </w:r>
            <w:r w:rsidR="009562B1">
              <w:rPr>
                <w:rFonts w:asciiTheme="minorHAnsi" w:hAnsiTheme="minorHAnsi" w:cstheme="minorHAnsi"/>
                <w:szCs w:val="24"/>
              </w:rPr>
              <w:t>, document included in application attachments)</w:t>
            </w:r>
            <w:r w:rsidRPr="000B6D93">
              <w:rPr>
                <w:rFonts w:asciiTheme="minorHAnsi" w:hAnsiTheme="minorHAnsi" w:cstheme="minorHAnsi"/>
                <w:szCs w:val="24"/>
              </w:rPr>
              <w:t xml:space="preserve">, found that the ammonia impacts from the proposal screened out and therefore detailed modelling is not required. </w:t>
            </w:r>
          </w:p>
          <w:p w14:paraId="135A02F9" w14:textId="7A2CCEBD" w:rsidR="00B0060B" w:rsidRPr="000B6D93" w:rsidRDefault="00B0060B">
            <w:pPr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  <w:p w14:paraId="7F30BDEE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BF34B80" w14:textId="71ABBAA6" w:rsidR="00B0060B" w:rsidRPr="000B6D93" w:rsidRDefault="00E4730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Information taken from the Geology of Britain Viewer</w:t>
            </w:r>
            <w:r w:rsidR="00DB30D3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C205A9">
              <w:rPr>
                <w:rFonts w:asciiTheme="minorHAnsi" w:hAnsiTheme="minorHAnsi" w:cstheme="minorHAnsi"/>
                <w:szCs w:val="24"/>
              </w:rPr>
              <w:t>figure showing below in Site Plans and Supporting Information Document)</w:t>
            </w:r>
            <w:r w:rsidRPr="000B6D93">
              <w:rPr>
                <w:rFonts w:asciiTheme="minorHAnsi" w:hAnsiTheme="minorHAnsi" w:cstheme="minorHAnsi"/>
                <w:szCs w:val="24"/>
              </w:rPr>
              <w:t>:</w:t>
            </w:r>
          </w:p>
          <w:p w14:paraId="0FA420AE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5F25317" w14:textId="0533FA14" w:rsidR="00086792" w:rsidRPr="00086792" w:rsidRDefault="00E47302" w:rsidP="00086792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B6D93">
              <w:rPr>
                <w:rFonts w:asciiTheme="minorHAnsi" w:hAnsiTheme="minorHAnsi" w:cstheme="minorHAnsi"/>
                <w:b/>
                <w:color w:val="000000"/>
                <w:szCs w:val="24"/>
              </w:rPr>
              <w:t>1</w:t>
            </w:r>
            <w:r w:rsidR="00086792" w:rsidRPr="00086792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:50 000 scale bedrock geology description: </w:t>
            </w:r>
            <w:r w:rsidR="00086792" w:rsidRPr="00086792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Ampthill Clay Formation </w:t>
            </w:r>
            <w:proofErr w:type="gramStart"/>
            <w:r w:rsidR="00086792" w:rsidRPr="00086792">
              <w:rPr>
                <w:rFonts w:asciiTheme="minorHAnsi" w:hAnsiTheme="minorHAnsi" w:cstheme="minorHAnsi"/>
                <w:bCs/>
                <w:color w:val="000000"/>
                <w:szCs w:val="24"/>
              </w:rPr>
              <w:t>And</w:t>
            </w:r>
            <w:proofErr w:type="gramEnd"/>
            <w:r w:rsidR="00086792" w:rsidRPr="00086792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Kimmeridge Clay Formation (undifferentiated) - Mudstone. Sedimentary Bedrock formed approximately 152 to 164 million years ago in the Jurassic Period. Local environment previously dominated by shallow seas.</w:t>
            </w:r>
          </w:p>
          <w:p w14:paraId="5C6A5D17" w14:textId="77777777" w:rsidR="00086792" w:rsidRPr="00086792" w:rsidRDefault="00086792" w:rsidP="00086792">
            <w:pPr>
              <w:jc w:val="both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  <w:p w14:paraId="26866903" w14:textId="77821CFC" w:rsidR="00B0060B" w:rsidRPr="00086792" w:rsidRDefault="00086792" w:rsidP="00086792">
            <w:pPr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086792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Setting: </w:t>
            </w:r>
            <w:r w:rsidRPr="00086792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shallow seas. These sedimentary rocks are </w:t>
            </w:r>
            <w:proofErr w:type="gramStart"/>
            <w:r w:rsidRPr="00086792">
              <w:rPr>
                <w:rFonts w:asciiTheme="minorHAnsi" w:hAnsiTheme="minorHAnsi" w:cstheme="minorHAnsi"/>
                <w:bCs/>
                <w:color w:val="000000"/>
                <w:szCs w:val="24"/>
              </w:rPr>
              <w:t>shallow-marine</w:t>
            </w:r>
            <w:proofErr w:type="gramEnd"/>
            <w:r w:rsidRPr="00086792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in origin. They are detrital, ranging from coarse- to fine-grained (locally with some carbonate content) forming interbedded sequences.</w:t>
            </w:r>
            <w:r w:rsidR="00E47302" w:rsidRPr="0008679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0D775B9B" w14:textId="5FDA6A32" w:rsidR="00B0060B" w:rsidRDefault="00B0060B">
            <w:pPr>
              <w:rPr>
                <w:rFonts w:asciiTheme="minorHAnsi" w:hAnsiTheme="minorHAnsi" w:cstheme="minorHAnsi"/>
                <w:szCs w:val="24"/>
              </w:rPr>
            </w:pPr>
          </w:p>
          <w:p w14:paraId="5928E7CA" w14:textId="1151123E" w:rsidR="00F56E54" w:rsidRDefault="00F56E54">
            <w:pPr>
              <w:rPr>
                <w:rFonts w:asciiTheme="minorHAnsi" w:hAnsiTheme="minorHAnsi" w:cstheme="minorHAnsi"/>
                <w:szCs w:val="24"/>
              </w:rPr>
            </w:pPr>
          </w:p>
          <w:p w14:paraId="0E998B5E" w14:textId="77777777" w:rsidR="00F56E54" w:rsidRPr="00F56E54" w:rsidRDefault="00F56E54" w:rsidP="00F56E54">
            <w:pPr>
              <w:rPr>
                <w:rFonts w:asciiTheme="minorHAnsi" w:hAnsiTheme="minorHAnsi" w:cstheme="minorHAnsi"/>
                <w:szCs w:val="24"/>
              </w:rPr>
            </w:pPr>
            <w:r w:rsidRPr="00F56E54">
              <w:rPr>
                <w:rFonts w:asciiTheme="minorHAnsi" w:hAnsiTheme="minorHAnsi" w:cstheme="minorHAnsi"/>
                <w:b/>
                <w:bCs/>
                <w:szCs w:val="24"/>
              </w:rPr>
              <w:t>1:50 000 scale superficial deposits description:</w:t>
            </w:r>
            <w:r w:rsidRPr="00F56E54">
              <w:rPr>
                <w:rFonts w:asciiTheme="minorHAnsi" w:hAnsiTheme="minorHAnsi" w:cstheme="minorHAnsi"/>
                <w:szCs w:val="24"/>
              </w:rPr>
              <w:t xml:space="preserve"> Lacustrine Deposits - Clay, Silt </w:t>
            </w:r>
            <w:proofErr w:type="gramStart"/>
            <w:r w:rsidRPr="00F56E54">
              <w:rPr>
                <w:rFonts w:asciiTheme="minorHAnsi" w:hAnsiTheme="minorHAnsi" w:cstheme="minorHAnsi"/>
                <w:szCs w:val="24"/>
              </w:rPr>
              <w:t>And</w:t>
            </w:r>
            <w:proofErr w:type="gramEnd"/>
            <w:r w:rsidRPr="00F56E54">
              <w:rPr>
                <w:rFonts w:asciiTheme="minorHAnsi" w:hAnsiTheme="minorHAnsi" w:cstheme="minorHAnsi"/>
                <w:szCs w:val="24"/>
              </w:rPr>
              <w:t xml:space="preserve"> Sand. Superficial Deposits formed up to 3 million years ago in the Quaternary Period. Local environment previously dominated by lakes (U).</w:t>
            </w:r>
          </w:p>
          <w:p w14:paraId="33845E34" w14:textId="77777777" w:rsidR="00F56E54" w:rsidRPr="00F56E54" w:rsidRDefault="00F56E54" w:rsidP="00F56E54">
            <w:pPr>
              <w:rPr>
                <w:rFonts w:asciiTheme="minorHAnsi" w:hAnsiTheme="minorHAnsi" w:cstheme="minorHAnsi"/>
                <w:szCs w:val="24"/>
              </w:rPr>
            </w:pPr>
          </w:p>
          <w:p w14:paraId="6E35908A" w14:textId="781ECE8C" w:rsidR="00F56E54" w:rsidRPr="000B6D93" w:rsidRDefault="00F56E54" w:rsidP="00F56E54">
            <w:pPr>
              <w:rPr>
                <w:rFonts w:asciiTheme="minorHAnsi" w:hAnsiTheme="minorHAnsi" w:cstheme="minorHAnsi"/>
                <w:szCs w:val="24"/>
              </w:rPr>
            </w:pPr>
            <w:r w:rsidRPr="00F56E54">
              <w:rPr>
                <w:rFonts w:asciiTheme="minorHAnsi" w:hAnsiTheme="minorHAnsi" w:cstheme="minorHAnsi"/>
                <w:b/>
                <w:bCs/>
                <w:szCs w:val="24"/>
              </w:rPr>
              <w:t>Setting:</w:t>
            </w:r>
            <w:r w:rsidRPr="00F56E54">
              <w:rPr>
                <w:rFonts w:asciiTheme="minorHAnsi" w:hAnsiTheme="minorHAnsi" w:cstheme="minorHAnsi"/>
                <w:szCs w:val="24"/>
              </w:rPr>
              <w:t xml:space="preserve"> lakes (U). These sedimentary deposits are lacustrine in origin. They are detrital, generally fine-grained (but can include layers of coarser material) and typically form </w:t>
            </w:r>
            <w:proofErr w:type="gramStart"/>
            <w:r w:rsidRPr="00F56E54">
              <w:rPr>
                <w:rFonts w:asciiTheme="minorHAnsi" w:hAnsiTheme="minorHAnsi" w:cstheme="minorHAnsi"/>
                <w:szCs w:val="24"/>
              </w:rPr>
              <w:t>thinly-laminated</w:t>
            </w:r>
            <w:proofErr w:type="gramEnd"/>
            <w:r w:rsidRPr="00F56E54">
              <w:rPr>
                <w:rFonts w:asciiTheme="minorHAnsi" w:hAnsiTheme="minorHAnsi" w:cstheme="minorHAnsi"/>
                <w:szCs w:val="24"/>
              </w:rPr>
              <w:t xml:space="preserve"> beds.</w:t>
            </w:r>
          </w:p>
          <w:p w14:paraId="278F5F32" w14:textId="77777777" w:rsidR="006039CA" w:rsidRDefault="006039CA" w:rsidP="006039CA">
            <w:pPr>
              <w:rPr>
                <w:rFonts w:asciiTheme="minorHAnsi" w:hAnsiTheme="minorHAnsi" w:cstheme="minorHAnsi"/>
                <w:szCs w:val="24"/>
              </w:rPr>
            </w:pPr>
          </w:p>
          <w:p w14:paraId="60547352" w14:textId="77777777" w:rsidR="00B0060B" w:rsidRDefault="00B0060B">
            <w:pPr>
              <w:rPr>
                <w:rFonts w:asciiTheme="minorHAnsi" w:hAnsiTheme="minorHAnsi" w:cstheme="minorHAnsi"/>
                <w:szCs w:val="24"/>
              </w:rPr>
            </w:pPr>
          </w:p>
          <w:p w14:paraId="2A4C6E5D" w14:textId="77777777" w:rsidR="006039CA" w:rsidRDefault="006039CA">
            <w:pPr>
              <w:rPr>
                <w:rFonts w:asciiTheme="minorHAnsi" w:hAnsiTheme="minorHAnsi" w:cstheme="minorHAnsi"/>
                <w:szCs w:val="24"/>
              </w:rPr>
            </w:pPr>
          </w:p>
          <w:p w14:paraId="22D908D4" w14:textId="77777777" w:rsidR="00B0060B" w:rsidRPr="000677A2" w:rsidRDefault="00E4730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677A2">
              <w:rPr>
                <w:rFonts w:asciiTheme="minorHAnsi" w:hAnsiTheme="minorHAnsi" w:cstheme="minorHAnsi"/>
                <w:szCs w:val="24"/>
              </w:rPr>
              <w:lastRenderedPageBreak/>
              <w:t>Search results have been collated using the Environment Agency website “What's in Your Backyard”</w:t>
            </w:r>
            <w:r w:rsidR="00241293" w:rsidRPr="000677A2">
              <w:rPr>
                <w:rFonts w:asciiTheme="minorHAnsi" w:hAnsiTheme="minorHAnsi" w:cstheme="minorHAnsi"/>
                <w:szCs w:val="24"/>
              </w:rPr>
              <w:t xml:space="preserve"> (linking </w:t>
            </w:r>
            <w:r w:rsidR="00472CC9" w:rsidRPr="000677A2">
              <w:rPr>
                <w:rFonts w:asciiTheme="minorHAnsi" w:hAnsiTheme="minorHAnsi" w:cstheme="minorHAnsi"/>
                <w:szCs w:val="24"/>
              </w:rPr>
              <w:t>to the Defra Flood Map for Planning</w:t>
            </w:r>
            <w:r w:rsidR="003C08A7" w:rsidRPr="000677A2">
              <w:rPr>
                <w:rFonts w:asciiTheme="minorHAnsi" w:hAnsiTheme="minorHAnsi" w:cstheme="minorHAnsi"/>
                <w:szCs w:val="24"/>
              </w:rPr>
              <w:t>)</w:t>
            </w:r>
            <w:r w:rsidR="00472CC9" w:rsidRPr="000677A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0677A2">
              <w:rPr>
                <w:rFonts w:asciiTheme="minorHAnsi" w:hAnsiTheme="minorHAnsi" w:cstheme="minorHAnsi"/>
                <w:szCs w:val="24"/>
              </w:rPr>
              <w:t>the Defra website “Magic” and the “Geology of Britain Viewer” website.</w:t>
            </w:r>
          </w:p>
          <w:p w14:paraId="7B34600A" w14:textId="77777777" w:rsidR="00B0060B" w:rsidRPr="000B6D93" w:rsidRDefault="00B0060B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555439" w14:textId="77777777" w:rsidR="00B0060B" w:rsidRPr="000B6D93" w:rsidRDefault="00B0060B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8CDA76" w14:textId="77777777" w:rsidR="00B0060B" w:rsidRPr="000B6D93" w:rsidRDefault="00E47302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What's in My Backyard and MAGIC (Defra) search – within </w:t>
            </w:r>
            <w:r w:rsidR="00241293" w:rsidRPr="000B6D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 km buffer zone: </w:t>
            </w:r>
          </w:p>
          <w:p w14:paraId="05A5ACD9" w14:textId="77777777" w:rsidR="00B0060B" w:rsidRPr="000B6D93" w:rsidRDefault="00E47302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Surface water NVZ </w:t>
            </w:r>
          </w:p>
          <w:p w14:paraId="3FE4BB5A" w14:textId="75504711" w:rsidR="00B0060B" w:rsidRPr="000B6D93" w:rsidRDefault="00E47302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Groundwater Protection Zone</w:t>
            </w:r>
          </w:p>
          <w:p w14:paraId="44F44037" w14:textId="02F38BCF" w:rsidR="00B0060B" w:rsidRDefault="00254273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="00E47302" w:rsidRPr="000B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lood risk area</w:t>
            </w:r>
          </w:p>
          <w:p w14:paraId="0C9F1F4C" w14:textId="7230AF7E" w:rsidR="00F91CD2" w:rsidRPr="005B2AE5" w:rsidRDefault="005B2AE5" w:rsidP="005B2AE5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F91CD2" w:rsidRPr="00F91C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itrate Vulnerable Zones (NVZ) 2017 Final Designations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F91CD2" w:rsidRPr="005B2A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Surface Water 301 - </w:t>
            </w:r>
            <w:proofErr w:type="spellStart"/>
            <w:r w:rsidR="00F91CD2" w:rsidRPr="005B2A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Scampston</w:t>
            </w:r>
            <w:proofErr w:type="spellEnd"/>
            <w:r w:rsidR="00F91CD2" w:rsidRPr="005B2A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Beck catchment (</w:t>
            </w:r>
            <w:proofErr w:type="spellStart"/>
            <w:r w:rsidR="00F91CD2" w:rsidRPr="005B2A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trib</w:t>
            </w:r>
            <w:proofErr w:type="spellEnd"/>
            <w:r w:rsidR="00F91CD2" w:rsidRPr="005B2A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Derwent) NVZ</w:t>
            </w:r>
          </w:p>
          <w:p w14:paraId="6950539F" w14:textId="2ABB9616" w:rsidR="00B0060B" w:rsidRPr="000B6D93" w:rsidRDefault="00E47302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 polluti</w:t>
            </w:r>
            <w:r w:rsidR="000B6D93" w:rsidRPr="000B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 incidents known of.</w:t>
            </w:r>
          </w:p>
          <w:p w14:paraId="218C2F4D" w14:textId="40BB19A0" w:rsidR="00431672" w:rsidRPr="000B6D93" w:rsidRDefault="00431672" w:rsidP="00E444E2">
            <w:pPr>
              <w:pStyle w:val="BodyText3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Drinking water safeguard zone (surface water</w:t>
            </w:r>
            <w:r w:rsidR="007F0F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at risk </w:t>
            </w:r>
            <w:r w:rsidR="007F0F57" w:rsidRPr="007F0F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Derwent from Black Beck to River Rye</w:t>
            </w:r>
            <w:r w:rsidRPr="000B6D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At risk from nitrate, pesticide (metaldehyde).</w:t>
            </w:r>
          </w:p>
          <w:p w14:paraId="49A4EC34" w14:textId="77777777" w:rsidR="00B0060B" w:rsidRPr="00D30B2F" w:rsidRDefault="00B0060B">
            <w:pPr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70660E1" w14:textId="4D6E3020" w:rsidR="00472CC9" w:rsidRPr="000B6D93" w:rsidRDefault="00E47302" w:rsidP="00472CC9">
            <w:pPr>
              <w:autoSpaceDE w:val="0"/>
              <w:spacing w:line="240" w:lineRule="auto"/>
              <w:ind w:left="-81"/>
              <w:jc w:val="both"/>
              <w:rPr>
                <w:rFonts w:asciiTheme="minorHAnsi" w:hAnsiTheme="minorHAnsi" w:cstheme="minorHAnsi"/>
                <w:szCs w:val="24"/>
              </w:rPr>
            </w:pPr>
            <w:r w:rsidRPr="00D30B2F">
              <w:rPr>
                <w:rFonts w:asciiTheme="minorHAnsi" w:hAnsiTheme="minorHAnsi" w:cstheme="minorHAnsi"/>
                <w:color w:val="auto"/>
                <w:szCs w:val="24"/>
              </w:rPr>
              <w:t xml:space="preserve">There are no other </w:t>
            </w:r>
            <w:proofErr w:type="spellStart"/>
            <w:r w:rsidRPr="00D30B2F">
              <w:rPr>
                <w:rFonts w:asciiTheme="minorHAnsi" w:hAnsiTheme="minorHAnsi" w:cstheme="minorHAnsi"/>
                <w:color w:val="auto"/>
                <w:szCs w:val="24"/>
              </w:rPr>
              <w:t>landbased</w:t>
            </w:r>
            <w:proofErr w:type="spellEnd"/>
            <w:r w:rsidRPr="00D30B2F">
              <w:rPr>
                <w:rFonts w:asciiTheme="minorHAnsi" w:hAnsiTheme="minorHAnsi" w:cstheme="minorHAnsi"/>
                <w:color w:val="auto"/>
                <w:szCs w:val="24"/>
              </w:rPr>
              <w:t xml:space="preserve"> d</w:t>
            </w:r>
            <w:r w:rsidR="00110D23" w:rsidRPr="00D30B2F">
              <w:rPr>
                <w:rFonts w:asciiTheme="minorHAnsi" w:hAnsiTheme="minorHAnsi" w:cstheme="minorHAnsi"/>
                <w:color w:val="auto"/>
                <w:szCs w:val="24"/>
              </w:rPr>
              <w:t>esignations within 5km except</w:t>
            </w:r>
            <w:r w:rsidRPr="00D30B2F">
              <w:rPr>
                <w:rFonts w:asciiTheme="minorHAnsi" w:hAnsiTheme="minorHAnsi" w:cstheme="minorHAnsi"/>
                <w:color w:val="auto"/>
                <w:szCs w:val="24"/>
              </w:rPr>
              <w:t xml:space="preserve"> the following: </w:t>
            </w:r>
            <w:r w:rsidR="00110D23" w:rsidRPr="00D30B2F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The nearest SSSI location is the </w:t>
            </w:r>
            <w:proofErr w:type="spellStart"/>
            <w:r w:rsidR="00F013A1">
              <w:rPr>
                <w:rFonts w:asciiTheme="minorHAnsi" w:hAnsiTheme="minorHAnsi" w:cstheme="minorHAnsi"/>
                <w:bCs/>
                <w:color w:val="auto"/>
                <w:szCs w:val="24"/>
              </w:rPr>
              <w:t>Wintringham</w:t>
            </w:r>
            <w:proofErr w:type="spellEnd"/>
            <w:r w:rsidR="00F013A1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Marsh located to the 3.39km South of the unit and </w:t>
            </w:r>
            <w:r w:rsidR="00EA1E27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the River Derwent SSSI and SAC located 4.05km </w:t>
            </w:r>
            <w:proofErr w:type="gramStart"/>
            <w:r w:rsidR="00EA1E27">
              <w:rPr>
                <w:rFonts w:asciiTheme="minorHAnsi" w:hAnsiTheme="minorHAnsi" w:cstheme="minorHAnsi"/>
                <w:bCs/>
                <w:color w:val="auto"/>
                <w:szCs w:val="24"/>
              </w:rPr>
              <w:t>South West</w:t>
            </w:r>
            <w:proofErr w:type="gramEnd"/>
            <w:r w:rsidR="00EA1E27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of the unit site.</w:t>
            </w:r>
            <w:r w:rsidR="00110D23" w:rsidRPr="00D30B2F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See</w:t>
            </w:r>
            <w:r w:rsidR="007A1F3C"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location in </w:t>
            </w:r>
            <w:r w:rsidR="00C205A9">
              <w:rPr>
                <w:rFonts w:asciiTheme="minorHAnsi" w:hAnsiTheme="minorHAnsi" w:cstheme="minorHAnsi"/>
                <w:bCs/>
                <w:color w:val="auto"/>
                <w:szCs w:val="24"/>
              </w:rPr>
              <w:t>Site Plans and Supporting Information Documen</w:t>
            </w:r>
            <w:r w:rsidR="00EA1E27">
              <w:rPr>
                <w:rFonts w:asciiTheme="minorHAnsi" w:hAnsiTheme="minorHAnsi" w:cstheme="minorHAnsi"/>
                <w:bCs/>
                <w:color w:val="auto"/>
                <w:szCs w:val="24"/>
              </w:rPr>
              <w:t>t.</w:t>
            </w:r>
          </w:p>
          <w:p w14:paraId="2ABF7759" w14:textId="77777777" w:rsidR="00B0060B" w:rsidRPr="000B6D93" w:rsidRDefault="00472CC9" w:rsidP="00472CC9">
            <w:pPr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B6D93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14:paraId="0E52627C" w14:textId="77777777" w:rsidR="00B0060B" w:rsidRPr="000B6D93" w:rsidRDefault="00B0060B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0189" w:rsidRPr="000B6D93" w14:paraId="7D0816A7" w14:textId="77777777">
        <w:trPr>
          <w:jc w:val="center"/>
        </w:trPr>
        <w:tc>
          <w:tcPr>
            <w:tcW w:w="4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796331B" w14:textId="19FF638F" w:rsidR="00B0060B" w:rsidRPr="000B6D93" w:rsidRDefault="00E47302">
            <w:p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lastRenderedPageBreak/>
              <w:t>Pollution history including:</w:t>
            </w:r>
          </w:p>
          <w:p w14:paraId="68335BF0" w14:textId="77777777" w:rsidR="00B0060B" w:rsidRPr="000B6D93" w:rsidRDefault="00E4730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Pollution incidents that may have affected land</w:t>
            </w:r>
          </w:p>
          <w:p w14:paraId="155AEAD2" w14:textId="77777777" w:rsidR="00B0060B" w:rsidRPr="000B6D93" w:rsidRDefault="00E4730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 xml:space="preserve">Historical land uses and associated contaminants </w:t>
            </w:r>
          </w:p>
          <w:p w14:paraId="5BEF2B97" w14:textId="77777777" w:rsidR="00B0060B" w:rsidRPr="000B6D93" w:rsidRDefault="00E4730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Any visual/olfactory evidence of existing contamination</w:t>
            </w:r>
          </w:p>
          <w:p w14:paraId="01682DA1" w14:textId="77777777" w:rsidR="00B0060B" w:rsidRPr="000B6D93" w:rsidRDefault="00E4730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 xml:space="preserve">Evidence of damage to pollution prevention measures 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14AB30F0" w14:textId="77777777" w:rsidR="00B0060B" w:rsidRPr="000B6D93" w:rsidRDefault="00B0060B">
            <w:pPr>
              <w:rPr>
                <w:rFonts w:asciiTheme="minorHAnsi" w:hAnsiTheme="minorHAnsi" w:cstheme="minorHAnsi"/>
                <w:szCs w:val="24"/>
              </w:rPr>
            </w:pPr>
          </w:p>
          <w:p w14:paraId="06812A8E" w14:textId="77777777" w:rsidR="00B0060B" w:rsidRPr="000B6D93" w:rsidRDefault="00E47302">
            <w:p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None known</w:t>
            </w:r>
          </w:p>
          <w:p w14:paraId="244A2D84" w14:textId="77777777" w:rsidR="00B0060B" w:rsidRPr="000B6D93" w:rsidRDefault="00B0060B">
            <w:pPr>
              <w:rPr>
                <w:rFonts w:asciiTheme="minorHAnsi" w:hAnsiTheme="minorHAnsi" w:cstheme="minorHAnsi"/>
                <w:szCs w:val="24"/>
              </w:rPr>
            </w:pPr>
          </w:p>
          <w:p w14:paraId="4CC0EB52" w14:textId="77777777" w:rsidR="00B0060B" w:rsidRPr="000B6D93" w:rsidRDefault="00E47302">
            <w:p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None known</w:t>
            </w:r>
          </w:p>
          <w:p w14:paraId="20107A20" w14:textId="77777777" w:rsidR="00B0060B" w:rsidRPr="000B6D93" w:rsidRDefault="00B0060B">
            <w:pPr>
              <w:rPr>
                <w:rFonts w:asciiTheme="minorHAnsi" w:hAnsiTheme="minorHAnsi" w:cstheme="minorHAnsi"/>
                <w:szCs w:val="24"/>
              </w:rPr>
            </w:pPr>
          </w:p>
          <w:p w14:paraId="3329EACD" w14:textId="77777777" w:rsidR="00B0060B" w:rsidRPr="000B6D93" w:rsidRDefault="00E47302">
            <w:p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None known</w:t>
            </w:r>
          </w:p>
          <w:p w14:paraId="6A2197C2" w14:textId="77777777" w:rsidR="00B0060B" w:rsidRPr="000B6D93" w:rsidRDefault="00B0060B">
            <w:pPr>
              <w:rPr>
                <w:rFonts w:asciiTheme="minorHAnsi" w:hAnsiTheme="minorHAnsi" w:cstheme="minorHAnsi"/>
                <w:szCs w:val="24"/>
              </w:rPr>
            </w:pPr>
          </w:p>
          <w:p w14:paraId="25C7CCCA" w14:textId="77777777" w:rsidR="00B0060B" w:rsidRPr="000B6D93" w:rsidRDefault="00E47302">
            <w:p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None known</w:t>
            </w:r>
          </w:p>
        </w:tc>
      </w:tr>
      <w:tr w:rsidR="00EC0189" w:rsidRPr="000B6D93" w14:paraId="6822C881" w14:textId="77777777">
        <w:trPr>
          <w:jc w:val="center"/>
        </w:trPr>
        <w:tc>
          <w:tcPr>
            <w:tcW w:w="4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3A5A0A7E" w14:textId="77777777" w:rsidR="00B0060B" w:rsidRPr="000B6D93" w:rsidRDefault="00E47302">
            <w:p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 xml:space="preserve">Evidence of historic contamination, </w:t>
            </w:r>
            <w:proofErr w:type="spellStart"/>
            <w:proofErr w:type="gramStart"/>
            <w:r w:rsidRPr="000B6D93">
              <w:rPr>
                <w:rFonts w:asciiTheme="minorHAnsi" w:hAnsiTheme="minorHAnsi" w:cstheme="minorHAnsi"/>
                <w:szCs w:val="24"/>
              </w:rPr>
              <w:t>eg</w:t>
            </w:r>
            <w:proofErr w:type="spellEnd"/>
            <w:proofErr w:type="gramEnd"/>
            <w:r w:rsidRPr="000B6D93">
              <w:rPr>
                <w:rFonts w:asciiTheme="minorHAnsi" w:hAnsiTheme="minorHAnsi" w:cstheme="minorHAnsi"/>
                <w:szCs w:val="24"/>
              </w:rPr>
              <w:t xml:space="preserve"> historical site investigation, assessment, remediation and verification reports (where available)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2B514723" w14:textId="4016B9BF" w:rsidR="00B0060B" w:rsidRPr="000B6D93" w:rsidRDefault="00E4730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There have been no previous land site investigations or assessments at the site</w:t>
            </w:r>
            <w:r w:rsidR="00243367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EC0189" w:rsidRPr="000B6D93" w14:paraId="300F842D" w14:textId="77777777">
        <w:trPr>
          <w:jc w:val="center"/>
        </w:trPr>
        <w:tc>
          <w:tcPr>
            <w:tcW w:w="4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1972DEF2" w14:textId="77777777" w:rsidR="00B0060B" w:rsidRPr="000B6D93" w:rsidRDefault="00E47302">
            <w:pPr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Baseline soil and groundwater reference data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66DFBAD6" w14:textId="77777777" w:rsidR="00B0060B" w:rsidRPr="000B6D93" w:rsidRDefault="00E4730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None</w:t>
            </w:r>
          </w:p>
        </w:tc>
      </w:tr>
      <w:tr w:rsidR="00EC0189" w:rsidRPr="000B6D93" w14:paraId="00A1A95C" w14:textId="77777777">
        <w:trPr>
          <w:jc w:val="center"/>
        </w:trPr>
        <w:tc>
          <w:tcPr>
            <w:tcW w:w="4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5E4E836B" w14:textId="77777777" w:rsidR="00B0060B" w:rsidRPr="000B6D93" w:rsidRDefault="00E47302">
            <w:pPr>
              <w:ind w:right="-108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lastRenderedPageBreak/>
              <w:t>Supporting information</w:t>
            </w:r>
          </w:p>
        </w:tc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5148E3F" w14:textId="77777777" w:rsidR="00B0060B" w:rsidRPr="000B6D93" w:rsidRDefault="00E47302">
            <w:pPr>
              <w:ind w:left="720" w:hanging="687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None</w:t>
            </w:r>
          </w:p>
        </w:tc>
      </w:tr>
    </w:tbl>
    <w:p w14:paraId="54EAD0D0" w14:textId="77777777" w:rsidR="00B0060B" w:rsidRPr="000B6D93" w:rsidRDefault="00B0060B">
      <w:pPr>
        <w:ind w:left="1418" w:hanging="1418"/>
        <w:jc w:val="both"/>
        <w:rPr>
          <w:rFonts w:asciiTheme="minorHAnsi" w:hAnsiTheme="minorHAnsi" w:cstheme="minorHAnsi"/>
          <w:i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529"/>
        <w:gridCol w:w="4487"/>
      </w:tblGrid>
      <w:tr w:rsidR="00B0060B" w:rsidRPr="000B6D93" w14:paraId="0991B314" w14:textId="77777777">
        <w:trPr>
          <w:cantSplit/>
          <w:jc w:val="center"/>
        </w:trPr>
        <w:tc>
          <w:tcPr>
            <w:tcW w:w="9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14:paraId="4F59A3B7" w14:textId="77777777" w:rsidR="00B0060B" w:rsidRPr="000B6D93" w:rsidRDefault="00E47302">
            <w:pPr>
              <w:pStyle w:val="BodyText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b/>
                <w:sz w:val="24"/>
                <w:szCs w:val="24"/>
              </w:rPr>
              <w:t>3.0 Permitted activities</w:t>
            </w:r>
          </w:p>
          <w:p w14:paraId="3CEA74DA" w14:textId="0BE68254" w:rsidR="00B0060B" w:rsidRPr="000B6D93" w:rsidRDefault="00B0060B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060B" w:rsidRPr="000B6D93" w14:paraId="26FE5BF0" w14:textId="77777777">
        <w:trPr>
          <w:jc w:val="center"/>
        </w:trPr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358FBE9D" w14:textId="77777777" w:rsidR="00B0060B" w:rsidRPr="000B6D93" w:rsidRDefault="00E47302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Permitted activities </w:t>
            </w:r>
          </w:p>
          <w:p w14:paraId="66905749" w14:textId="77777777" w:rsidR="00B0060B" w:rsidRPr="000B6D93" w:rsidRDefault="00B0060B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4A718BF2" w14:textId="028172C3" w:rsidR="00472CC9" w:rsidRPr="000B6D93" w:rsidRDefault="003B44F6">
            <w:pPr>
              <w:numPr>
                <w:ilvl w:val="0"/>
                <w:numId w:val="8"/>
              </w:numPr>
              <w:autoSpaceDE w:val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4</w:t>
            </w:r>
            <w:r w:rsidR="00296CF1">
              <w:rPr>
                <w:rFonts w:asciiTheme="minorHAnsi" w:hAnsiTheme="minorHAnsi" w:cstheme="minorHAnsi"/>
                <w:bCs/>
                <w:szCs w:val="24"/>
              </w:rPr>
              <w:t xml:space="preserve">200 &lt;30kg </w:t>
            </w:r>
            <w:r w:rsidR="00395977">
              <w:rPr>
                <w:rFonts w:asciiTheme="minorHAnsi" w:hAnsiTheme="minorHAnsi" w:cstheme="minorHAnsi"/>
                <w:bCs/>
                <w:szCs w:val="24"/>
              </w:rPr>
              <w:t>finisher pigs and 800 gilts (100 less than 30kg and 700 over 30kg pigs)</w:t>
            </w:r>
            <w:r w:rsidR="006C78E7">
              <w:rPr>
                <w:rFonts w:asciiTheme="minorHAnsi" w:hAnsiTheme="minorHAnsi" w:cstheme="minorHAnsi"/>
                <w:bCs/>
                <w:szCs w:val="24"/>
              </w:rPr>
              <w:t>, t</w:t>
            </w:r>
            <w:r>
              <w:rPr>
                <w:rFonts w:asciiTheme="minorHAnsi" w:hAnsiTheme="minorHAnsi" w:cstheme="minorHAnsi"/>
                <w:bCs/>
                <w:szCs w:val="24"/>
              </w:rPr>
              <w:t>hree</w:t>
            </w:r>
            <w:r w:rsidR="006C78E7">
              <w:rPr>
                <w:rFonts w:asciiTheme="minorHAnsi" w:hAnsiTheme="minorHAnsi" w:cstheme="minorHAnsi"/>
                <w:bCs/>
                <w:szCs w:val="24"/>
              </w:rPr>
              <w:t xml:space="preserve"> boars.</w:t>
            </w:r>
          </w:p>
          <w:p w14:paraId="175E98FB" w14:textId="11F57990" w:rsidR="00EC0189" w:rsidRDefault="00EC018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0B6D93">
              <w:rPr>
                <w:rFonts w:asciiTheme="minorHAnsi" w:hAnsiTheme="minorHAnsi" w:cstheme="minorHAnsi"/>
                <w:bCs/>
                <w:iCs/>
                <w:szCs w:val="24"/>
              </w:rPr>
              <w:t>Fully slatted system</w:t>
            </w:r>
            <w:r w:rsidR="00E444E2">
              <w:rPr>
                <w:rFonts w:asciiTheme="minorHAnsi" w:hAnsiTheme="minorHAnsi" w:cstheme="minorHAnsi"/>
                <w:bCs/>
                <w:iCs/>
                <w:szCs w:val="24"/>
              </w:rPr>
              <w:t xml:space="preserve"> (shallow pit, frequent slurry removal by vacuum system</w:t>
            </w:r>
            <w:r w:rsidR="00372363">
              <w:rPr>
                <w:rFonts w:asciiTheme="minorHAnsi" w:hAnsiTheme="minorHAnsi" w:cstheme="minorHAnsi"/>
                <w:bCs/>
                <w:iCs/>
                <w:szCs w:val="24"/>
              </w:rPr>
              <w:t xml:space="preserve"> exported to </w:t>
            </w:r>
            <w:proofErr w:type="spellStart"/>
            <w:r w:rsidR="00372363">
              <w:rPr>
                <w:rFonts w:asciiTheme="minorHAnsi" w:hAnsiTheme="minorHAnsi" w:cstheme="minorHAnsi"/>
                <w:bCs/>
                <w:iCs/>
                <w:szCs w:val="24"/>
              </w:rPr>
              <w:t>toher</w:t>
            </w:r>
            <w:proofErr w:type="spellEnd"/>
            <w:r w:rsidR="00372363">
              <w:rPr>
                <w:rFonts w:asciiTheme="minorHAnsi" w:hAnsiTheme="minorHAnsi" w:cstheme="minorHAnsi"/>
                <w:bCs/>
                <w:iCs/>
                <w:szCs w:val="24"/>
              </w:rPr>
              <w:t xml:space="preserve"> storage or utilised</w:t>
            </w:r>
            <w:r w:rsidR="00100CE6">
              <w:rPr>
                <w:rFonts w:asciiTheme="minorHAnsi" w:hAnsiTheme="minorHAnsi" w:cstheme="minorHAnsi"/>
                <w:bCs/>
                <w:iCs/>
                <w:szCs w:val="24"/>
              </w:rPr>
              <w:t>)</w:t>
            </w:r>
            <w:r w:rsidR="00370C96">
              <w:rPr>
                <w:rFonts w:asciiTheme="minorHAnsi" w:hAnsiTheme="minorHAnsi" w:cstheme="minorHAnsi"/>
                <w:bCs/>
                <w:iCs/>
                <w:szCs w:val="24"/>
              </w:rPr>
              <w:t xml:space="preserve"> for finisher units.</w:t>
            </w:r>
          </w:p>
          <w:p w14:paraId="6F636D72" w14:textId="1BCB63CD" w:rsidR="00296CF1" w:rsidRPr="000B6D93" w:rsidRDefault="00296CF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 xml:space="preserve">Straw based for the gilt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</w:rPr>
              <w:t>growout</w:t>
            </w:r>
            <w:proofErr w:type="spellEnd"/>
            <w:r w:rsidR="00372363">
              <w:rPr>
                <w:rFonts w:asciiTheme="minorHAnsi" w:hAnsiTheme="minorHAnsi" w:cstheme="minorHAnsi"/>
                <w:bCs/>
                <w:iCs/>
                <w:szCs w:val="24"/>
              </w:rPr>
              <w:t xml:space="preserve"> (frequent removal of manure exported offsite)</w:t>
            </w:r>
            <w:r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  <w:p w14:paraId="5EED6ED2" w14:textId="09B7F583" w:rsidR="00472CC9" w:rsidRPr="000B6D93" w:rsidRDefault="007E715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V</w:t>
            </w:r>
            <w:r w:rsidR="00EC0189" w:rsidRPr="000B6D93">
              <w:rPr>
                <w:rFonts w:asciiTheme="minorHAnsi" w:hAnsiTheme="minorHAnsi" w:cstheme="minorHAnsi"/>
                <w:bCs/>
                <w:iCs/>
                <w:szCs w:val="24"/>
              </w:rPr>
              <w:t>entilation system</w:t>
            </w:r>
            <w:r w:rsidR="00E444E2">
              <w:rPr>
                <w:rFonts w:asciiTheme="minorHAnsi" w:hAnsiTheme="minorHAnsi" w:cstheme="minorHAnsi"/>
                <w:bCs/>
                <w:iCs/>
                <w:szCs w:val="24"/>
              </w:rPr>
              <w:t xml:space="preserve"> high speed roof fans</w:t>
            </w:r>
            <w:r w:rsidR="00296CF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for finisher unit</w:t>
            </w:r>
            <w:r w:rsidR="00370C96">
              <w:rPr>
                <w:rFonts w:asciiTheme="minorHAnsi" w:hAnsiTheme="minorHAnsi" w:cstheme="minorHAnsi"/>
                <w:bCs/>
                <w:iCs/>
                <w:szCs w:val="24"/>
              </w:rPr>
              <w:t>s</w:t>
            </w:r>
            <w:r w:rsidR="00296CF1">
              <w:rPr>
                <w:rFonts w:asciiTheme="minorHAnsi" w:hAnsiTheme="minorHAnsi" w:cstheme="minorHAnsi"/>
                <w:bCs/>
                <w:iCs/>
                <w:szCs w:val="24"/>
              </w:rPr>
              <w:t xml:space="preserve"> and natural ventilation for gilt </w:t>
            </w:r>
            <w:proofErr w:type="spellStart"/>
            <w:r w:rsidR="00296CF1">
              <w:rPr>
                <w:rFonts w:asciiTheme="minorHAnsi" w:hAnsiTheme="minorHAnsi" w:cstheme="minorHAnsi"/>
                <w:bCs/>
                <w:iCs/>
                <w:szCs w:val="24"/>
              </w:rPr>
              <w:t>growout</w:t>
            </w:r>
            <w:proofErr w:type="spellEnd"/>
            <w:r w:rsidR="00370C96">
              <w:rPr>
                <w:rFonts w:asciiTheme="minorHAnsi" w:hAnsiTheme="minorHAnsi" w:cstheme="minorHAnsi"/>
                <w:bCs/>
                <w:iCs/>
                <w:szCs w:val="24"/>
              </w:rPr>
              <w:t>.</w:t>
            </w:r>
          </w:p>
          <w:p w14:paraId="76BEC034" w14:textId="526A346E" w:rsidR="00B0060B" w:rsidRPr="00372363" w:rsidRDefault="00E47302" w:rsidP="0037236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0B6D93">
              <w:rPr>
                <w:rFonts w:asciiTheme="minorHAnsi" w:hAnsiTheme="minorHAnsi" w:cstheme="minorHAnsi"/>
                <w:bCs/>
                <w:iCs/>
                <w:szCs w:val="24"/>
              </w:rPr>
              <w:t xml:space="preserve">Pig feed storage and feeding </w:t>
            </w:r>
          </w:p>
          <w:p w14:paraId="0EE0870D" w14:textId="77777777" w:rsidR="00B0060B" w:rsidRPr="007E7157" w:rsidRDefault="00E473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color w:val="auto"/>
                <w:szCs w:val="24"/>
              </w:rPr>
            </w:pPr>
            <w:r w:rsidRPr="007E7157">
              <w:rPr>
                <w:rFonts w:asciiTheme="minorHAnsi" w:hAnsiTheme="minorHAnsi" w:cstheme="minorHAnsi"/>
                <w:bCs/>
                <w:iCs/>
                <w:color w:val="auto"/>
                <w:szCs w:val="24"/>
              </w:rPr>
              <w:t xml:space="preserve">Fuel, </w:t>
            </w:r>
            <w:proofErr w:type="gramStart"/>
            <w:r w:rsidRPr="007E7157">
              <w:rPr>
                <w:rFonts w:asciiTheme="minorHAnsi" w:hAnsiTheme="minorHAnsi" w:cstheme="minorHAnsi"/>
                <w:bCs/>
                <w:iCs/>
                <w:color w:val="auto"/>
                <w:szCs w:val="24"/>
              </w:rPr>
              <w:t>oil</w:t>
            </w:r>
            <w:proofErr w:type="gramEnd"/>
            <w:r w:rsidRPr="007E7157">
              <w:rPr>
                <w:rFonts w:asciiTheme="minorHAnsi" w:hAnsiTheme="minorHAnsi" w:cstheme="minorHAnsi"/>
                <w:bCs/>
                <w:iCs/>
                <w:color w:val="auto"/>
                <w:szCs w:val="24"/>
              </w:rPr>
              <w:t xml:space="preserve"> and biocide storage</w:t>
            </w:r>
          </w:p>
          <w:p w14:paraId="37D00C7A" w14:textId="56521846" w:rsidR="00EC0189" w:rsidRPr="000B6D93" w:rsidRDefault="00DE6E4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Deadstock disposed of off-site</w:t>
            </w:r>
          </w:p>
          <w:p w14:paraId="46E3047E" w14:textId="346503EF" w:rsidR="00B0060B" w:rsidRDefault="00B0060B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2254B800" w14:textId="15AAB49F" w:rsidR="00AF6484" w:rsidRDefault="00AF6484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 xml:space="preserve">All manure from the gilt </w:t>
            </w:r>
            <w:proofErr w:type="spellStart"/>
            <w:r>
              <w:rPr>
                <w:rFonts w:asciiTheme="minorHAnsi" w:hAnsiTheme="minorHAnsi" w:cstheme="minorHAnsi"/>
                <w:iCs/>
                <w:szCs w:val="24"/>
              </w:rPr>
              <w:t>growout</w:t>
            </w:r>
            <w:proofErr w:type="spellEnd"/>
            <w:r>
              <w:rPr>
                <w:rFonts w:asciiTheme="minorHAnsi" w:hAnsiTheme="minorHAnsi" w:cstheme="minorHAnsi"/>
                <w:iCs/>
                <w:szCs w:val="24"/>
              </w:rPr>
              <w:t xml:space="preserve"> is removed frequently onto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Cs/>
                <w:szCs w:val="24"/>
              </w:rPr>
              <w:t>a</w:t>
            </w:r>
            <w:proofErr w:type="spellEnd"/>
            <w:proofErr w:type="gramEnd"/>
            <w:r>
              <w:rPr>
                <w:rFonts w:asciiTheme="minorHAnsi" w:hAnsiTheme="minorHAnsi" w:cstheme="minorHAnsi"/>
                <w:iCs/>
                <w:szCs w:val="24"/>
              </w:rPr>
              <w:t xml:space="preserve"> impermeable manure heap. This and the dirty water produced from the gilt </w:t>
            </w:r>
            <w:proofErr w:type="spellStart"/>
            <w:r>
              <w:rPr>
                <w:rFonts w:asciiTheme="minorHAnsi" w:hAnsiTheme="minorHAnsi" w:cstheme="minorHAnsi"/>
                <w:iCs/>
                <w:szCs w:val="24"/>
              </w:rPr>
              <w:t>growout</w:t>
            </w:r>
            <w:proofErr w:type="spellEnd"/>
            <w:r>
              <w:rPr>
                <w:rFonts w:asciiTheme="minorHAnsi" w:hAnsiTheme="minorHAnsi" w:cstheme="minorHAnsi"/>
                <w:iCs/>
                <w:szCs w:val="24"/>
              </w:rPr>
              <w:t xml:space="preserve"> is collected on a regular basis by a </w:t>
            </w:r>
            <w:r w:rsidR="00854FC8">
              <w:rPr>
                <w:rFonts w:asciiTheme="minorHAnsi" w:hAnsiTheme="minorHAnsi" w:cstheme="minorHAnsi"/>
                <w:iCs/>
                <w:szCs w:val="24"/>
              </w:rPr>
              <w:t>3</w:t>
            </w:r>
            <w:r w:rsidR="00854FC8" w:rsidRPr="00854FC8">
              <w:rPr>
                <w:rFonts w:asciiTheme="minorHAnsi" w:hAnsiTheme="minorHAnsi" w:cstheme="minorHAnsi"/>
                <w:iCs/>
                <w:szCs w:val="24"/>
                <w:vertAlign w:val="superscript"/>
              </w:rPr>
              <w:t>rd</w:t>
            </w:r>
            <w:r w:rsidR="00854FC8">
              <w:rPr>
                <w:rFonts w:asciiTheme="minorHAnsi" w:hAnsiTheme="minorHAnsi" w:cstheme="minorHAnsi"/>
                <w:iCs/>
                <w:szCs w:val="24"/>
              </w:rPr>
              <w:t xml:space="preserve"> party who own and manage the manure once they have collected it from site.</w:t>
            </w:r>
          </w:p>
          <w:p w14:paraId="50DFED43" w14:textId="399DF157" w:rsidR="00854FC8" w:rsidRDefault="00854FC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B4073D0" w14:textId="2BFB2D36" w:rsidR="00854FC8" w:rsidRDefault="00854FC8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 xml:space="preserve">All slurry </w:t>
            </w:r>
            <w:r w:rsidR="000B6734">
              <w:rPr>
                <w:rFonts w:asciiTheme="minorHAnsi" w:hAnsiTheme="minorHAnsi" w:cstheme="minorHAnsi"/>
                <w:iCs/>
                <w:szCs w:val="24"/>
              </w:rPr>
              <w:t xml:space="preserve">(and dirty water which is drained into the slurry) </w:t>
            </w:r>
            <w:r>
              <w:rPr>
                <w:rFonts w:asciiTheme="minorHAnsi" w:hAnsiTheme="minorHAnsi" w:cstheme="minorHAnsi"/>
                <w:iCs/>
                <w:szCs w:val="24"/>
              </w:rPr>
              <w:t xml:space="preserve">will be </w:t>
            </w:r>
            <w:r w:rsidR="00100CE6">
              <w:rPr>
                <w:rFonts w:asciiTheme="minorHAnsi" w:hAnsiTheme="minorHAnsi" w:cstheme="minorHAnsi"/>
                <w:iCs/>
                <w:szCs w:val="24"/>
              </w:rPr>
              <w:t>exported</w:t>
            </w:r>
            <w:r w:rsidR="000B6734">
              <w:rPr>
                <w:rFonts w:asciiTheme="minorHAnsi" w:hAnsiTheme="minorHAnsi" w:cstheme="minorHAnsi"/>
                <w:iCs/>
                <w:szCs w:val="24"/>
              </w:rPr>
              <w:t xml:space="preserve"> and managed by the </w:t>
            </w:r>
            <w:proofErr w:type="spellStart"/>
            <w:r w:rsidR="000B6734">
              <w:rPr>
                <w:rFonts w:asciiTheme="minorHAnsi" w:hAnsiTheme="minorHAnsi" w:cstheme="minorHAnsi"/>
                <w:iCs/>
                <w:szCs w:val="24"/>
              </w:rPr>
              <w:t>Scampston</w:t>
            </w:r>
            <w:proofErr w:type="spellEnd"/>
            <w:r w:rsidR="000B6734">
              <w:rPr>
                <w:rFonts w:asciiTheme="minorHAnsi" w:hAnsiTheme="minorHAnsi" w:cstheme="minorHAnsi"/>
                <w:iCs/>
                <w:szCs w:val="24"/>
              </w:rPr>
              <w:t xml:space="preserve"> estate separate to the JSR business</w:t>
            </w:r>
            <w:r w:rsidR="000950CA">
              <w:rPr>
                <w:rFonts w:asciiTheme="minorHAnsi" w:hAnsiTheme="minorHAnsi" w:cstheme="minorHAnsi"/>
                <w:iCs/>
                <w:szCs w:val="24"/>
              </w:rPr>
              <w:t xml:space="preserve"> (unless storage is required which will be provided by JSR arable business)</w:t>
            </w:r>
            <w:r w:rsidR="000B6734">
              <w:rPr>
                <w:rFonts w:asciiTheme="minorHAnsi" w:hAnsiTheme="minorHAnsi" w:cstheme="minorHAnsi"/>
                <w:iCs/>
                <w:szCs w:val="24"/>
              </w:rPr>
              <w:t xml:space="preserve">. </w:t>
            </w:r>
            <w:proofErr w:type="spellStart"/>
            <w:r w:rsidR="000B6734">
              <w:rPr>
                <w:rFonts w:asciiTheme="minorHAnsi" w:hAnsiTheme="minorHAnsi" w:cstheme="minorHAnsi"/>
                <w:iCs/>
                <w:szCs w:val="24"/>
              </w:rPr>
              <w:t>Scampston</w:t>
            </w:r>
            <w:proofErr w:type="spellEnd"/>
            <w:r w:rsidR="000B6734">
              <w:rPr>
                <w:rFonts w:asciiTheme="minorHAnsi" w:hAnsiTheme="minorHAnsi" w:cstheme="minorHAnsi"/>
                <w:iCs/>
                <w:szCs w:val="24"/>
              </w:rPr>
              <w:t xml:space="preserve"> estate will provide any required details for slurry management.</w:t>
            </w:r>
          </w:p>
          <w:p w14:paraId="64A549E2" w14:textId="77777777" w:rsidR="00AF6484" w:rsidRPr="000B6D93" w:rsidRDefault="00AF6484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69FB6791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96DB25C" w14:textId="55B6F300" w:rsidR="00B0060B" w:rsidRDefault="009B500F">
            <w:pPr>
              <w:autoSpaceDE w:val="0"/>
              <w:ind w:left="-81"/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Both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3</w:t>
            </w:r>
            <w:r w:rsidRPr="009B500F">
              <w:rPr>
                <w:rFonts w:asciiTheme="minorHAnsi" w:hAnsiTheme="minorHAnsi" w:cstheme="minorHAnsi"/>
                <w:bCs/>
                <w:color w:val="000000"/>
                <w:szCs w:val="24"/>
                <w:vertAlign w:val="superscript"/>
              </w:rPr>
              <w:t>rd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party and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Scampston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estate will be acting</w:t>
            </w:r>
            <w:r w:rsidR="00E47302"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in accordance with the requirements of a manure management plan</w:t>
            </w:r>
            <w:r w:rsidR="00E47302" w:rsidRPr="000B6D93"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ensuring the </w:t>
            </w:r>
            <w:r w:rsidR="005956A2" w:rsidRPr="000B6D93"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both are </w:t>
            </w:r>
            <w:r w:rsidR="00E47302" w:rsidRPr="000B6D93"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</w:rPr>
              <w:t>managed to meet Codes of Good Agricultural Practice and NVZ Guidelines. We keep stock counts and the tonnage/litres exported</w:t>
            </w:r>
            <w:r w:rsidR="005956A2" w:rsidRPr="000B6D93"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</w:rPr>
              <w:t>/applied</w:t>
            </w:r>
            <w:r w:rsidR="00E47302" w:rsidRPr="000B6D93"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 (including dates of export</w:t>
            </w:r>
            <w:r w:rsidR="005956A2" w:rsidRPr="000B6D93"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</w:rPr>
              <w:t>/application</w:t>
            </w:r>
            <w:r w:rsidR="00E47302" w:rsidRPr="000B6D93">
              <w:rPr>
                <w:rFonts w:asciiTheme="minorHAnsi" w:hAnsiTheme="minorHAnsi" w:cstheme="minorHAnsi"/>
                <w:bCs/>
                <w:color w:val="000000"/>
                <w:szCs w:val="24"/>
                <w:shd w:val="clear" w:color="auto" w:fill="FFFFFF"/>
              </w:rPr>
              <w:t xml:space="preserve">). </w:t>
            </w:r>
          </w:p>
          <w:p w14:paraId="107BD239" w14:textId="77777777" w:rsidR="00D63765" w:rsidRPr="000B6D93" w:rsidRDefault="00D63765">
            <w:pPr>
              <w:autoSpaceDE w:val="0"/>
              <w:ind w:left="-81"/>
              <w:rPr>
                <w:rFonts w:asciiTheme="minorHAnsi" w:hAnsiTheme="minorHAnsi" w:cstheme="minorHAnsi"/>
                <w:szCs w:val="24"/>
              </w:rPr>
            </w:pPr>
          </w:p>
          <w:p w14:paraId="70604385" w14:textId="1CA44DE3" w:rsidR="00B0060B" w:rsidRPr="000B6D93" w:rsidRDefault="00E47302">
            <w:pPr>
              <w:autoSpaceDE w:val="0"/>
              <w:ind w:left="-81"/>
              <w:jc w:val="both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t>Dead animal carcasses are stored within</w:t>
            </w:r>
            <w:r w:rsidR="007E7157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a </w:t>
            </w:r>
            <w:r w:rsidR="00D33B52">
              <w:rPr>
                <w:rFonts w:asciiTheme="minorHAnsi" w:hAnsiTheme="minorHAnsi" w:cstheme="minorHAnsi"/>
                <w:bCs/>
                <w:color w:val="000000"/>
                <w:szCs w:val="24"/>
              </w:rPr>
              <w:t>locked</w:t>
            </w:r>
            <w:r w:rsidR="00D33B52"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covered container</w:t>
            </w:r>
            <w:r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</w:t>
            </w:r>
            <w:r w:rsidR="003C30B3" w:rsidRPr="000B6D93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before they are </w:t>
            </w:r>
            <w:r w:rsidR="00BB436D">
              <w:rPr>
                <w:rFonts w:asciiTheme="minorHAnsi" w:hAnsiTheme="minorHAnsi" w:cstheme="minorHAnsi"/>
                <w:bCs/>
                <w:color w:val="000000"/>
                <w:szCs w:val="24"/>
              </w:rPr>
              <w:t>collect</w:t>
            </w:r>
            <w:r w:rsidR="003140E0">
              <w:rPr>
                <w:rFonts w:asciiTheme="minorHAnsi" w:hAnsiTheme="minorHAnsi" w:cstheme="minorHAnsi"/>
                <w:bCs/>
                <w:color w:val="000000"/>
                <w:szCs w:val="24"/>
              </w:rPr>
              <w:t>ed</w:t>
            </w:r>
            <w:r w:rsidR="00BB436D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 from the site to be disposed of externally</w:t>
            </w:r>
            <w:r w:rsidR="00D33B52">
              <w:rPr>
                <w:rFonts w:asciiTheme="minorHAnsi" w:hAnsiTheme="minorHAnsi" w:cstheme="minorHAnsi"/>
                <w:bCs/>
                <w:color w:val="000000"/>
                <w:szCs w:val="24"/>
              </w:rPr>
              <w:t>.</w:t>
            </w:r>
          </w:p>
          <w:p w14:paraId="380B25D3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EB6E7B2" w14:textId="1813B085" w:rsidR="00B0060B" w:rsidRPr="000B6D93" w:rsidRDefault="00CB543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 xml:space="preserve">Feed delivery is via sealed system in to sealed feed bins. </w:t>
            </w:r>
            <w:r w:rsidR="004D1DC0">
              <w:rPr>
                <w:rFonts w:asciiTheme="minorHAnsi" w:hAnsiTheme="minorHAnsi" w:cstheme="minorHAnsi"/>
                <w:szCs w:val="24"/>
              </w:rPr>
              <w:t xml:space="preserve">Meal / pelleted feed is supplied by our own mill and mix or compounders. </w:t>
            </w:r>
            <w:r w:rsidR="00E47302" w:rsidRPr="000B6D93">
              <w:rPr>
                <w:rFonts w:asciiTheme="minorHAnsi" w:hAnsiTheme="minorHAnsi" w:cstheme="minorHAnsi"/>
                <w:szCs w:val="24"/>
              </w:rPr>
              <w:t xml:space="preserve">All diets are formulated to match the </w:t>
            </w:r>
            <w:r w:rsidR="003C30B3" w:rsidRPr="000B6D93">
              <w:rPr>
                <w:rFonts w:asciiTheme="minorHAnsi" w:hAnsiTheme="minorHAnsi" w:cstheme="minorHAnsi"/>
                <w:szCs w:val="24"/>
              </w:rPr>
              <w:t>stage of the gilt</w:t>
            </w:r>
            <w:r w:rsidR="00543A2D">
              <w:rPr>
                <w:rFonts w:asciiTheme="minorHAnsi" w:hAnsiTheme="minorHAnsi" w:cstheme="minorHAnsi"/>
                <w:szCs w:val="24"/>
              </w:rPr>
              <w:t>s and production pigs.</w:t>
            </w:r>
          </w:p>
          <w:p w14:paraId="69E35B8C" w14:textId="325D7006" w:rsidR="00B0060B" w:rsidRDefault="00B0060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23BF96D" w14:textId="174310E8" w:rsidR="00B0060B" w:rsidRPr="000B6D93" w:rsidRDefault="00543A2D">
            <w:pPr>
              <w:jc w:val="both"/>
              <w:rPr>
                <w:rFonts w:asciiTheme="minorHAnsi" w:hAnsiTheme="minorHAnsi" w:cstheme="minorHAnsi"/>
                <w:i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Water is sourced </w:t>
            </w:r>
            <w:r w:rsidR="00BC133C">
              <w:rPr>
                <w:rFonts w:asciiTheme="minorHAnsi" w:hAnsiTheme="minorHAnsi" w:cstheme="minorHAnsi"/>
                <w:szCs w:val="24"/>
              </w:rPr>
              <w:t xml:space="preserve">from borehole with </w:t>
            </w:r>
            <w:r w:rsidR="000B31EC">
              <w:rPr>
                <w:rFonts w:asciiTheme="minorHAnsi" w:hAnsiTheme="minorHAnsi" w:cstheme="minorHAnsi"/>
                <w:szCs w:val="24"/>
              </w:rPr>
              <w:t>mains supply as back up.</w:t>
            </w:r>
            <w:r w:rsidR="00CD6924" w:rsidRPr="0005063E">
              <w:rPr>
                <w:rFonts w:asciiTheme="minorHAnsi" w:hAnsiTheme="minorHAnsi" w:cstheme="minorHAnsi"/>
                <w:iCs/>
                <w:color w:val="auto"/>
                <w:szCs w:val="24"/>
              </w:rPr>
              <w:t xml:space="preserve"> </w:t>
            </w:r>
          </w:p>
          <w:p w14:paraId="61DCB631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  <w:p w14:paraId="75EA31FD" w14:textId="6061B07C" w:rsidR="00B0060B" w:rsidRPr="000B6D93" w:rsidRDefault="00E4730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0B6D93">
              <w:rPr>
                <w:rFonts w:asciiTheme="minorHAnsi" w:hAnsiTheme="minorHAnsi" w:cstheme="minorHAnsi"/>
                <w:szCs w:val="24"/>
              </w:rPr>
              <w:t>Chemicals and medicines are stored in a store compliant with current regulations. Pens are cleaned and disi</w:t>
            </w:r>
            <w:r w:rsidR="00236901" w:rsidRPr="000B6D93">
              <w:rPr>
                <w:rFonts w:asciiTheme="minorHAnsi" w:hAnsiTheme="minorHAnsi" w:cstheme="minorHAnsi"/>
                <w:szCs w:val="24"/>
              </w:rPr>
              <w:t xml:space="preserve">nfected between batches </w:t>
            </w:r>
            <w:r w:rsidR="000B31EC">
              <w:rPr>
                <w:rFonts w:asciiTheme="minorHAnsi" w:hAnsiTheme="minorHAnsi" w:cstheme="minorHAnsi"/>
                <w:szCs w:val="24"/>
              </w:rPr>
              <w:t>of</w:t>
            </w:r>
            <w:r w:rsidR="00720988">
              <w:rPr>
                <w:rFonts w:asciiTheme="minorHAnsi" w:hAnsiTheme="minorHAnsi" w:cstheme="minorHAnsi"/>
                <w:szCs w:val="24"/>
              </w:rPr>
              <w:t xml:space="preserve"> finisher pigs</w:t>
            </w:r>
            <w:r w:rsidR="000B31EC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="00B929E5">
              <w:rPr>
                <w:rFonts w:asciiTheme="minorHAnsi" w:hAnsiTheme="minorHAnsi" w:cstheme="minorHAnsi"/>
                <w:szCs w:val="24"/>
              </w:rPr>
              <w:t>mucked out regularly within the gilt unit</w:t>
            </w:r>
            <w:r w:rsidR="00236901" w:rsidRPr="000B6D93">
              <w:rPr>
                <w:rFonts w:asciiTheme="minorHAnsi" w:hAnsiTheme="minorHAnsi" w:cstheme="minorHAnsi"/>
                <w:szCs w:val="24"/>
              </w:rPr>
              <w:t>.</w:t>
            </w:r>
          </w:p>
          <w:p w14:paraId="348CC054" w14:textId="77777777" w:rsidR="00B0060B" w:rsidRPr="000B6D93" w:rsidRDefault="00B0060B">
            <w:pPr>
              <w:jc w:val="both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6BB3574" w14:textId="77777777" w:rsidR="00B0060B" w:rsidRPr="000B6D93" w:rsidRDefault="00E47302">
            <w:pPr>
              <w:jc w:val="both"/>
              <w:rPr>
                <w:rFonts w:asciiTheme="minorHAnsi" w:hAnsiTheme="minorHAnsi" w:cstheme="minorHAnsi"/>
                <w:iCs/>
                <w:color w:val="FF0000"/>
                <w:szCs w:val="24"/>
              </w:rPr>
            </w:pPr>
            <w:r w:rsidRPr="000B6D93">
              <w:rPr>
                <w:rFonts w:asciiTheme="minorHAnsi" w:hAnsiTheme="minorHAnsi" w:cstheme="minorHAnsi"/>
                <w:iCs/>
                <w:szCs w:val="24"/>
              </w:rPr>
              <w:t>There are no planned changes to pollution prevention measures anticipated to occur within six months of submitting this Site Condition Report to comply with BAT requirements.</w:t>
            </w:r>
            <w:r w:rsidRPr="000B6D93">
              <w:rPr>
                <w:rFonts w:asciiTheme="minorHAnsi" w:hAnsiTheme="minorHAnsi" w:cstheme="minorHAnsi"/>
                <w:iCs/>
                <w:color w:val="FF0000"/>
                <w:szCs w:val="24"/>
              </w:rPr>
              <w:t xml:space="preserve"> </w:t>
            </w:r>
          </w:p>
        </w:tc>
      </w:tr>
      <w:tr w:rsidR="00B0060B" w:rsidRPr="000B6D93" w14:paraId="03349B16" w14:textId="77777777">
        <w:trPr>
          <w:jc w:val="center"/>
        </w:trPr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719D3E4" w14:textId="77777777" w:rsidR="00B0060B" w:rsidRPr="000B6D93" w:rsidRDefault="00E47302">
            <w:pPr>
              <w:pStyle w:val="BodyText3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Non-permitted activities undertaken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04E2932B" w14:textId="77777777" w:rsidR="00B0060B" w:rsidRPr="000B6D93" w:rsidRDefault="00E47302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Not applicable</w:t>
            </w:r>
          </w:p>
        </w:tc>
      </w:tr>
      <w:tr w:rsidR="00B0060B" w:rsidRPr="000B6D93" w14:paraId="7F8053E6" w14:textId="77777777">
        <w:trPr>
          <w:trHeight w:val="1224"/>
          <w:jc w:val="center"/>
        </w:trPr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142E52E4" w14:textId="77777777" w:rsidR="00B0060B" w:rsidRPr="000B6D93" w:rsidRDefault="00E47302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Document references for:</w:t>
            </w:r>
          </w:p>
          <w:p w14:paraId="502EBBA3" w14:textId="77777777" w:rsidR="00B0060B" w:rsidRPr="000B6D93" w:rsidRDefault="00E47302">
            <w:pPr>
              <w:pStyle w:val="BodyText3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Plan showing activity layout </w:t>
            </w:r>
          </w:p>
          <w:p w14:paraId="2BE13FA5" w14:textId="77777777" w:rsidR="00B0060B" w:rsidRPr="000B6D93" w:rsidRDefault="00E47302">
            <w:pPr>
              <w:pStyle w:val="BodyText3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Environmental risk assessment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14:paraId="7B537833" w14:textId="6E38D3BC" w:rsidR="00B0060B" w:rsidRPr="000B6D93" w:rsidRDefault="00E47302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>Site Location Plan and Site Layout Plans</w:t>
            </w:r>
          </w:p>
          <w:p w14:paraId="4C3745DF" w14:textId="45AA2CF7" w:rsidR="00B0060B" w:rsidRPr="000B6D93" w:rsidRDefault="00E47302" w:rsidP="00DB30D3">
            <w:pPr>
              <w:pStyle w:val="BodyText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6D93">
              <w:rPr>
                <w:rFonts w:asciiTheme="minorHAnsi" w:hAnsiTheme="minorHAnsi" w:cstheme="minorHAnsi"/>
                <w:sz w:val="24"/>
                <w:szCs w:val="24"/>
              </w:rPr>
              <w:t xml:space="preserve">Environmental Risk Assessment </w:t>
            </w:r>
          </w:p>
        </w:tc>
      </w:tr>
    </w:tbl>
    <w:p w14:paraId="791FA13A" w14:textId="77777777" w:rsidR="00B0060B" w:rsidRPr="000E3757" w:rsidRDefault="00B0060B">
      <w:pPr>
        <w:pStyle w:val="AgencyStdParagraph"/>
        <w:rPr>
          <w:rFonts w:ascii="Times New Roman" w:hAnsi="Times New Roman"/>
        </w:rPr>
      </w:pPr>
    </w:p>
    <w:sectPr w:rsidR="00B0060B" w:rsidRPr="000E3757">
      <w:footerReference w:type="default" r:id="rId7"/>
      <w:pgSz w:w="11906" w:h="16838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729E" w14:textId="77777777" w:rsidR="00F60A4B" w:rsidRDefault="00F60A4B">
      <w:pPr>
        <w:spacing w:line="240" w:lineRule="auto"/>
      </w:pPr>
      <w:r>
        <w:separator/>
      </w:r>
    </w:p>
  </w:endnote>
  <w:endnote w:type="continuationSeparator" w:id="0">
    <w:p w14:paraId="4B13FF36" w14:textId="77777777" w:rsidR="00F60A4B" w:rsidRDefault="00F60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AAA8" w14:textId="77777777" w:rsidR="00B0060B" w:rsidRDefault="00E47302">
    <w:pPr>
      <w:pStyle w:val="Footer"/>
      <w:ind w:right="360"/>
      <w:rPr>
        <w:rFonts w:ascii="Arial" w:hAnsi="Arial" w:cs="Arial"/>
        <w:sz w:val="18"/>
        <w:szCs w:val="18"/>
      </w:rPr>
    </w:pPr>
    <w:r>
      <w:fldChar w:fldCharType="begin"/>
    </w:r>
    <w:r>
      <w:instrText>FILENAME</w:instrText>
    </w:r>
    <w:r>
      <w:fldChar w:fldCharType="separate"/>
    </w:r>
    <w:r>
      <w:t>site-condition-report</w:t>
    </w:r>
    <w:r>
      <w:fldChar w:fldCharType="end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DB30D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9A9A" w14:textId="77777777" w:rsidR="00F60A4B" w:rsidRDefault="00F60A4B">
      <w:pPr>
        <w:spacing w:line="240" w:lineRule="auto"/>
      </w:pPr>
      <w:r>
        <w:separator/>
      </w:r>
    </w:p>
  </w:footnote>
  <w:footnote w:type="continuationSeparator" w:id="0">
    <w:p w14:paraId="7D8850DC" w14:textId="77777777" w:rsidR="00F60A4B" w:rsidRDefault="00F60A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FD"/>
    <w:multiLevelType w:val="multilevel"/>
    <w:tmpl w:val="A986E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11BFF"/>
    <w:multiLevelType w:val="multilevel"/>
    <w:tmpl w:val="5438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F34C7"/>
    <w:multiLevelType w:val="multilevel"/>
    <w:tmpl w:val="F0C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8FA73DF"/>
    <w:multiLevelType w:val="multilevel"/>
    <w:tmpl w:val="FF7AA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 w15:restartNumberingAfterBreak="0">
    <w:nsid w:val="19C96798"/>
    <w:multiLevelType w:val="multilevel"/>
    <w:tmpl w:val="1EB67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FC209D"/>
    <w:multiLevelType w:val="multilevel"/>
    <w:tmpl w:val="BAD290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4584D"/>
    <w:multiLevelType w:val="multilevel"/>
    <w:tmpl w:val="8CC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0F686F"/>
    <w:multiLevelType w:val="multilevel"/>
    <w:tmpl w:val="59DE2F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37703F"/>
    <w:multiLevelType w:val="hybridMultilevel"/>
    <w:tmpl w:val="9F680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9" w15:restartNumberingAfterBreak="0">
    <w:nsid w:val="2E010AF1"/>
    <w:multiLevelType w:val="multilevel"/>
    <w:tmpl w:val="E9B67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14250F"/>
    <w:multiLevelType w:val="multilevel"/>
    <w:tmpl w:val="E16204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2313A1"/>
    <w:multiLevelType w:val="multilevel"/>
    <w:tmpl w:val="5FD4A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4144A2"/>
    <w:multiLevelType w:val="multilevel"/>
    <w:tmpl w:val="91A259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3B664F"/>
    <w:multiLevelType w:val="multilevel"/>
    <w:tmpl w:val="883616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3D25DB8"/>
    <w:multiLevelType w:val="multilevel"/>
    <w:tmpl w:val="4CF6FCB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96D724C"/>
    <w:multiLevelType w:val="multilevel"/>
    <w:tmpl w:val="30D8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5D7AE6"/>
    <w:multiLevelType w:val="multilevel"/>
    <w:tmpl w:val="371EC7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AA0B04"/>
    <w:multiLevelType w:val="multilevel"/>
    <w:tmpl w:val="89203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9B31CB3"/>
    <w:multiLevelType w:val="multilevel"/>
    <w:tmpl w:val="5DB8B9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18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0B"/>
    <w:rsid w:val="00002FA2"/>
    <w:rsid w:val="0005063E"/>
    <w:rsid w:val="000677A2"/>
    <w:rsid w:val="00071610"/>
    <w:rsid w:val="00086792"/>
    <w:rsid w:val="000911BE"/>
    <w:rsid w:val="000950CA"/>
    <w:rsid w:val="000B31EC"/>
    <w:rsid w:val="000B6734"/>
    <w:rsid w:val="000B6D93"/>
    <w:rsid w:val="000E3757"/>
    <w:rsid w:val="00100CE6"/>
    <w:rsid w:val="00101018"/>
    <w:rsid w:val="00110D23"/>
    <w:rsid w:val="0013750A"/>
    <w:rsid w:val="0014349D"/>
    <w:rsid w:val="0015278D"/>
    <w:rsid w:val="001B3C33"/>
    <w:rsid w:val="001F5C52"/>
    <w:rsid w:val="00225C7E"/>
    <w:rsid w:val="00236901"/>
    <w:rsid w:val="00237EBF"/>
    <w:rsid w:val="00241293"/>
    <w:rsid w:val="00243367"/>
    <w:rsid w:val="00254273"/>
    <w:rsid w:val="00261277"/>
    <w:rsid w:val="00263FD1"/>
    <w:rsid w:val="0029175A"/>
    <w:rsid w:val="00296CF1"/>
    <w:rsid w:val="002F3B70"/>
    <w:rsid w:val="003140E0"/>
    <w:rsid w:val="0034350A"/>
    <w:rsid w:val="0034627E"/>
    <w:rsid w:val="003637C9"/>
    <w:rsid w:val="00366C46"/>
    <w:rsid w:val="00370C96"/>
    <w:rsid w:val="00372363"/>
    <w:rsid w:val="00395977"/>
    <w:rsid w:val="003B44F6"/>
    <w:rsid w:val="003C056D"/>
    <w:rsid w:val="003C08A7"/>
    <w:rsid w:val="003C30B3"/>
    <w:rsid w:val="003D0320"/>
    <w:rsid w:val="003F1254"/>
    <w:rsid w:val="00431672"/>
    <w:rsid w:val="00472CC9"/>
    <w:rsid w:val="00495EDE"/>
    <w:rsid w:val="004D1DC0"/>
    <w:rsid w:val="004D478E"/>
    <w:rsid w:val="004F2BD9"/>
    <w:rsid w:val="005264A2"/>
    <w:rsid w:val="00543A2D"/>
    <w:rsid w:val="005956A2"/>
    <w:rsid w:val="005B2AE5"/>
    <w:rsid w:val="005C30E2"/>
    <w:rsid w:val="006039CA"/>
    <w:rsid w:val="00636D14"/>
    <w:rsid w:val="0065124C"/>
    <w:rsid w:val="00655657"/>
    <w:rsid w:val="00667B44"/>
    <w:rsid w:val="006C7323"/>
    <w:rsid w:val="006C78E7"/>
    <w:rsid w:val="00720988"/>
    <w:rsid w:val="00740A09"/>
    <w:rsid w:val="00756155"/>
    <w:rsid w:val="007660FA"/>
    <w:rsid w:val="007A1F3C"/>
    <w:rsid w:val="007E063A"/>
    <w:rsid w:val="007E6B94"/>
    <w:rsid w:val="007E7157"/>
    <w:rsid w:val="007F0F57"/>
    <w:rsid w:val="007F53AE"/>
    <w:rsid w:val="00800A1E"/>
    <w:rsid w:val="008122CA"/>
    <w:rsid w:val="00813818"/>
    <w:rsid w:val="00816B08"/>
    <w:rsid w:val="00854FC8"/>
    <w:rsid w:val="008A12A2"/>
    <w:rsid w:val="008B3932"/>
    <w:rsid w:val="008E3247"/>
    <w:rsid w:val="008E4B12"/>
    <w:rsid w:val="00910BDF"/>
    <w:rsid w:val="009215DB"/>
    <w:rsid w:val="00926DD0"/>
    <w:rsid w:val="009562B1"/>
    <w:rsid w:val="009B500F"/>
    <w:rsid w:val="00A3555B"/>
    <w:rsid w:val="00AE2DF9"/>
    <w:rsid w:val="00AF3219"/>
    <w:rsid w:val="00AF6484"/>
    <w:rsid w:val="00B0060B"/>
    <w:rsid w:val="00B175C6"/>
    <w:rsid w:val="00B23168"/>
    <w:rsid w:val="00B52C7A"/>
    <w:rsid w:val="00B618BB"/>
    <w:rsid w:val="00B918A7"/>
    <w:rsid w:val="00B929E5"/>
    <w:rsid w:val="00BA2D35"/>
    <w:rsid w:val="00BB436D"/>
    <w:rsid w:val="00BC133C"/>
    <w:rsid w:val="00BF057F"/>
    <w:rsid w:val="00C07068"/>
    <w:rsid w:val="00C205A9"/>
    <w:rsid w:val="00C25303"/>
    <w:rsid w:val="00C554FA"/>
    <w:rsid w:val="00C56D7D"/>
    <w:rsid w:val="00CA61D4"/>
    <w:rsid w:val="00CB5435"/>
    <w:rsid w:val="00CC16F4"/>
    <w:rsid w:val="00CC60EA"/>
    <w:rsid w:val="00CD6924"/>
    <w:rsid w:val="00CF1AF3"/>
    <w:rsid w:val="00D246F1"/>
    <w:rsid w:val="00D273EC"/>
    <w:rsid w:val="00D30B2F"/>
    <w:rsid w:val="00D33B52"/>
    <w:rsid w:val="00D63765"/>
    <w:rsid w:val="00D7454D"/>
    <w:rsid w:val="00DB30D3"/>
    <w:rsid w:val="00DD0455"/>
    <w:rsid w:val="00DE6E4A"/>
    <w:rsid w:val="00DF3BE6"/>
    <w:rsid w:val="00DF7D27"/>
    <w:rsid w:val="00E2049D"/>
    <w:rsid w:val="00E360B1"/>
    <w:rsid w:val="00E444E2"/>
    <w:rsid w:val="00E47302"/>
    <w:rsid w:val="00E57DE6"/>
    <w:rsid w:val="00E664BD"/>
    <w:rsid w:val="00E7219A"/>
    <w:rsid w:val="00E81EFB"/>
    <w:rsid w:val="00E9034A"/>
    <w:rsid w:val="00EA1E27"/>
    <w:rsid w:val="00EC0189"/>
    <w:rsid w:val="00F013A1"/>
    <w:rsid w:val="00F15FF5"/>
    <w:rsid w:val="00F33451"/>
    <w:rsid w:val="00F56E54"/>
    <w:rsid w:val="00F60A4B"/>
    <w:rsid w:val="00F70C56"/>
    <w:rsid w:val="00F903EE"/>
    <w:rsid w:val="00F91CD2"/>
    <w:rsid w:val="00FA7D8B"/>
    <w:rsid w:val="00FC31F4"/>
    <w:rsid w:val="00FE2625"/>
    <w:rsid w:val="00FE664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F424"/>
  <w15:docId w15:val="{41ABDF37-44C3-4698-8B05-51666A61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BodyText3Char">
    <w:name w:val="Body Text 3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sz w:val="2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  <w:sz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sz w:val="20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  <w:sz w:val="20"/>
    </w:rPr>
  </w:style>
  <w:style w:type="character" w:customStyle="1" w:styleId="ListLabel36">
    <w:name w:val="ListLabel 36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paragraph" w:customStyle="1" w:styleId="AgencyStdParagraph">
    <w:name w:val="Agency Std Paragraph"/>
    <w:pPr>
      <w:suppressAutoHyphens/>
      <w:spacing w:after="0" w:line="100" w:lineRule="atLeast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gencySubHeadings">
    <w:name w:val="Agency Sub Headings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color w:val="00000A"/>
      <w:sz w:val="24"/>
      <w:szCs w:val="24"/>
    </w:rPr>
  </w:style>
  <w:style w:type="paragraph" w:styleId="BodyText3">
    <w:name w:val="Body Text 3"/>
    <w:basedOn w:val="Normal"/>
    <w:rPr>
      <w:sz w:val="20"/>
    </w:rPr>
  </w:style>
  <w:style w:type="paragraph" w:customStyle="1" w:styleId="StyleBodyText38pt">
    <w:name w:val="Style Body Text 3 + 8 pt"/>
    <w:basedOn w:val="BodyText3"/>
    <w:pPr>
      <w:tabs>
        <w:tab w:val="left" w:pos="720"/>
      </w:tabs>
      <w:ind w:left="1440" w:hanging="720"/>
      <w:jc w:val="both"/>
    </w:pPr>
    <w:rPr>
      <w:sz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77A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3" ma:contentTypeDescription="Create a new document." ma:contentTypeScope="" ma:versionID="d26e5f724f5e4dc1c0ab87e79d925bb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a850d5059316d4be40a392b6614d578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2021-11-01T00:00:00+00:00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EPR-GP3101LS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JSR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2021-11-01T00:00:00+00:00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EPR/GP3101LS/A001</EPRNumber>
    <FacilityAddressPostcode xmlns="eebef177-55b5-4448-a5fb-28ea454417ee">YO17 6RL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JRS Farm Ltd</ExternalAuthor>
    <SiteName xmlns="eebef177-55b5-4448-a5fb-28ea454417ee">Scampston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Scampston Poplars Farm West Knapton Malton North Yorkshire YO17 6RL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9ED54B18-764B-491C-A790-1D384A8FCA29}"/>
</file>

<file path=customXml/itemProps2.xml><?xml version="1.0" encoding="utf-8"?>
<ds:datastoreItem xmlns:ds="http://schemas.openxmlformats.org/officeDocument/2006/customXml" ds:itemID="{A443F3C9-2457-4E60-A54B-14313A3EF9FB}"/>
</file>

<file path=customXml/itemProps3.xml><?xml version="1.0" encoding="utf-8"?>
<ds:datastoreItem xmlns:ds="http://schemas.openxmlformats.org/officeDocument/2006/customXml" ds:itemID="{0B71F567-DAA0-4D95-8730-3B4105674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 IMPLEMENTING  DECISION  (EU)  2017/  302  -  of  15  February  2017  -  establishing  best  available  techniques  (BAT)  conclusions,  under  Directive  2010/  75/  EU  of  the  European  Parliament  and  of  the  Council,  for  the  intensiv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 IMPLEMENTING  DECISION  (EU)  2017/  302  -  of  15  February  2017  -  establishing  best  available  techniques  (BAT)  conclusions,  under  Directive  2010/  75/  EU  of  the  European  Parliament  and  of  the  Council,  for  the  intensive  rearing  of  poultry  or  pigs  -  (notified  under  document  C(2017)  688)</dc:title>
  <dc:creator>Publications Office</dc:creator>
  <cp:lastModifiedBy>Ellie Stephenson</cp:lastModifiedBy>
  <cp:revision>54</cp:revision>
  <cp:lastPrinted>2014-09-02T11:24:00Z</cp:lastPrinted>
  <dcterms:created xsi:type="dcterms:W3CDTF">2021-04-13T08:54:00Z</dcterms:created>
  <dcterms:modified xsi:type="dcterms:W3CDTF">2021-11-01T09:41:00Z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