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682"/>
        <w:gridCol w:w="12266"/>
      </w:tblGrid>
      <w:tr w:rsidR="00B709C8" w:rsidRPr="00B709C8" w14:paraId="452DF490" w14:textId="77777777" w:rsidTr="00B709C8">
        <w:trPr>
          <w:tblHeader/>
        </w:trPr>
        <w:tc>
          <w:tcPr>
            <w:tcW w:w="564" w:type="pct"/>
            <w:shd w:val="clear" w:color="auto" w:fill="002060"/>
          </w:tcPr>
          <w:p w14:paraId="616DF2E7" w14:textId="77777777" w:rsidR="00B709C8" w:rsidRPr="00B709C8" w:rsidRDefault="00B709C8" w:rsidP="00B709C8">
            <w:pPr>
              <w:autoSpaceDE w:val="0"/>
              <w:autoSpaceDN w:val="0"/>
              <w:adjustRightInd w:val="0"/>
              <w:spacing w:after="170" w:line="300" w:lineRule="atLeast"/>
              <w:ind w:left="-100" w:firstLine="100"/>
              <w:jc w:val="center"/>
              <w:rPr>
                <w:rFonts w:ascii="Open Sans" w:hAnsi="Open Sans" w:cs="Times New Roman"/>
                <w:b/>
                <w:bCs/>
                <w:color w:val="FFFFFF"/>
                <w:sz w:val="20"/>
                <w:szCs w:val="20"/>
              </w:rPr>
            </w:pPr>
            <w:r w:rsidRPr="00B709C8">
              <w:rPr>
                <w:rFonts w:ascii="Open Sans" w:hAnsi="Open Sans" w:cs="Times New Roman"/>
                <w:b/>
                <w:bCs/>
                <w:color w:val="FFFFFF"/>
                <w:sz w:val="20"/>
                <w:szCs w:val="20"/>
              </w:rPr>
              <w:t>Potential environmental risk (R)/ opportunity (O)</w:t>
            </w:r>
          </w:p>
        </w:tc>
        <w:tc>
          <w:tcPr>
            <w:tcW w:w="4436" w:type="pct"/>
            <w:shd w:val="clear" w:color="auto" w:fill="002060"/>
          </w:tcPr>
          <w:p w14:paraId="520C83ED" w14:textId="77777777" w:rsidR="00B709C8" w:rsidRPr="00B709C8" w:rsidRDefault="00B709C8" w:rsidP="00B709C8">
            <w:pPr>
              <w:autoSpaceDE w:val="0"/>
              <w:autoSpaceDN w:val="0"/>
              <w:adjustRightInd w:val="0"/>
              <w:spacing w:after="170" w:line="300" w:lineRule="atLeast"/>
              <w:jc w:val="center"/>
              <w:rPr>
                <w:rFonts w:ascii="Open Sans" w:hAnsi="Open Sans" w:cs="Times New Roman"/>
                <w:b/>
                <w:bCs/>
                <w:color w:val="FFFFFF"/>
                <w:sz w:val="20"/>
                <w:szCs w:val="20"/>
              </w:rPr>
            </w:pPr>
            <w:r w:rsidRPr="00B709C8">
              <w:rPr>
                <w:rFonts w:ascii="Open Sans" w:hAnsi="Open Sans" w:cs="Times New Roman"/>
                <w:b/>
                <w:bCs/>
                <w:color w:val="FFFFFF"/>
                <w:sz w:val="20"/>
                <w:szCs w:val="20"/>
              </w:rPr>
              <w:t>Environmental controls and monitoring/reporting requirements</w:t>
            </w:r>
          </w:p>
        </w:tc>
      </w:tr>
      <w:tr w:rsidR="00B709C8" w:rsidRPr="00B709C8" w14:paraId="55FA8900" w14:textId="77777777" w:rsidTr="00B709C8">
        <w:tc>
          <w:tcPr>
            <w:tcW w:w="564" w:type="pct"/>
          </w:tcPr>
          <w:p w14:paraId="0F0C0D82" w14:textId="77777777" w:rsidR="00B709C8" w:rsidRPr="00B709C8" w:rsidRDefault="00B709C8" w:rsidP="00B709C8">
            <w:pPr>
              <w:autoSpaceDE w:val="0"/>
              <w:autoSpaceDN w:val="0"/>
              <w:adjustRightInd w:val="0"/>
              <w:spacing w:after="170" w:line="300" w:lineRule="atLeast"/>
              <w:rPr>
                <w:rFonts w:ascii="Open Sans" w:hAnsi="Open Sans" w:cs="Times New Roman"/>
                <w:b/>
                <w:bCs/>
                <w:color w:val="000000"/>
                <w:sz w:val="20"/>
                <w:szCs w:val="20"/>
              </w:rPr>
            </w:pPr>
            <w:r w:rsidRPr="00B709C8">
              <w:rPr>
                <w:rFonts w:ascii="Open Sans" w:hAnsi="Open Sans" w:cs="Times New Roman"/>
                <w:b/>
                <w:bCs/>
                <w:color w:val="000000"/>
                <w:sz w:val="20"/>
                <w:szCs w:val="20"/>
              </w:rPr>
              <w:t>General site management</w:t>
            </w:r>
          </w:p>
          <w:p w14:paraId="5C6EFBDB" w14:textId="77777777" w:rsidR="00B709C8" w:rsidRPr="00B709C8" w:rsidRDefault="00B709C8" w:rsidP="00B709C8">
            <w:pPr>
              <w:autoSpaceDE w:val="0"/>
              <w:autoSpaceDN w:val="0"/>
              <w:adjustRightInd w:val="0"/>
              <w:spacing w:after="170" w:line="300" w:lineRule="atLeast"/>
              <w:ind w:hanging="6"/>
              <w:rPr>
                <w:rFonts w:ascii="Open Sans" w:hAnsi="Open Sans" w:cs="Times New Roman"/>
                <w:color w:val="000000"/>
                <w:sz w:val="20"/>
                <w:szCs w:val="20"/>
              </w:rPr>
            </w:pPr>
            <w:r w:rsidRPr="00B709C8">
              <w:rPr>
                <w:rFonts w:ascii="Open Sans" w:hAnsi="Open Sans" w:cs="Times New Roman"/>
                <w:bCs/>
                <w:color w:val="000000"/>
                <w:sz w:val="20"/>
                <w:szCs w:val="20"/>
              </w:rPr>
              <w:t>(R) Potential for environmental incident or nuisance</w:t>
            </w:r>
          </w:p>
        </w:tc>
        <w:tc>
          <w:tcPr>
            <w:tcW w:w="4436" w:type="pct"/>
          </w:tcPr>
          <w:p w14:paraId="28C0F347" w14:textId="77777777" w:rsidR="00B709C8" w:rsidRPr="00B709C8" w:rsidRDefault="00B709C8" w:rsidP="00B709C8">
            <w:pPr>
              <w:autoSpaceDE w:val="0"/>
              <w:autoSpaceDN w:val="0"/>
              <w:adjustRightInd w:val="0"/>
              <w:spacing w:after="170" w:line="300" w:lineRule="atLeast"/>
              <w:rPr>
                <w:rFonts w:ascii="Open Sans" w:hAnsi="Open Sans" w:cs="Times New Roman"/>
                <w:b/>
                <w:bCs/>
                <w:color w:val="000000"/>
                <w:sz w:val="20"/>
                <w:szCs w:val="20"/>
              </w:rPr>
            </w:pPr>
            <w:r w:rsidRPr="00B709C8">
              <w:rPr>
                <w:rFonts w:ascii="Open Sans" w:hAnsi="Open Sans" w:cs="Times New Roman"/>
                <w:b/>
                <w:bCs/>
                <w:color w:val="000000"/>
                <w:sz w:val="20"/>
                <w:szCs w:val="20"/>
              </w:rPr>
              <w:t>Controls</w:t>
            </w:r>
          </w:p>
          <w:p w14:paraId="0D41A1CB" w14:textId="77777777" w:rsidR="00B709C8" w:rsidRPr="00B709C8" w:rsidRDefault="00B709C8" w:rsidP="00B709C8">
            <w:pPr>
              <w:autoSpaceDE w:val="0"/>
              <w:autoSpaceDN w:val="0"/>
              <w:adjustRightInd w:val="0"/>
              <w:spacing w:after="170" w:line="300" w:lineRule="atLeast"/>
              <w:rPr>
                <w:rFonts w:ascii="Open Sans" w:hAnsi="Open Sans" w:cs="Times New Roman"/>
                <w:b/>
                <w:bCs/>
                <w:i/>
                <w:iCs/>
                <w:color w:val="000000"/>
                <w:sz w:val="20"/>
                <w:szCs w:val="20"/>
              </w:rPr>
            </w:pPr>
            <w:r w:rsidRPr="00B709C8">
              <w:rPr>
                <w:rFonts w:ascii="Open Sans" w:hAnsi="Open Sans" w:cs="Times New Roman"/>
                <w:b/>
                <w:bCs/>
                <w:i/>
                <w:iCs/>
                <w:color w:val="000000"/>
                <w:sz w:val="20"/>
                <w:szCs w:val="20"/>
              </w:rPr>
              <w:t>Site layout and housekeeping</w:t>
            </w:r>
          </w:p>
          <w:p w14:paraId="29E8A8A9" w14:textId="77777777" w:rsidR="00B709C8" w:rsidRPr="00B709C8" w:rsidRDefault="00B709C8" w:rsidP="00B709C8">
            <w:pPr>
              <w:autoSpaceDE w:val="0"/>
              <w:autoSpaceDN w:val="0"/>
              <w:adjustRightInd w:val="0"/>
              <w:spacing w:after="170" w:line="300" w:lineRule="atLeast"/>
              <w:ind w:right="176"/>
              <w:rPr>
                <w:rFonts w:ascii="Open Sans" w:hAnsi="Open Sans" w:cs="Times New Roman"/>
                <w:color w:val="000000"/>
                <w:sz w:val="20"/>
                <w:szCs w:val="20"/>
              </w:rPr>
            </w:pPr>
            <w:r w:rsidRPr="00B709C8">
              <w:rPr>
                <w:rFonts w:ascii="Open Sans" w:hAnsi="Open Sans" w:cs="Times New Roman"/>
                <w:color w:val="000000"/>
                <w:sz w:val="20"/>
                <w:szCs w:val="20"/>
              </w:rPr>
              <w:t>The following requirements and mitigation measures will be implemented on site:</w:t>
            </w:r>
          </w:p>
          <w:p w14:paraId="5D9B32E9"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Appropriate treatment of perimeters and maintained cleanliness on site.</w:t>
            </w:r>
          </w:p>
          <w:p w14:paraId="25FCF47B" w14:textId="77777777" w:rsidR="00B709C8" w:rsidRPr="00B709C8" w:rsidRDefault="00B709C8" w:rsidP="00B709C8">
            <w:pPr>
              <w:numPr>
                <w:ilvl w:val="0"/>
                <w:numId w:val="1"/>
              </w:numPr>
              <w:autoSpaceDE w:val="0"/>
              <w:autoSpaceDN w:val="0"/>
              <w:adjustRightInd w:val="0"/>
              <w:spacing w:after="170" w:line="300" w:lineRule="atLeast"/>
              <w:ind w:left="458" w:right="180" w:hanging="283"/>
              <w:rPr>
                <w:rFonts w:ascii="Open Sans" w:hAnsi="Open Sans" w:cs="Times New Roman"/>
                <w:color w:val="000000"/>
                <w:sz w:val="20"/>
                <w:szCs w:val="20"/>
              </w:rPr>
            </w:pPr>
            <w:r w:rsidRPr="00B709C8">
              <w:rPr>
                <w:rFonts w:ascii="Open Sans" w:hAnsi="Open Sans" w:cs="Times New Roman"/>
                <w:color w:val="000000"/>
                <w:sz w:val="20"/>
                <w:szCs w:val="20"/>
              </w:rPr>
              <w:t xml:space="preserve">Effective preventative pest and vermin control and prompt treatment of any pest and vermin infestation, including arrangements for disposing of food waste or other attractive material. If an infestation occurs action will </w:t>
            </w:r>
            <w:bookmarkStart w:id="0" w:name="_GoBack"/>
            <w:bookmarkEnd w:id="0"/>
            <w:r w:rsidRPr="00B709C8">
              <w:rPr>
                <w:rFonts w:ascii="Open Sans" w:hAnsi="Open Sans" w:cs="Times New Roman"/>
                <w:color w:val="000000"/>
                <w:sz w:val="20"/>
                <w:szCs w:val="20"/>
              </w:rPr>
              <w:t>be taken to eliminate the infestation and prevent further occurrence.</w:t>
            </w:r>
          </w:p>
          <w:p w14:paraId="743BD25F"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No open fires will be permitted on site, and measures will be taken to minimise the likelihood of fires.</w:t>
            </w:r>
          </w:p>
          <w:p w14:paraId="36026F7D"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No discharge of site run-off to ditches, watercourses, drains, sewers or soakaways without the agreement of the appropriate authority.</w:t>
            </w:r>
          </w:p>
          <w:p w14:paraId="167BD452"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 xml:space="preserve">Lighting will only be used where necessary. Where it is required, it will be at the minimum luminosity required, use low-energy consumption fittings and use motion sensors where possible, in accordance with the Code of Construction Practice </w:t>
            </w:r>
            <w:r w:rsidRPr="00B709C8">
              <w:rPr>
                <w:rFonts w:ascii="Open Sans" w:hAnsi="Open Sans" w:cs="Times New Roman"/>
                <w:bCs/>
                <w:color w:val="000000"/>
                <w:sz w:val="20"/>
                <w:szCs w:val="20"/>
              </w:rPr>
              <w:t>[3].</w:t>
            </w:r>
          </w:p>
          <w:p w14:paraId="278D1353"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Lighting will be positioned and directed to avoid disturbance to sensitive receptors and ecological habitats [</w:t>
            </w:r>
            <w:r w:rsidRPr="00B709C8">
              <w:rPr>
                <w:rFonts w:ascii="Open Sans" w:hAnsi="Open Sans" w:cs="Times New Roman"/>
                <w:color w:val="000000"/>
                <w:sz w:val="20"/>
                <w:szCs w:val="20"/>
                <w:highlight w:val="yellow"/>
              </w:rPr>
              <w:t>include details of any site-specific receptors</w:t>
            </w:r>
            <w:r w:rsidRPr="00B709C8">
              <w:rPr>
                <w:rFonts w:ascii="Open Sans" w:hAnsi="Open Sans" w:cs="Times New Roman"/>
                <w:color w:val="000000"/>
                <w:sz w:val="20"/>
                <w:szCs w:val="20"/>
              </w:rPr>
              <w:t>]</w:t>
            </w:r>
          </w:p>
          <w:p w14:paraId="6A2B2035"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The use of less intrusive noise alarms that meet the safety requirements of the site, such as broadband reversing warnings, or proximity sensors to reduce the requirement for traditional reversing alarms.</w:t>
            </w:r>
          </w:p>
          <w:p w14:paraId="137F6EEB"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Avoidance of the use of loudspeaker or loudhailer devices.</w:t>
            </w:r>
          </w:p>
          <w:p w14:paraId="1ACEE2CC"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Containing and limiting the visual intrusion of the site.</w:t>
            </w:r>
          </w:p>
          <w:p w14:paraId="0DDF7325"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lastRenderedPageBreak/>
              <w:t>Smoking areas will be equipped with containers for smoking wastes – these will be located away from any sensitive receptors.</w:t>
            </w:r>
          </w:p>
          <w:p w14:paraId="50510D69"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The implementation of an [</w:t>
            </w:r>
            <w:r w:rsidRPr="00B709C8">
              <w:rPr>
                <w:rFonts w:ascii="Open Sans" w:hAnsi="Open Sans" w:cs="Times New Roman"/>
                <w:color w:val="000000"/>
                <w:sz w:val="20"/>
                <w:szCs w:val="20"/>
                <w:highlight w:val="yellow"/>
              </w:rPr>
              <w:t xml:space="preserve">Interim Travel Plan] </w:t>
            </w:r>
            <w:r w:rsidRPr="00B709C8">
              <w:rPr>
                <w:rFonts w:ascii="Open Sans" w:hAnsi="Open Sans" w:cs="Times New Roman"/>
                <w:bCs/>
                <w:color w:val="000000"/>
                <w:sz w:val="20"/>
                <w:szCs w:val="20"/>
                <w:highlight w:val="yellow"/>
              </w:rPr>
              <w:t>[4]</w:t>
            </w:r>
            <w:r w:rsidRPr="00B709C8">
              <w:rPr>
                <w:rFonts w:ascii="Open Sans" w:hAnsi="Open Sans" w:cs="Times New Roman"/>
                <w:color w:val="000000"/>
                <w:sz w:val="20"/>
                <w:szCs w:val="20"/>
              </w:rPr>
              <w:t xml:space="preserve"> to encourage use of public transport by project staff and control off-site parking.</w:t>
            </w:r>
          </w:p>
          <w:p w14:paraId="507C4D1C"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w:t>
            </w:r>
            <w:r w:rsidRPr="00B709C8">
              <w:rPr>
                <w:rFonts w:ascii="Open Sans" w:hAnsi="Open Sans" w:cs="Times New Roman"/>
                <w:color w:val="000000"/>
                <w:sz w:val="20"/>
                <w:szCs w:val="20"/>
                <w:highlight w:val="yellow"/>
              </w:rPr>
              <w:t>Insert details on any restrictions on HGV movements</w:t>
            </w:r>
            <w:r w:rsidRPr="00B709C8">
              <w:rPr>
                <w:rFonts w:ascii="Open Sans" w:hAnsi="Open Sans" w:cs="Times New Roman"/>
                <w:color w:val="000000"/>
                <w:sz w:val="20"/>
                <w:szCs w:val="20"/>
              </w:rPr>
              <w:t>]</w:t>
            </w:r>
          </w:p>
          <w:p w14:paraId="4BA70E74" w14:textId="77777777" w:rsidR="00B709C8" w:rsidRPr="00B709C8" w:rsidRDefault="00B709C8" w:rsidP="00B709C8">
            <w:pPr>
              <w:autoSpaceDE w:val="0"/>
              <w:autoSpaceDN w:val="0"/>
              <w:adjustRightInd w:val="0"/>
              <w:spacing w:after="170" w:line="300" w:lineRule="atLeast"/>
              <w:ind w:left="1134" w:hanging="1134"/>
              <w:rPr>
                <w:rFonts w:ascii="Open Sans" w:hAnsi="Open Sans" w:cs="Times New Roman"/>
                <w:b/>
                <w:bCs/>
                <w:i/>
                <w:iCs/>
                <w:color w:val="000000"/>
                <w:sz w:val="20"/>
                <w:szCs w:val="20"/>
              </w:rPr>
            </w:pPr>
            <w:r w:rsidRPr="00B709C8">
              <w:rPr>
                <w:rFonts w:ascii="Open Sans" w:hAnsi="Open Sans" w:cs="Times New Roman"/>
                <w:b/>
                <w:bCs/>
                <w:i/>
                <w:iCs/>
                <w:color w:val="000000"/>
                <w:sz w:val="20"/>
                <w:szCs w:val="20"/>
              </w:rPr>
              <w:t>Working hours</w:t>
            </w:r>
          </w:p>
          <w:p w14:paraId="62E24577"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Site core working hours are 08:00 to 18:00 on weekdays (excluding bank holidays) and 08.00 to 13.00 on Saturdays, as stated in the Code of Construction Pr</w:t>
            </w:r>
            <w:r w:rsidRPr="00B709C8">
              <w:rPr>
                <w:rFonts w:ascii="Open Sans" w:hAnsi="Open Sans" w:cs="Times New Roman"/>
                <w:bCs/>
                <w:color w:val="000000"/>
                <w:sz w:val="20"/>
                <w:szCs w:val="20"/>
              </w:rPr>
              <w:t>actice</w:t>
            </w:r>
            <w:r w:rsidRPr="00B709C8">
              <w:rPr>
                <w:rFonts w:ascii="Open Sans" w:hAnsi="Open Sans" w:cs="Times New Roman"/>
                <w:color w:val="000000"/>
                <w:sz w:val="20"/>
                <w:szCs w:val="20"/>
              </w:rPr>
              <w:t xml:space="preserve"> [3] and [</w:t>
            </w:r>
            <w:r w:rsidRPr="00B709C8">
              <w:rPr>
                <w:rFonts w:ascii="Open Sans" w:hAnsi="Open Sans" w:cs="Times New Roman"/>
                <w:color w:val="000000"/>
                <w:sz w:val="20"/>
                <w:szCs w:val="20"/>
                <w:highlight w:val="yellow"/>
              </w:rPr>
              <w:t>site name Section 61 / SOI</w:t>
            </w:r>
            <w:r w:rsidRPr="00B709C8">
              <w:rPr>
                <w:rFonts w:ascii="Open Sans" w:hAnsi="Open Sans" w:cs="Times New Roman"/>
                <w:color w:val="000000"/>
                <w:sz w:val="20"/>
                <w:szCs w:val="20"/>
              </w:rPr>
              <w:t xml:space="preserve">] [5]. </w:t>
            </w:r>
          </w:p>
          <w:p w14:paraId="1D8FD175"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w:t>
            </w:r>
            <w:r w:rsidRPr="00B709C8">
              <w:rPr>
                <w:rFonts w:ascii="Open Sans" w:hAnsi="Open Sans" w:cs="Times New Roman"/>
                <w:color w:val="000000"/>
                <w:sz w:val="20"/>
                <w:szCs w:val="20"/>
                <w:highlight w:val="yellow"/>
              </w:rPr>
              <w:t xml:space="preserve">Include details of any </w:t>
            </w:r>
            <w:proofErr w:type="gramStart"/>
            <w:r w:rsidRPr="00B709C8">
              <w:rPr>
                <w:rFonts w:ascii="Open Sans" w:hAnsi="Open Sans" w:cs="Times New Roman"/>
                <w:color w:val="000000"/>
                <w:sz w:val="20"/>
                <w:szCs w:val="20"/>
                <w:highlight w:val="yellow"/>
              </w:rPr>
              <w:t>site specific</w:t>
            </w:r>
            <w:proofErr w:type="gramEnd"/>
            <w:r w:rsidRPr="00B709C8">
              <w:rPr>
                <w:rFonts w:ascii="Open Sans" w:hAnsi="Open Sans" w:cs="Times New Roman"/>
                <w:color w:val="000000"/>
                <w:sz w:val="20"/>
                <w:szCs w:val="20"/>
                <w:highlight w:val="yellow"/>
              </w:rPr>
              <w:t xml:space="preserve"> working hours e.g. out of core hour working, HGV / delivery time restrictions</w:t>
            </w:r>
            <w:r w:rsidRPr="00B709C8">
              <w:rPr>
                <w:rFonts w:ascii="Open Sans" w:hAnsi="Open Sans" w:cs="Times New Roman"/>
                <w:color w:val="000000"/>
                <w:sz w:val="20"/>
                <w:szCs w:val="20"/>
              </w:rPr>
              <w:t>]</w:t>
            </w:r>
          </w:p>
          <w:p w14:paraId="31632635"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Start-up and close-down activities such as deliveries and general preparation that do not include operation of machinery may be conducted up to one hour before or after normal working hours.</w:t>
            </w:r>
          </w:p>
          <w:p w14:paraId="43BD9BA4" w14:textId="77777777" w:rsidR="00B709C8" w:rsidRPr="00B709C8" w:rsidRDefault="00B709C8" w:rsidP="00B709C8">
            <w:pPr>
              <w:keepNext/>
              <w:autoSpaceDE w:val="0"/>
              <w:autoSpaceDN w:val="0"/>
              <w:adjustRightInd w:val="0"/>
              <w:spacing w:after="170" w:line="300" w:lineRule="atLeast"/>
              <w:ind w:left="1134" w:hanging="1134"/>
              <w:rPr>
                <w:rFonts w:ascii="Open Sans" w:hAnsi="Open Sans" w:cs="Times New Roman"/>
                <w:b/>
                <w:bCs/>
                <w:color w:val="000000"/>
                <w:sz w:val="20"/>
                <w:szCs w:val="20"/>
              </w:rPr>
            </w:pPr>
            <w:r w:rsidRPr="00B709C8">
              <w:rPr>
                <w:rFonts w:ascii="Open Sans" w:hAnsi="Open Sans" w:cs="Times New Roman"/>
                <w:b/>
                <w:bCs/>
                <w:color w:val="000000"/>
                <w:sz w:val="20"/>
                <w:szCs w:val="20"/>
              </w:rPr>
              <w:t xml:space="preserve">Monitoring and reporting  </w:t>
            </w:r>
          </w:p>
          <w:p w14:paraId="5C08BAFE" w14:textId="77777777" w:rsidR="00B709C8" w:rsidRPr="00B709C8" w:rsidRDefault="00B709C8" w:rsidP="00B709C8">
            <w:pPr>
              <w:keepNext/>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hint="eastAsia"/>
                <w:color w:val="000000"/>
                <w:sz w:val="20"/>
                <w:szCs w:val="20"/>
              </w:rPr>
              <w:t xml:space="preserve">Daily on and off-site inspections to be </w:t>
            </w:r>
            <w:r w:rsidRPr="00B709C8">
              <w:rPr>
                <w:rFonts w:ascii="Open Sans" w:hAnsi="Open Sans" w:cs="Times New Roman" w:hint="eastAsia"/>
                <w:color w:val="00B050"/>
                <w:sz w:val="20"/>
                <w:szCs w:val="20"/>
              </w:rPr>
              <w:t xml:space="preserve">undertaken by the </w:t>
            </w:r>
            <w:r w:rsidRPr="00B709C8">
              <w:rPr>
                <w:rFonts w:ascii="Open Sans" w:hAnsi="Open Sans" w:cs="Times New Roman"/>
                <w:color w:val="00B050"/>
                <w:sz w:val="20"/>
                <w:szCs w:val="20"/>
              </w:rPr>
              <w:t xml:space="preserve">environmental representative </w:t>
            </w:r>
            <w:r w:rsidRPr="00B709C8">
              <w:rPr>
                <w:rFonts w:ascii="Open Sans" w:hAnsi="Open Sans" w:cs="Times New Roman"/>
                <w:color w:val="000000"/>
                <w:sz w:val="20"/>
                <w:szCs w:val="20"/>
              </w:rPr>
              <w:t xml:space="preserve">and </w:t>
            </w:r>
            <w:r w:rsidRPr="00B709C8">
              <w:rPr>
                <w:rFonts w:ascii="Open Sans" w:hAnsi="Open Sans" w:cs="Times New Roman" w:hint="eastAsia"/>
                <w:color w:val="000000"/>
                <w:sz w:val="20"/>
                <w:szCs w:val="20"/>
              </w:rPr>
              <w:t>logged</w:t>
            </w:r>
            <w:r w:rsidRPr="00B709C8">
              <w:rPr>
                <w:rFonts w:ascii="Open Sans" w:hAnsi="Open Sans" w:cs="Times New Roman"/>
                <w:color w:val="000000"/>
                <w:sz w:val="20"/>
                <w:szCs w:val="20"/>
              </w:rPr>
              <w:t xml:space="preserve"> in a site diary to monitor compliance with the Site-Specific Environmental Management Plan.</w:t>
            </w:r>
          </w:p>
        </w:tc>
      </w:tr>
      <w:tr w:rsidR="00B709C8" w:rsidRPr="00B709C8" w14:paraId="26E786CA" w14:textId="77777777" w:rsidTr="00B709C8">
        <w:tc>
          <w:tcPr>
            <w:tcW w:w="564" w:type="pct"/>
          </w:tcPr>
          <w:p w14:paraId="07669FF7" w14:textId="77777777" w:rsidR="00B709C8" w:rsidRPr="00B709C8" w:rsidRDefault="00B709C8" w:rsidP="00B709C8">
            <w:pPr>
              <w:autoSpaceDE w:val="0"/>
              <w:autoSpaceDN w:val="0"/>
              <w:adjustRightInd w:val="0"/>
              <w:spacing w:after="170" w:line="300" w:lineRule="atLeast"/>
              <w:rPr>
                <w:rFonts w:ascii="Open Sans" w:hAnsi="Open Sans" w:cs="Times New Roman"/>
                <w:b/>
                <w:bCs/>
                <w:color w:val="000000"/>
                <w:sz w:val="20"/>
                <w:szCs w:val="20"/>
              </w:rPr>
            </w:pPr>
            <w:r w:rsidRPr="00B709C8">
              <w:rPr>
                <w:rFonts w:ascii="Open Sans" w:hAnsi="Open Sans" w:cs="Times New Roman"/>
                <w:b/>
                <w:bCs/>
                <w:color w:val="000000"/>
                <w:sz w:val="20"/>
                <w:szCs w:val="20"/>
              </w:rPr>
              <w:lastRenderedPageBreak/>
              <w:t>Public engagement and communication</w:t>
            </w:r>
          </w:p>
          <w:p w14:paraId="07138DD7" w14:textId="77777777" w:rsidR="00B709C8" w:rsidRPr="00B709C8" w:rsidRDefault="00B709C8" w:rsidP="00B709C8">
            <w:pPr>
              <w:autoSpaceDE w:val="0"/>
              <w:autoSpaceDN w:val="0"/>
              <w:adjustRightInd w:val="0"/>
              <w:spacing w:after="170" w:line="300" w:lineRule="atLeast"/>
              <w:rPr>
                <w:rFonts w:ascii="Open Sans" w:hAnsi="Open Sans" w:cs="Times New Roman"/>
                <w:color w:val="000000"/>
                <w:sz w:val="20"/>
                <w:szCs w:val="20"/>
              </w:rPr>
            </w:pPr>
            <w:r w:rsidRPr="00B709C8">
              <w:rPr>
                <w:rFonts w:ascii="Open Sans" w:hAnsi="Open Sans" w:cs="Times New Roman"/>
                <w:bCs/>
                <w:color w:val="000000"/>
                <w:sz w:val="20"/>
                <w:szCs w:val="20"/>
              </w:rPr>
              <w:t>(R) Damage to reputation with stakeholders</w:t>
            </w:r>
          </w:p>
        </w:tc>
        <w:tc>
          <w:tcPr>
            <w:tcW w:w="4436" w:type="pct"/>
          </w:tcPr>
          <w:p w14:paraId="1435330C" w14:textId="77777777" w:rsidR="00B709C8" w:rsidRPr="00B709C8" w:rsidRDefault="00B709C8" w:rsidP="00B709C8">
            <w:pPr>
              <w:autoSpaceDE w:val="0"/>
              <w:autoSpaceDN w:val="0"/>
              <w:adjustRightInd w:val="0"/>
              <w:spacing w:after="170" w:line="300" w:lineRule="atLeast"/>
              <w:ind w:left="1134" w:hanging="1134"/>
              <w:rPr>
                <w:rFonts w:ascii="Open Sans" w:hAnsi="Open Sans" w:cs="Times New Roman"/>
                <w:b/>
                <w:bCs/>
                <w:color w:val="000000"/>
                <w:sz w:val="20"/>
                <w:szCs w:val="20"/>
              </w:rPr>
            </w:pPr>
            <w:r w:rsidRPr="00B709C8">
              <w:rPr>
                <w:rFonts w:ascii="Open Sans" w:hAnsi="Open Sans" w:cs="Times New Roman"/>
                <w:b/>
                <w:bCs/>
                <w:color w:val="000000"/>
                <w:sz w:val="20"/>
                <w:szCs w:val="20"/>
              </w:rPr>
              <w:t>Controls</w:t>
            </w:r>
          </w:p>
          <w:p w14:paraId="57F400D7" w14:textId="77777777" w:rsidR="00B709C8" w:rsidRPr="00B709C8" w:rsidRDefault="00B709C8" w:rsidP="00B709C8">
            <w:pPr>
              <w:autoSpaceDE w:val="0"/>
              <w:autoSpaceDN w:val="0"/>
              <w:adjustRightInd w:val="0"/>
              <w:spacing w:after="170" w:line="300" w:lineRule="atLeast"/>
              <w:ind w:left="39"/>
              <w:rPr>
                <w:rFonts w:ascii="Open Sans" w:hAnsi="Open Sans" w:cs="Times New Roman"/>
                <w:color w:val="000000"/>
                <w:sz w:val="20"/>
                <w:szCs w:val="20"/>
              </w:rPr>
            </w:pPr>
            <w:r w:rsidRPr="00B709C8">
              <w:rPr>
                <w:rFonts w:ascii="Open Sans" w:hAnsi="Open Sans" w:cs="Times New Roman"/>
                <w:color w:val="000000"/>
                <w:sz w:val="20"/>
                <w:szCs w:val="20"/>
              </w:rPr>
              <w:t xml:space="preserve">In accordance with the </w:t>
            </w:r>
            <w:r w:rsidRPr="00B709C8">
              <w:rPr>
                <w:rFonts w:ascii="Open Sans" w:eastAsia="Times New Roman" w:hAnsi="Open Sans" w:cs="Open Sans"/>
                <w:bCs/>
                <w:color w:val="000000"/>
                <w:sz w:val="20"/>
                <w:szCs w:val="20"/>
                <w:lang w:eastAsia="en-GB"/>
              </w:rPr>
              <w:t xml:space="preserve">Community Liaison Management Plan </w:t>
            </w:r>
            <w:r w:rsidRPr="00B709C8">
              <w:rPr>
                <w:rFonts w:ascii="Open Sans" w:hAnsi="Open Sans" w:cs="Times New Roman"/>
                <w:bCs/>
                <w:color w:val="000000"/>
                <w:sz w:val="20"/>
                <w:szCs w:val="20"/>
              </w:rPr>
              <w:t>[6]</w:t>
            </w:r>
            <w:r w:rsidRPr="00B709C8">
              <w:rPr>
                <w:rFonts w:ascii="Open Sans" w:hAnsi="Open Sans" w:cs="Times New Roman"/>
                <w:color w:val="000000"/>
                <w:sz w:val="20"/>
                <w:szCs w:val="20"/>
              </w:rPr>
              <w:t>:</w:t>
            </w:r>
          </w:p>
          <w:p w14:paraId="46D11BC3"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The HS2 helpline number (</w:t>
            </w:r>
            <w:r w:rsidRPr="00B709C8">
              <w:rPr>
                <w:rFonts w:ascii="Open Sans" w:hAnsi="Open Sans" w:cs="Times New Roman" w:hint="eastAsia"/>
                <w:b/>
                <w:color w:val="000000"/>
                <w:sz w:val="20"/>
                <w:szCs w:val="20"/>
              </w:rPr>
              <w:t>020 7944 4908</w:t>
            </w:r>
            <w:r w:rsidRPr="00B709C8">
              <w:rPr>
                <w:rFonts w:ascii="Open Sans" w:hAnsi="Open Sans" w:cs="Times New Roman"/>
                <w:color w:val="000000"/>
                <w:sz w:val="20"/>
                <w:szCs w:val="20"/>
              </w:rPr>
              <w:t>) will be displayed on site boundaries.</w:t>
            </w:r>
          </w:p>
          <w:p w14:paraId="5F22D1A5"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ALIGN will give local stakeholders advanced notification (two weeks) or works, including major changes to site activities, new phases of work, increased HGV activity, noise, dust, and lighting etc.</w:t>
            </w:r>
          </w:p>
          <w:p w14:paraId="55D17D8F" w14:textId="77777777" w:rsidR="00B709C8" w:rsidRPr="00B709C8" w:rsidRDefault="00B709C8" w:rsidP="00B709C8">
            <w:pPr>
              <w:autoSpaceDE w:val="0"/>
              <w:autoSpaceDN w:val="0"/>
              <w:adjustRightInd w:val="0"/>
              <w:spacing w:after="170" w:line="300" w:lineRule="atLeast"/>
              <w:ind w:left="1134" w:hanging="1134"/>
              <w:rPr>
                <w:rFonts w:ascii="Open Sans" w:hAnsi="Open Sans" w:cs="Times New Roman"/>
                <w:b/>
                <w:bCs/>
                <w:color w:val="000000"/>
                <w:sz w:val="20"/>
                <w:szCs w:val="20"/>
              </w:rPr>
            </w:pPr>
            <w:r w:rsidRPr="00B709C8">
              <w:rPr>
                <w:rFonts w:ascii="Open Sans" w:hAnsi="Open Sans" w:cs="Times New Roman"/>
                <w:b/>
                <w:bCs/>
                <w:color w:val="000000"/>
                <w:sz w:val="20"/>
                <w:szCs w:val="20"/>
              </w:rPr>
              <w:lastRenderedPageBreak/>
              <w:t>Monitoring and reporting</w:t>
            </w:r>
          </w:p>
          <w:p w14:paraId="60CAAFE3" w14:textId="77777777" w:rsidR="00B709C8" w:rsidRPr="00B709C8" w:rsidRDefault="00B709C8" w:rsidP="00B709C8">
            <w:pPr>
              <w:numPr>
                <w:ilvl w:val="0"/>
                <w:numId w:val="1"/>
              </w:numPr>
              <w:autoSpaceDE w:val="0"/>
              <w:autoSpaceDN w:val="0"/>
              <w:adjustRightInd w:val="0"/>
              <w:spacing w:after="170" w:line="300" w:lineRule="atLeast"/>
              <w:ind w:left="458" w:right="180" w:hanging="283"/>
              <w:rPr>
                <w:rFonts w:ascii="Open Sans" w:hAnsi="Open Sans" w:cs="Times New Roman"/>
                <w:color w:val="00B050"/>
                <w:sz w:val="20"/>
                <w:szCs w:val="20"/>
              </w:rPr>
            </w:pPr>
            <w:r w:rsidRPr="00B709C8">
              <w:rPr>
                <w:rFonts w:ascii="Open Sans" w:hAnsi="Open Sans" w:cs="Times New Roman"/>
                <w:color w:val="00B050"/>
                <w:sz w:val="20"/>
                <w:szCs w:val="20"/>
              </w:rPr>
              <w:t xml:space="preserve">HS2 operates a public helpdesk that shall be used to manage all complaints, handle enquiries and coordinate incident response as required. Details of any site investigation and subsequent actions taken in response to any complaints will be recorded by the subcontractor and passed to ALIGN for close out via the HS2 Ltd. Public Helpdesk. </w:t>
            </w:r>
          </w:p>
          <w:p w14:paraId="5ACA889B" w14:textId="77777777" w:rsidR="00B709C8" w:rsidRPr="00B709C8" w:rsidRDefault="00B709C8" w:rsidP="00B709C8">
            <w:pPr>
              <w:numPr>
                <w:ilvl w:val="0"/>
                <w:numId w:val="1"/>
              </w:numPr>
              <w:autoSpaceDE w:val="0"/>
              <w:autoSpaceDN w:val="0"/>
              <w:adjustRightInd w:val="0"/>
              <w:spacing w:after="170" w:line="300" w:lineRule="atLeast"/>
              <w:ind w:left="458" w:right="180" w:hanging="283"/>
              <w:rPr>
                <w:rFonts w:ascii="Open Sans" w:hAnsi="Open Sans" w:cs="Times New Roman"/>
                <w:color w:val="000000"/>
                <w:sz w:val="20"/>
                <w:szCs w:val="20"/>
              </w:rPr>
            </w:pPr>
            <w:r w:rsidRPr="00B709C8">
              <w:rPr>
                <w:rFonts w:ascii="Open Sans" w:hAnsi="Open Sans" w:cs="Times New Roman"/>
                <w:color w:val="00B050"/>
                <w:sz w:val="20"/>
                <w:szCs w:val="20"/>
              </w:rPr>
              <w:t>It is anticipated that any complaints will be initially received by HS2 Ltd. or ALIGN. If any complaints are received directly by the subcontractor these will be appropriately recorded by the subcontractor and reported immediately to the Site Manager.</w:t>
            </w:r>
          </w:p>
        </w:tc>
      </w:tr>
      <w:tr w:rsidR="00B709C8" w:rsidRPr="00B709C8" w14:paraId="6601A2B4" w14:textId="77777777" w:rsidTr="00B709C8">
        <w:tc>
          <w:tcPr>
            <w:tcW w:w="564" w:type="pct"/>
            <w:shd w:val="clear" w:color="auto" w:fill="auto"/>
          </w:tcPr>
          <w:p w14:paraId="1B2ABD1D" w14:textId="77777777" w:rsidR="00B709C8" w:rsidRPr="00B709C8" w:rsidRDefault="00B709C8" w:rsidP="00B709C8">
            <w:pPr>
              <w:autoSpaceDE w:val="0"/>
              <w:autoSpaceDN w:val="0"/>
              <w:adjustRightInd w:val="0"/>
              <w:spacing w:after="170" w:line="300" w:lineRule="atLeast"/>
              <w:rPr>
                <w:rFonts w:ascii="Open Sans" w:hAnsi="Open Sans" w:cs="Times New Roman"/>
                <w:b/>
                <w:bCs/>
                <w:color w:val="000000"/>
                <w:sz w:val="20"/>
                <w:szCs w:val="20"/>
              </w:rPr>
            </w:pPr>
            <w:r w:rsidRPr="00B709C8">
              <w:rPr>
                <w:rFonts w:ascii="Open Sans" w:hAnsi="Open Sans" w:cs="Times New Roman"/>
                <w:b/>
                <w:bCs/>
                <w:color w:val="000000"/>
                <w:sz w:val="20"/>
                <w:szCs w:val="20"/>
              </w:rPr>
              <w:lastRenderedPageBreak/>
              <w:t>Agriculture, forestry and soils</w:t>
            </w:r>
          </w:p>
          <w:p w14:paraId="51A5D12F" w14:textId="77777777" w:rsidR="00B709C8" w:rsidRPr="00B709C8" w:rsidRDefault="00B709C8" w:rsidP="00B709C8">
            <w:pPr>
              <w:autoSpaceDE w:val="0"/>
              <w:autoSpaceDN w:val="0"/>
              <w:adjustRightInd w:val="0"/>
              <w:spacing w:after="170" w:line="300" w:lineRule="atLeast"/>
              <w:rPr>
                <w:rFonts w:ascii="Open Sans" w:hAnsi="Open Sans" w:cs="Times New Roman"/>
                <w:color w:val="000000"/>
                <w:sz w:val="20"/>
                <w:szCs w:val="20"/>
              </w:rPr>
            </w:pPr>
            <w:r w:rsidRPr="00B709C8">
              <w:rPr>
                <w:rFonts w:ascii="Open Sans" w:hAnsi="Open Sans" w:cs="Times New Roman"/>
                <w:bCs/>
                <w:color w:val="000000"/>
                <w:sz w:val="20"/>
                <w:szCs w:val="20"/>
              </w:rPr>
              <w:t>(R) Loss, damage or degradation of topsoil and subsoil.</w:t>
            </w:r>
          </w:p>
        </w:tc>
        <w:tc>
          <w:tcPr>
            <w:tcW w:w="4436" w:type="pct"/>
          </w:tcPr>
          <w:p w14:paraId="6156D522" w14:textId="77777777" w:rsidR="00B709C8" w:rsidRPr="00B709C8" w:rsidRDefault="00B709C8" w:rsidP="00B709C8">
            <w:pPr>
              <w:autoSpaceDE w:val="0"/>
              <w:autoSpaceDN w:val="0"/>
              <w:adjustRightInd w:val="0"/>
              <w:spacing w:after="170" w:line="300" w:lineRule="atLeast"/>
              <w:ind w:left="1134" w:hanging="1134"/>
              <w:rPr>
                <w:rFonts w:ascii="Open Sans" w:hAnsi="Open Sans" w:cs="Times New Roman"/>
                <w:b/>
                <w:bCs/>
                <w:color w:val="000000"/>
                <w:sz w:val="20"/>
                <w:szCs w:val="20"/>
              </w:rPr>
            </w:pPr>
            <w:r w:rsidRPr="00B709C8">
              <w:rPr>
                <w:rFonts w:ascii="Open Sans" w:hAnsi="Open Sans" w:cs="Times New Roman"/>
                <w:b/>
                <w:bCs/>
                <w:color w:val="000000"/>
                <w:sz w:val="20"/>
                <w:szCs w:val="20"/>
              </w:rPr>
              <w:t>Controls</w:t>
            </w:r>
          </w:p>
          <w:p w14:paraId="5B3B6A1E" w14:textId="77777777" w:rsidR="00B709C8" w:rsidRPr="00B709C8" w:rsidRDefault="00B709C8" w:rsidP="00B709C8">
            <w:pPr>
              <w:autoSpaceDE w:val="0"/>
              <w:autoSpaceDN w:val="0"/>
              <w:adjustRightInd w:val="0"/>
              <w:spacing w:after="170" w:line="300" w:lineRule="atLeast"/>
              <w:ind w:left="35" w:right="180" w:hanging="35"/>
              <w:rPr>
                <w:rFonts w:ascii="Open Sans" w:hAnsi="Open Sans" w:cs="Times New Roman"/>
                <w:color w:val="000000"/>
                <w:sz w:val="20"/>
                <w:szCs w:val="20"/>
              </w:rPr>
            </w:pPr>
            <w:r w:rsidRPr="00B709C8">
              <w:rPr>
                <w:rFonts w:ascii="Open Sans" w:hAnsi="Open Sans" w:cs="Times New Roman"/>
                <w:color w:val="000000"/>
                <w:sz w:val="20"/>
                <w:szCs w:val="20"/>
              </w:rPr>
              <w:t xml:space="preserve">Topsoil and subsoil stripping activities will be managed in line with the Area C1 Soil Resource Plan (SRP) </w:t>
            </w:r>
            <w:r w:rsidRPr="00B709C8">
              <w:rPr>
                <w:rFonts w:ascii="Open Sans" w:hAnsi="Open Sans" w:cs="Times New Roman"/>
                <w:bCs/>
                <w:color w:val="000000"/>
                <w:sz w:val="20"/>
                <w:szCs w:val="20"/>
              </w:rPr>
              <w:t>[7] and</w:t>
            </w:r>
            <w:r w:rsidRPr="00B709C8">
              <w:rPr>
                <w:rFonts w:ascii="Open Sans" w:hAnsi="Open Sans" w:cs="Times New Roman"/>
                <w:color w:val="000000"/>
                <w:sz w:val="20"/>
                <w:szCs w:val="20"/>
              </w:rPr>
              <w:t xml:space="preserve"> will incorporate the following mitigation:</w:t>
            </w:r>
          </w:p>
          <w:p w14:paraId="1162E8E7"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Vegetation will be removed prior to topsoil stripping.</w:t>
            </w:r>
          </w:p>
          <w:p w14:paraId="1A8D9DE4" w14:textId="77777777" w:rsidR="00B709C8" w:rsidRPr="00B709C8" w:rsidRDefault="00B709C8" w:rsidP="00B709C8">
            <w:pPr>
              <w:numPr>
                <w:ilvl w:val="0"/>
                <w:numId w:val="1"/>
              </w:numPr>
              <w:autoSpaceDE w:val="0"/>
              <w:autoSpaceDN w:val="0"/>
              <w:adjustRightInd w:val="0"/>
              <w:spacing w:after="170"/>
              <w:ind w:left="458" w:hanging="283"/>
              <w:rPr>
                <w:rFonts w:ascii="Open Sans" w:hAnsi="Open Sans" w:cs="Times New Roman"/>
                <w:color w:val="000000"/>
                <w:sz w:val="20"/>
                <w:szCs w:val="20"/>
              </w:rPr>
            </w:pPr>
            <w:r w:rsidRPr="00B709C8">
              <w:rPr>
                <w:rFonts w:ascii="Open Sans" w:hAnsi="Open Sans" w:cs="Times New Roman"/>
                <w:color w:val="000000"/>
                <w:sz w:val="20"/>
                <w:szCs w:val="20"/>
              </w:rPr>
              <w:t xml:space="preserve">Vegetation will be cleared from areas to be used for topsoil storage, and vegetation and topsoil shall be stripped from subsoil and other materials stockpiles. </w:t>
            </w:r>
            <w:r w:rsidRPr="00B709C8">
              <w:rPr>
                <w:rFonts w:ascii="Open Sans" w:hAnsi="Open Sans" w:cs="Times New Roman"/>
                <w:color w:val="00B050"/>
                <w:sz w:val="20"/>
                <w:szCs w:val="20"/>
              </w:rPr>
              <w:t>It is not necessary to remove topsoil from the footprints of topsoil stockpiles but a separation layer such as straw shall be placed between the soils.</w:t>
            </w:r>
          </w:p>
          <w:p w14:paraId="45EF019B" w14:textId="77777777" w:rsidR="00B709C8" w:rsidRPr="00B709C8" w:rsidRDefault="00B709C8" w:rsidP="00B709C8">
            <w:pPr>
              <w:numPr>
                <w:ilvl w:val="0"/>
                <w:numId w:val="1"/>
              </w:numPr>
              <w:autoSpaceDE w:val="0"/>
              <w:autoSpaceDN w:val="0"/>
              <w:adjustRightInd w:val="0"/>
              <w:spacing w:after="170"/>
              <w:ind w:left="458" w:hanging="283"/>
              <w:rPr>
                <w:rFonts w:ascii="Open Sans" w:hAnsi="Open Sans" w:cs="Times New Roman"/>
                <w:color w:val="000000"/>
                <w:sz w:val="20"/>
                <w:szCs w:val="20"/>
              </w:rPr>
            </w:pPr>
            <w:r w:rsidRPr="00B709C8">
              <w:rPr>
                <w:rFonts w:ascii="Open Sans" w:hAnsi="Open Sans" w:cs="Times New Roman"/>
                <w:color w:val="000000"/>
                <w:sz w:val="20"/>
                <w:szCs w:val="20"/>
              </w:rPr>
              <w:t>A geotextile membrane shall also be placed across material stockpile footprints, unless otherwise agreed with ALIGN’s suitably qualified and experienced person (SQEP).</w:t>
            </w:r>
          </w:p>
          <w:p w14:paraId="7D1D5F9C" w14:textId="77777777" w:rsidR="00B709C8" w:rsidRPr="00B709C8" w:rsidRDefault="00B709C8" w:rsidP="00B709C8">
            <w:pPr>
              <w:numPr>
                <w:ilvl w:val="0"/>
                <w:numId w:val="1"/>
              </w:numPr>
              <w:autoSpaceDE w:val="0"/>
              <w:autoSpaceDN w:val="0"/>
              <w:adjustRightInd w:val="0"/>
              <w:spacing w:after="170"/>
              <w:ind w:left="458" w:hanging="283"/>
              <w:rPr>
                <w:rFonts w:ascii="Open Sans" w:hAnsi="Open Sans" w:cs="Times New Roman"/>
                <w:color w:val="000000"/>
                <w:sz w:val="20"/>
                <w:szCs w:val="20"/>
              </w:rPr>
            </w:pPr>
            <w:r w:rsidRPr="00B709C8">
              <w:rPr>
                <w:rFonts w:ascii="Open Sans" w:hAnsi="Open Sans" w:cs="Times New Roman"/>
                <w:color w:val="000000"/>
                <w:sz w:val="20"/>
                <w:szCs w:val="20"/>
              </w:rPr>
              <w:t>Machinery is not to be driven or hauled over areas where topsoil and subsoil (where specified) has not first been stripped, unless required for vegetation clearance, fencing installation, access for construction or to expose subsoil surface during stripping.</w:t>
            </w:r>
          </w:p>
          <w:p w14:paraId="6AE9EEBD"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Topsoil, subsoils and made ground (as required) will be removed separately in a sequence of progressive strips, followed by storage in separate stockpiles.</w:t>
            </w:r>
          </w:p>
          <w:p w14:paraId="2B78A74C"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lastRenderedPageBreak/>
              <w:t>Strip depths for topsoil and upper subsoil shall be confirmed with ALIGN’s SQEP in advance of the works. [</w:t>
            </w:r>
            <w:r w:rsidRPr="00B709C8">
              <w:rPr>
                <w:rFonts w:ascii="Open Sans" w:hAnsi="Open Sans" w:cs="Times New Roman"/>
                <w:color w:val="000000"/>
                <w:sz w:val="20"/>
                <w:szCs w:val="20"/>
                <w:highlight w:val="yellow"/>
              </w:rPr>
              <w:t>Include details if strip depths have been confirmed or add that the SSEMP will be revised to include this information once it has been determined]</w:t>
            </w:r>
          </w:p>
          <w:p w14:paraId="4EB6D1F8" w14:textId="77777777" w:rsidR="00B709C8" w:rsidRPr="00B709C8" w:rsidRDefault="00B709C8" w:rsidP="00B709C8">
            <w:pPr>
              <w:numPr>
                <w:ilvl w:val="0"/>
                <w:numId w:val="1"/>
              </w:numPr>
              <w:autoSpaceDE w:val="0"/>
              <w:autoSpaceDN w:val="0"/>
              <w:adjustRightInd w:val="0"/>
              <w:spacing w:after="170"/>
              <w:ind w:left="458" w:hanging="283"/>
              <w:rPr>
                <w:rFonts w:ascii="Open Sans" w:hAnsi="Open Sans" w:cs="Times New Roman"/>
                <w:color w:val="000000"/>
                <w:sz w:val="20"/>
                <w:szCs w:val="20"/>
              </w:rPr>
            </w:pPr>
            <w:r w:rsidRPr="00B709C8">
              <w:rPr>
                <w:rFonts w:ascii="Open Sans" w:hAnsi="Open Sans" w:cs="Times New Roman"/>
                <w:color w:val="000000"/>
                <w:sz w:val="20"/>
                <w:szCs w:val="20"/>
              </w:rPr>
              <w:t>The equipment below will be used for the following tasks (the use of alternative machinery may be acceptable in certain circumstances but must be agreed with ALIGN’s SQEP in advance of any works):</w:t>
            </w:r>
          </w:p>
          <w:p w14:paraId="56A1FC3F" w14:textId="77777777" w:rsidR="00B709C8" w:rsidRPr="00B709C8" w:rsidRDefault="00B709C8" w:rsidP="00B709C8">
            <w:pPr>
              <w:numPr>
                <w:ilvl w:val="0"/>
                <w:numId w:val="1"/>
              </w:numPr>
              <w:autoSpaceDE w:val="0"/>
              <w:autoSpaceDN w:val="0"/>
              <w:adjustRightInd w:val="0"/>
              <w:spacing w:after="170"/>
              <w:ind w:left="1169" w:hanging="284"/>
              <w:rPr>
                <w:rFonts w:ascii="Open Sans" w:hAnsi="Open Sans" w:cs="Times New Roman"/>
                <w:color w:val="000000"/>
                <w:sz w:val="20"/>
                <w:szCs w:val="20"/>
              </w:rPr>
            </w:pPr>
            <w:r w:rsidRPr="00B709C8">
              <w:rPr>
                <w:rFonts w:ascii="Open Sans" w:hAnsi="Open Sans" w:cs="Times New Roman"/>
                <w:color w:val="000000"/>
                <w:sz w:val="20"/>
                <w:szCs w:val="20"/>
              </w:rPr>
              <w:t>tracked excavators for stripping soils, shaping stockpiles, removing soils from stockpiles and levelling soils after reinstatement</w:t>
            </w:r>
          </w:p>
          <w:p w14:paraId="1F56DEF8" w14:textId="77777777" w:rsidR="00B709C8" w:rsidRPr="00B709C8" w:rsidRDefault="00B709C8" w:rsidP="00B709C8">
            <w:pPr>
              <w:numPr>
                <w:ilvl w:val="0"/>
                <w:numId w:val="1"/>
              </w:numPr>
              <w:autoSpaceDE w:val="0"/>
              <w:autoSpaceDN w:val="0"/>
              <w:adjustRightInd w:val="0"/>
              <w:spacing w:after="170"/>
              <w:ind w:left="1169" w:hanging="284"/>
              <w:rPr>
                <w:rFonts w:ascii="Open Sans" w:hAnsi="Open Sans" w:cs="Times New Roman"/>
                <w:color w:val="000000"/>
                <w:sz w:val="20"/>
                <w:szCs w:val="20"/>
              </w:rPr>
            </w:pPr>
            <w:r w:rsidRPr="00B709C8">
              <w:rPr>
                <w:rFonts w:ascii="Open Sans" w:hAnsi="Open Sans" w:cs="Times New Roman"/>
                <w:color w:val="000000"/>
                <w:sz w:val="20"/>
                <w:szCs w:val="20"/>
              </w:rPr>
              <w:t>dump trucks for transport of soil and loose tipping into stockpiles and upon reinstatement</w:t>
            </w:r>
          </w:p>
          <w:p w14:paraId="62B4A104" w14:textId="77777777" w:rsidR="00B709C8" w:rsidRPr="00B709C8" w:rsidRDefault="00B709C8" w:rsidP="00B709C8">
            <w:pPr>
              <w:numPr>
                <w:ilvl w:val="0"/>
                <w:numId w:val="1"/>
              </w:numPr>
              <w:autoSpaceDE w:val="0"/>
              <w:autoSpaceDN w:val="0"/>
              <w:adjustRightInd w:val="0"/>
              <w:spacing w:after="170"/>
              <w:ind w:left="1169" w:hanging="284"/>
              <w:rPr>
                <w:rFonts w:ascii="Open Sans" w:hAnsi="Open Sans" w:cs="Times New Roman"/>
                <w:color w:val="000000"/>
                <w:sz w:val="20"/>
                <w:szCs w:val="20"/>
              </w:rPr>
            </w:pPr>
            <w:r w:rsidRPr="00B709C8">
              <w:rPr>
                <w:rFonts w:ascii="Open Sans" w:hAnsi="Open Sans" w:cs="Times New Roman"/>
                <w:color w:val="000000"/>
                <w:sz w:val="20"/>
                <w:szCs w:val="20"/>
              </w:rPr>
              <w:t xml:space="preserve">subsoilers and/or cultivators to loosen receiving substrates prior to reinstatement. </w:t>
            </w:r>
          </w:p>
          <w:p w14:paraId="4691F6E3" w14:textId="77777777" w:rsidR="00B709C8" w:rsidRPr="00B709C8" w:rsidRDefault="00B709C8" w:rsidP="00B709C8">
            <w:pPr>
              <w:numPr>
                <w:ilvl w:val="0"/>
                <w:numId w:val="1"/>
              </w:numPr>
              <w:autoSpaceDE w:val="0"/>
              <w:autoSpaceDN w:val="0"/>
              <w:adjustRightInd w:val="0"/>
              <w:spacing w:after="170"/>
              <w:ind w:left="458" w:hanging="283"/>
              <w:rPr>
                <w:rFonts w:ascii="Open Sans" w:hAnsi="Open Sans" w:cs="Times New Roman"/>
                <w:color w:val="000000"/>
                <w:sz w:val="20"/>
                <w:szCs w:val="20"/>
              </w:rPr>
            </w:pPr>
            <w:r w:rsidRPr="00B709C8">
              <w:rPr>
                <w:rFonts w:ascii="Open Sans" w:hAnsi="Open Sans" w:cs="Times New Roman"/>
                <w:color w:val="000000"/>
                <w:sz w:val="20"/>
                <w:szCs w:val="20"/>
              </w:rPr>
              <w:t>Soils will only be handled if they are in a suitably dry condition, as determined by rainfall and soil moisture criteria (refer to field tests specified in the SRP [7]).</w:t>
            </w:r>
          </w:p>
          <w:p w14:paraId="68B93389"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 xml:space="preserve">Stockpile slopes will not exceed 1 in 2, and stockpile heights shall not exceed 3m for </w:t>
            </w:r>
            <w:proofErr w:type="spellStart"/>
            <w:r w:rsidRPr="00B709C8">
              <w:rPr>
                <w:rFonts w:ascii="Open Sans" w:hAnsi="Open Sans" w:cs="Times New Roman"/>
                <w:color w:val="000000"/>
                <w:sz w:val="20"/>
                <w:szCs w:val="20"/>
              </w:rPr>
              <w:t>topsoils</w:t>
            </w:r>
            <w:proofErr w:type="spellEnd"/>
            <w:r w:rsidRPr="00B709C8">
              <w:rPr>
                <w:rFonts w:ascii="Open Sans" w:hAnsi="Open Sans" w:cs="Times New Roman"/>
                <w:color w:val="000000"/>
                <w:sz w:val="20"/>
                <w:szCs w:val="20"/>
              </w:rPr>
              <w:t xml:space="preserve"> and 6m for subsoils (but shall be kept as low as reasonably practicable).</w:t>
            </w:r>
          </w:p>
          <w:p w14:paraId="23FAFD24"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Where soil will be stored for more than six months, the stockpiles shall be seeded with a low-maintenance grass mix as soon as reasonably practicable.</w:t>
            </w:r>
          </w:p>
          <w:p w14:paraId="6ECE16E8" w14:textId="77777777" w:rsidR="00B709C8" w:rsidRPr="00B709C8" w:rsidRDefault="00B709C8" w:rsidP="00B709C8">
            <w:pPr>
              <w:autoSpaceDE w:val="0"/>
              <w:autoSpaceDN w:val="0"/>
              <w:adjustRightInd w:val="0"/>
              <w:spacing w:after="170" w:line="300" w:lineRule="atLeast"/>
              <w:rPr>
                <w:rFonts w:ascii="Open Sans" w:hAnsi="Open Sans" w:cs="Times New Roman"/>
                <w:b/>
                <w:bCs/>
                <w:color w:val="000000"/>
                <w:sz w:val="20"/>
                <w:szCs w:val="20"/>
              </w:rPr>
            </w:pPr>
            <w:r w:rsidRPr="00B709C8">
              <w:rPr>
                <w:rFonts w:ascii="Open Sans" w:hAnsi="Open Sans" w:cs="Times New Roman"/>
                <w:b/>
                <w:bCs/>
                <w:color w:val="000000"/>
                <w:sz w:val="20"/>
                <w:szCs w:val="20"/>
              </w:rPr>
              <w:t>Monitoring and reporting</w:t>
            </w:r>
          </w:p>
          <w:p w14:paraId="7351B166"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 xml:space="preserve">Subcontractors must appoint a SQEP to oversee soil handling arrangements and someone in a supervisory role </w:t>
            </w:r>
            <w:proofErr w:type="gramStart"/>
            <w:r w:rsidRPr="00B709C8">
              <w:rPr>
                <w:rFonts w:ascii="Open Sans" w:hAnsi="Open Sans" w:cs="Times New Roman"/>
                <w:color w:val="000000"/>
                <w:sz w:val="20"/>
                <w:szCs w:val="20"/>
              </w:rPr>
              <w:t>must be present on site at all times</w:t>
            </w:r>
            <w:proofErr w:type="gramEnd"/>
            <w:r w:rsidRPr="00B709C8">
              <w:rPr>
                <w:rFonts w:ascii="Open Sans" w:hAnsi="Open Sans" w:cs="Times New Roman"/>
                <w:color w:val="000000"/>
                <w:sz w:val="20"/>
                <w:szCs w:val="20"/>
              </w:rPr>
              <w:t xml:space="preserve"> during soil handling to ensure compliance with the SRP [7].</w:t>
            </w:r>
          </w:p>
          <w:p w14:paraId="200F7E48"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A watching brief will be undertaken by the subcontractor’s SQEP during all soil stripping to ensure compliance with the SRP, and to confirm soil strip depths and vary them if necessary, subject to prior agreement with ALIGN’s SQEP.</w:t>
            </w:r>
          </w:p>
          <w:p w14:paraId="0D6C5D1C"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B050"/>
                <w:sz w:val="20"/>
                <w:szCs w:val="20"/>
              </w:rPr>
            </w:pPr>
            <w:bookmarkStart w:id="1" w:name="_Hlk42506332"/>
            <w:r w:rsidRPr="00B709C8">
              <w:rPr>
                <w:rFonts w:ascii="Open Sans" w:hAnsi="Open Sans" w:cs="Times New Roman"/>
                <w:color w:val="00B050"/>
                <w:sz w:val="20"/>
                <w:szCs w:val="20"/>
              </w:rPr>
              <w:lastRenderedPageBreak/>
              <w:t>ALIGN’s Ecological Clerks of Works (</w:t>
            </w:r>
            <w:proofErr w:type="spellStart"/>
            <w:r w:rsidRPr="00B709C8">
              <w:rPr>
                <w:rFonts w:ascii="Open Sans" w:hAnsi="Open Sans" w:cs="Times New Roman"/>
                <w:color w:val="00B050"/>
                <w:sz w:val="20"/>
                <w:szCs w:val="20"/>
              </w:rPr>
              <w:t>ECoWs</w:t>
            </w:r>
            <w:proofErr w:type="spellEnd"/>
            <w:r w:rsidRPr="00B709C8">
              <w:rPr>
                <w:rFonts w:ascii="Open Sans" w:hAnsi="Open Sans" w:cs="Times New Roman"/>
                <w:color w:val="00B050"/>
                <w:sz w:val="20"/>
                <w:szCs w:val="20"/>
              </w:rPr>
              <w:t>) shall provide on-site supervision of soil handling as required, supplementary to the subcontractor’s responsibilities.</w:t>
            </w:r>
          </w:p>
          <w:bookmarkEnd w:id="1"/>
          <w:p w14:paraId="113CC38E" w14:textId="77777777" w:rsidR="00B709C8" w:rsidRPr="00B709C8"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Monthly site inspections will be undertaken by the subcontractor’s SQEP (refer to the SRP for the inspection checklist [7]).</w:t>
            </w:r>
          </w:p>
          <w:p w14:paraId="6326E3E5" w14:textId="77777777" w:rsidR="00B709C8" w:rsidRPr="00B709C8" w:rsidDel="00FB39BA" w:rsidRDefault="00B709C8" w:rsidP="00B709C8">
            <w:pPr>
              <w:numPr>
                <w:ilvl w:val="0"/>
                <w:numId w:val="1"/>
              </w:numPr>
              <w:autoSpaceDE w:val="0"/>
              <w:autoSpaceDN w:val="0"/>
              <w:adjustRightInd w:val="0"/>
              <w:spacing w:after="170" w:line="300" w:lineRule="atLeast"/>
              <w:ind w:left="458" w:hanging="283"/>
              <w:rPr>
                <w:rFonts w:ascii="Open Sans" w:hAnsi="Open Sans" w:cs="Times New Roman"/>
                <w:color w:val="000000"/>
                <w:sz w:val="20"/>
                <w:szCs w:val="20"/>
              </w:rPr>
            </w:pPr>
            <w:r w:rsidRPr="00B709C8">
              <w:rPr>
                <w:rFonts w:ascii="Open Sans" w:hAnsi="Open Sans" w:cs="Times New Roman"/>
                <w:color w:val="000000"/>
                <w:sz w:val="20"/>
                <w:szCs w:val="20"/>
              </w:rPr>
              <w:t>Records of the inspections and soil moisture tests will be kept by the subcontractor’s SQEP, and remedial measures will be taken should they be required, for instance to address unacceptable weed colonisation of stockpiles or soil erosion.</w:t>
            </w:r>
          </w:p>
        </w:tc>
      </w:tr>
    </w:tbl>
    <w:p w14:paraId="67CBBD69" w14:textId="77777777" w:rsidR="007A491A" w:rsidRDefault="007A491A"/>
    <w:sectPr w:rsidR="007A491A" w:rsidSect="00B709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cobs Chronos">
    <w:panose1 w:val="020B0603030503030204"/>
    <w:charset w:val="00"/>
    <w:family w:val="swiss"/>
    <w:pitch w:val="variable"/>
    <w:sig w:usb0="A00000EF" w:usb1="0000E0EB" w:usb2="00000008" w:usb3="00000000" w:csb0="00000001" w:csb1="00000000"/>
  </w:font>
  <w:font w:name="SimHei">
    <w:altName w:val="黑体"/>
    <w:panose1 w:val="02010600030101010101"/>
    <w:charset w:val="86"/>
    <w:family w:val="modern"/>
    <w:pitch w:val="fixed"/>
    <w:sig w:usb0="800002BF" w:usb1="38CF7CFA" w:usb2="00000016" w:usb3="00000000" w:csb0="00040001"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4BEC"/>
    <w:multiLevelType w:val="hybridMultilevel"/>
    <w:tmpl w:val="3D2C2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C8"/>
    <w:rsid w:val="007A491A"/>
    <w:rsid w:val="00B709C8"/>
    <w:rsid w:val="00EA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194"/>
  <w15:chartTrackingRefBased/>
  <w15:docId w15:val="{73FBD8ED-96AD-4C30-AC18-E43FE581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9C8"/>
    <w:pPr>
      <w:spacing w:after="0" w:line="240" w:lineRule="auto"/>
    </w:pPr>
    <w:rPr>
      <w:rFonts w:eastAsia="SimHe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9D06F4D10744C9AD8DB6AB4F6287C" ma:contentTypeVersion="13" ma:contentTypeDescription="Create a new document." ma:contentTypeScope="" ma:versionID="cd6600ecfc84382374a353fa5733ba78">
  <xsd:schema xmlns:xsd="http://www.w3.org/2001/XMLSchema" xmlns:xs="http://www.w3.org/2001/XMLSchema" xmlns:p="http://schemas.microsoft.com/office/2006/metadata/properties" xmlns:ns3="cb336691-914e-4114-94af-86ced4b02b09" xmlns:ns4="e3779dae-932d-4809-a3d7-c8a207f3a251" targetNamespace="http://schemas.microsoft.com/office/2006/metadata/properties" ma:root="true" ma:fieldsID="e6493d7f06f18c2052fa9b63d9bdc32d" ns3:_="" ns4:_="">
    <xsd:import namespace="cb336691-914e-4114-94af-86ced4b02b09"/>
    <xsd:import namespace="e3779dae-932d-4809-a3d7-c8a207f3a2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36691-914e-4114-94af-86ced4b02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9dae-932d-4809-a3d7-c8a207f3a2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C6680-3EA7-47A3-A14C-7E7213223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36691-914e-4114-94af-86ced4b02b09"/>
    <ds:schemaRef ds:uri="e3779dae-932d-4809-a3d7-c8a207f3a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78B6-E8A4-4E17-BAC7-C877B099075A}">
  <ds:schemaRefs>
    <ds:schemaRef ds:uri="http://schemas.microsoft.com/sharepoint/v3/contenttype/forms"/>
  </ds:schemaRefs>
</ds:datastoreItem>
</file>

<file path=customXml/itemProps3.xml><?xml version="1.0" encoding="utf-8"?>
<ds:datastoreItem xmlns:ds="http://schemas.openxmlformats.org/officeDocument/2006/customXml" ds:itemID="{CA7CD397-D797-41C1-BB1C-5C81DE21DE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McAree, Mark</dc:creator>
  <cp:keywords/>
  <dc:description/>
  <cp:lastModifiedBy>McAree, Mark</cp:lastModifiedBy>
  <cp:revision>1</cp:revision>
  <dcterms:created xsi:type="dcterms:W3CDTF">2020-06-23T15:33:00Z</dcterms:created>
  <dcterms:modified xsi:type="dcterms:W3CDTF">2020-06-23T15:34:00Z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0x010100BBA9D06F4D10744C9AD8DB6AB4F6287C</vt:lpwstr>
  </property>
</Properties>
</file>