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6C26" w:rsidRPr="00B67C18" w14:paraId="68EBEC8D" w14:textId="77777777" w:rsidTr="00696C26">
        <w:tc>
          <w:tcPr>
            <w:tcW w:w="1006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8EBEC8C" w14:textId="77777777" w:rsidR="00696C26" w:rsidRPr="00696C26" w:rsidRDefault="00696C26" w:rsidP="00696C26">
            <w:pPr>
              <w:pStyle w:val="BlockText"/>
              <w:spacing w:before="60" w:after="60"/>
              <w:rPr>
                <w:rFonts w:cs="Arial"/>
                <w:b/>
                <w:szCs w:val="22"/>
              </w:rPr>
            </w:pPr>
            <w:r w:rsidRPr="00696C26">
              <w:rPr>
                <w:rFonts w:cs="Arial"/>
                <w:b/>
                <w:szCs w:val="22"/>
              </w:rPr>
              <w:t xml:space="preserve">Habitats and receptors </w:t>
            </w:r>
          </w:p>
        </w:tc>
      </w:tr>
      <w:tr w:rsidR="00696C26" w:rsidRPr="00696C26" w14:paraId="68EBEC90" w14:textId="77777777" w:rsidTr="00696C26">
        <w:tc>
          <w:tcPr>
            <w:tcW w:w="10065" w:type="dxa"/>
            <w:tcBorders>
              <w:top w:val="single" w:sz="4" w:space="0" w:color="auto"/>
              <w:left w:val="single" w:sz="4" w:space="0" w:color="auto"/>
              <w:bottom w:val="single" w:sz="4" w:space="0" w:color="auto"/>
              <w:right w:val="single" w:sz="4" w:space="0" w:color="auto"/>
            </w:tcBorders>
            <w:shd w:val="clear" w:color="auto" w:fill="auto"/>
          </w:tcPr>
          <w:p w14:paraId="3B21B78B" w14:textId="77777777" w:rsidR="009922AC" w:rsidRPr="009D3C8C" w:rsidRDefault="00696C26" w:rsidP="00F92A01">
            <w:pPr>
              <w:pStyle w:val="BlockText"/>
              <w:spacing w:before="60" w:after="60"/>
              <w:rPr>
                <w:rFonts w:cs="Arial"/>
                <w:sz w:val="20"/>
              </w:rPr>
            </w:pPr>
            <w:r w:rsidRPr="009D3C8C">
              <w:rPr>
                <w:rFonts w:cs="Arial"/>
                <w:sz w:val="20"/>
              </w:rPr>
              <w:t xml:space="preserve">Identify all relevant nature and heritage sites, habitats and species. </w:t>
            </w:r>
          </w:p>
          <w:p w14:paraId="68EBEC8E" w14:textId="5980BEB9" w:rsidR="00696C26" w:rsidRPr="009D3C8C" w:rsidRDefault="004B6DCD" w:rsidP="00F92A01">
            <w:pPr>
              <w:pStyle w:val="BlockText"/>
              <w:spacing w:before="60" w:after="60"/>
              <w:rPr>
                <w:rFonts w:cs="Arial"/>
                <w:color w:val="FF0000"/>
                <w:sz w:val="20"/>
              </w:rPr>
            </w:pPr>
            <w:r w:rsidRPr="009D3C8C">
              <w:rPr>
                <w:rFonts w:cs="Arial"/>
                <w:color w:val="FF0000"/>
                <w:sz w:val="20"/>
              </w:rPr>
              <w:t xml:space="preserve">See </w:t>
            </w:r>
            <w:r w:rsidR="00BF5143" w:rsidRPr="009D3C8C">
              <w:rPr>
                <w:rFonts w:cs="Arial"/>
                <w:color w:val="FF0000"/>
                <w:sz w:val="20"/>
              </w:rPr>
              <w:t>ERA Plumley 201</w:t>
            </w:r>
            <w:r w:rsidR="00087DD7" w:rsidRPr="009D3C8C">
              <w:rPr>
                <w:rFonts w:cs="Arial"/>
                <w:color w:val="FF0000"/>
                <w:sz w:val="20"/>
              </w:rPr>
              <w:t xml:space="preserve">7 and </w:t>
            </w:r>
            <w:r w:rsidR="00421F55" w:rsidRPr="009D3C8C">
              <w:rPr>
                <w:rFonts w:cs="Arial"/>
                <w:color w:val="FF0000"/>
                <w:sz w:val="20"/>
              </w:rPr>
              <w:t xml:space="preserve">200911 Technical Note to </w:t>
            </w:r>
            <w:r w:rsidR="00245D03" w:rsidRPr="009D3C8C">
              <w:rPr>
                <w:rFonts w:cs="Arial"/>
                <w:color w:val="FF0000"/>
                <w:sz w:val="20"/>
              </w:rPr>
              <w:t>2017 Plumley ERA Addendum.</w:t>
            </w:r>
          </w:p>
          <w:p w14:paraId="68EBEC8F" w14:textId="77777777" w:rsidR="00696C26" w:rsidRPr="00696C26" w:rsidRDefault="00696C26" w:rsidP="00F92A01">
            <w:pPr>
              <w:pStyle w:val="BlockText"/>
              <w:spacing w:before="60" w:after="60"/>
              <w:rPr>
                <w:rFonts w:cs="Arial"/>
                <w:szCs w:val="22"/>
              </w:rPr>
            </w:pPr>
            <w:r w:rsidRPr="009D3C8C">
              <w:rPr>
                <w:rFonts w:cs="Arial"/>
                <w:sz w:val="20"/>
              </w:rPr>
              <w:t>Where there is potential for an affect to result, provide an impact assessment (see below).</w:t>
            </w:r>
          </w:p>
        </w:tc>
      </w:tr>
      <w:tr w:rsidR="00D363FE" w:rsidRPr="00B67C18" w14:paraId="68EBEC92" w14:textId="77777777" w:rsidTr="00801A81">
        <w:tc>
          <w:tcPr>
            <w:tcW w:w="10065" w:type="dxa"/>
            <w:shd w:val="clear" w:color="auto" w:fill="A8D08D" w:themeFill="accent6" w:themeFillTint="99"/>
          </w:tcPr>
          <w:p w14:paraId="68EBEC91" w14:textId="77777777" w:rsidR="00D363FE" w:rsidRPr="00B67C18" w:rsidRDefault="00D363FE" w:rsidP="00801A81">
            <w:pPr>
              <w:pStyle w:val="BlockText"/>
              <w:spacing w:before="60" w:after="60"/>
              <w:rPr>
                <w:rStyle w:val="PlaceholderText"/>
                <w:rFonts w:cs="Arial"/>
                <w:b/>
                <w:color w:val="538135" w:themeColor="accent6" w:themeShade="BF"/>
                <w:szCs w:val="22"/>
              </w:rPr>
            </w:pPr>
            <w:r w:rsidRPr="00B67C18">
              <w:rPr>
                <w:rFonts w:cs="Arial"/>
                <w:b/>
                <w:szCs w:val="22"/>
              </w:rPr>
              <w:t xml:space="preserve">Risk Assessments &amp; Management Plans &amp;– Link to guidance </w:t>
            </w:r>
            <w:r w:rsidRPr="00B67C18">
              <w:rPr>
                <w:rFonts w:cs="Arial"/>
                <w:b/>
                <w:color w:val="538135" w:themeColor="accent6" w:themeShade="BF"/>
                <w:szCs w:val="22"/>
              </w:rPr>
              <w:t>-</w:t>
            </w:r>
            <w:r w:rsidRPr="00B67C18">
              <w:rPr>
                <w:szCs w:val="22"/>
              </w:rPr>
              <w:t xml:space="preserve"> </w:t>
            </w:r>
            <w:hyperlink r:id="rId5" w:history="1">
              <w:r w:rsidRPr="00B67C18">
                <w:rPr>
                  <w:rStyle w:val="Hyperlink"/>
                  <w:rFonts w:cs="Arial"/>
                  <w:b/>
                  <w:color w:val="0070C0"/>
                  <w:szCs w:val="22"/>
                  <w:u w:val="none"/>
                </w:rPr>
                <w:t>https://www.gov.uk/guidance/risk-assessments-for-your-environmental-permit</w:t>
              </w:r>
            </w:hyperlink>
            <w:r w:rsidRPr="00B67C18">
              <w:rPr>
                <w:rFonts w:cs="Arial"/>
                <w:b/>
                <w:color w:val="0070C0"/>
                <w:szCs w:val="22"/>
              </w:rPr>
              <w:t xml:space="preserve"> </w:t>
            </w:r>
          </w:p>
        </w:tc>
      </w:tr>
      <w:tr w:rsidR="00D363FE" w:rsidRPr="00B67C18" w14:paraId="68EBEC94" w14:textId="77777777" w:rsidTr="00801A81">
        <w:tc>
          <w:tcPr>
            <w:tcW w:w="10065" w:type="dxa"/>
            <w:shd w:val="clear" w:color="auto" w:fill="auto"/>
          </w:tcPr>
          <w:p w14:paraId="1A23C5D5" w14:textId="77777777" w:rsidR="005E35B9" w:rsidRDefault="00D363FE" w:rsidP="00801A81">
            <w:pPr>
              <w:tabs>
                <w:tab w:val="right" w:pos="8222"/>
              </w:tabs>
              <w:spacing w:before="60" w:after="60"/>
              <w:rPr>
                <w:sz w:val="20"/>
                <w:szCs w:val="22"/>
              </w:rPr>
            </w:pPr>
            <w:r w:rsidRPr="00B67C18">
              <w:rPr>
                <w:sz w:val="20"/>
                <w:szCs w:val="22"/>
              </w:rPr>
              <w:t xml:space="preserve">Provide environmental risk assessment – this should identify relevant risk assessments (odour management plans, noise and vibration, </w:t>
            </w:r>
            <w:r w:rsidR="00696C26" w:rsidRPr="00696C26">
              <w:rPr>
                <w:sz w:val="20"/>
                <w:szCs w:val="22"/>
              </w:rPr>
              <w:t>Volatile Organic Compounds</w:t>
            </w:r>
            <w:r w:rsidR="00696C26">
              <w:rPr>
                <w:sz w:val="20"/>
                <w:szCs w:val="22"/>
              </w:rPr>
              <w:t>,</w:t>
            </w:r>
            <w:r w:rsidR="00696C26" w:rsidRPr="00696C26">
              <w:rPr>
                <w:sz w:val="20"/>
                <w:szCs w:val="22"/>
              </w:rPr>
              <w:t xml:space="preserve"> </w:t>
            </w:r>
            <w:r w:rsidRPr="00B67C18">
              <w:rPr>
                <w:sz w:val="20"/>
                <w:szCs w:val="22"/>
              </w:rPr>
              <w:t>fire prevention, dust management, pest management). Ensure appropriate fees are paid with any relevant plans.</w:t>
            </w:r>
            <w:r w:rsidR="00B667DB">
              <w:rPr>
                <w:sz w:val="20"/>
                <w:szCs w:val="22"/>
              </w:rPr>
              <w:t xml:space="preserve"> </w:t>
            </w:r>
          </w:p>
          <w:p w14:paraId="68EBEC93" w14:textId="4A076E6A" w:rsidR="00D363FE" w:rsidRPr="00B67C18" w:rsidRDefault="00B667DB" w:rsidP="00801A81">
            <w:pPr>
              <w:tabs>
                <w:tab w:val="right" w:pos="8222"/>
              </w:tabs>
              <w:spacing w:before="60" w:after="60"/>
              <w:rPr>
                <w:sz w:val="20"/>
              </w:rPr>
            </w:pPr>
            <w:r w:rsidRPr="00151DF7">
              <w:rPr>
                <w:color w:val="FF0000"/>
                <w:sz w:val="20"/>
                <w:szCs w:val="22"/>
              </w:rPr>
              <w:t xml:space="preserve">See </w:t>
            </w:r>
            <w:r w:rsidR="00231ED5" w:rsidRPr="00231ED5">
              <w:rPr>
                <w:color w:val="FF0000"/>
                <w:sz w:val="20"/>
                <w:szCs w:val="22"/>
              </w:rPr>
              <w:t>SR2015-No2-GRA Plumley</w:t>
            </w:r>
            <w:r w:rsidR="00231ED5">
              <w:rPr>
                <w:color w:val="FF0000"/>
                <w:sz w:val="20"/>
                <w:szCs w:val="22"/>
              </w:rPr>
              <w:t>.</w:t>
            </w:r>
          </w:p>
        </w:tc>
      </w:tr>
      <w:tr w:rsidR="00D363FE" w:rsidRPr="00B67C18" w14:paraId="68EBEC96" w14:textId="77777777" w:rsidTr="00801A81">
        <w:tc>
          <w:tcPr>
            <w:tcW w:w="10065" w:type="dxa"/>
            <w:shd w:val="clear" w:color="auto" w:fill="auto"/>
          </w:tcPr>
          <w:p w14:paraId="4F87EB18" w14:textId="77777777" w:rsidR="00115F34" w:rsidRDefault="00D363FE" w:rsidP="00801A81">
            <w:pPr>
              <w:tabs>
                <w:tab w:val="right" w:pos="8222"/>
              </w:tabs>
              <w:spacing w:before="60" w:after="60"/>
              <w:rPr>
                <w:sz w:val="20"/>
                <w:szCs w:val="22"/>
              </w:rPr>
            </w:pPr>
            <w:r w:rsidRPr="00B67C18">
              <w:rPr>
                <w:sz w:val="20"/>
                <w:szCs w:val="22"/>
              </w:rPr>
              <w:t xml:space="preserve">Flood Risk – if site is in a flood risk zone, assessment of risk of pollution in the event of a flooding event should be provided. </w:t>
            </w:r>
          </w:p>
          <w:p w14:paraId="68EBEC95" w14:textId="20BB6113" w:rsidR="00D363FE" w:rsidRPr="00B67C18" w:rsidRDefault="00151DF7" w:rsidP="00801A81">
            <w:pPr>
              <w:tabs>
                <w:tab w:val="right" w:pos="8222"/>
              </w:tabs>
              <w:spacing w:before="60" w:after="60"/>
              <w:rPr>
                <w:sz w:val="20"/>
              </w:rPr>
            </w:pPr>
            <w:r w:rsidRPr="00151DF7">
              <w:rPr>
                <w:color w:val="FF0000"/>
                <w:sz w:val="20"/>
                <w:szCs w:val="20"/>
              </w:rPr>
              <w:t>See ERA Plumley 2017.</w:t>
            </w:r>
          </w:p>
        </w:tc>
      </w:tr>
      <w:tr w:rsidR="00696C26" w:rsidRPr="0044361F" w14:paraId="68EBEC99" w14:textId="77777777" w:rsidTr="00801A81">
        <w:tc>
          <w:tcPr>
            <w:tcW w:w="10065" w:type="dxa"/>
            <w:shd w:val="clear" w:color="auto" w:fill="auto"/>
          </w:tcPr>
          <w:p w14:paraId="68EBEC97" w14:textId="77777777" w:rsidR="00696C26" w:rsidRPr="0044361F" w:rsidRDefault="00696C26" w:rsidP="00696C26">
            <w:pPr>
              <w:pStyle w:val="BlockText"/>
              <w:rPr>
                <w:rFonts w:cs="Arial"/>
                <w:b/>
                <w:sz w:val="20"/>
              </w:rPr>
            </w:pPr>
            <w:r w:rsidRPr="0044361F">
              <w:rPr>
                <w:rFonts w:cs="Arial"/>
                <w:b/>
                <w:sz w:val="20"/>
              </w:rPr>
              <w:t xml:space="preserve">Energy Efficiency </w:t>
            </w:r>
          </w:p>
          <w:p w14:paraId="2786BA51" w14:textId="77777777" w:rsidR="00696C26" w:rsidRDefault="00696C26" w:rsidP="00696C26">
            <w:pPr>
              <w:pStyle w:val="BlockText"/>
              <w:rPr>
                <w:rFonts w:cs="Arial"/>
                <w:sz w:val="20"/>
              </w:rPr>
            </w:pPr>
            <w:r w:rsidRPr="0044361F">
              <w:rPr>
                <w:rFonts w:cs="Arial"/>
                <w:sz w:val="20"/>
              </w:rPr>
              <w:t xml:space="preserve">Energy use in this sector is significant. Applicants will often participate in a Climate Change Agreement or a Direct Participant Agreement (both are considered BAT). An assessment of </w:t>
            </w:r>
            <w:r w:rsidRPr="0044361F">
              <w:rPr>
                <w:sz w:val="20"/>
              </w:rPr>
              <w:t>energy usage/efficiency techniques and measures</w:t>
            </w:r>
            <w:r w:rsidRPr="0044361F">
              <w:rPr>
                <w:rFonts w:cs="Arial"/>
                <w:sz w:val="20"/>
              </w:rPr>
              <w:t xml:space="preserve"> must be included in the application.</w:t>
            </w:r>
          </w:p>
          <w:p w14:paraId="68EBEC98" w14:textId="1DD6D95E" w:rsidR="00C84877" w:rsidRPr="0072516B" w:rsidRDefault="00C84877" w:rsidP="00696C26">
            <w:pPr>
              <w:pStyle w:val="BlockText"/>
              <w:rPr>
                <w:rStyle w:val="PlaceholderText"/>
                <w:rFonts w:cs="Arial"/>
                <w:color w:val="auto"/>
                <w:sz w:val="20"/>
              </w:rPr>
            </w:pPr>
            <w:r w:rsidRPr="0072516B">
              <w:rPr>
                <w:color w:val="FF0000"/>
                <w:sz w:val="20"/>
              </w:rPr>
              <w:t xml:space="preserve">See OPA Env Aspects Register </w:t>
            </w:r>
            <w:r w:rsidR="0072516B" w:rsidRPr="0072516B">
              <w:rPr>
                <w:color w:val="FF0000"/>
                <w:sz w:val="20"/>
              </w:rPr>
              <w:t>–</w:t>
            </w:r>
            <w:r w:rsidRPr="0072516B">
              <w:rPr>
                <w:color w:val="FF0000"/>
                <w:sz w:val="20"/>
              </w:rPr>
              <w:t xml:space="preserve"> </w:t>
            </w:r>
            <w:r w:rsidR="0072516B" w:rsidRPr="0072516B">
              <w:rPr>
                <w:color w:val="FF0000"/>
                <w:sz w:val="20"/>
              </w:rPr>
              <w:t>Plumley &amp; CoGH</w:t>
            </w:r>
          </w:p>
        </w:tc>
      </w:tr>
      <w:tr w:rsidR="00696C26" w:rsidRPr="0044361F" w14:paraId="68EBEC9E" w14:textId="77777777" w:rsidTr="00801A81">
        <w:tc>
          <w:tcPr>
            <w:tcW w:w="10065" w:type="dxa"/>
            <w:shd w:val="clear" w:color="auto" w:fill="auto"/>
          </w:tcPr>
          <w:p w14:paraId="68EBEC9A" w14:textId="77777777" w:rsidR="00696C26" w:rsidRPr="0044361F" w:rsidRDefault="00696C26" w:rsidP="00696C26">
            <w:pPr>
              <w:pStyle w:val="BlockText"/>
              <w:rPr>
                <w:rFonts w:cs="Arial"/>
                <w:b/>
                <w:sz w:val="20"/>
              </w:rPr>
            </w:pPr>
            <w:r w:rsidRPr="0044361F">
              <w:rPr>
                <w:rFonts w:cs="Arial"/>
                <w:b/>
                <w:sz w:val="20"/>
              </w:rPr>
              <w:t xml:space="preserve">Waste recovery, recycling and disposal techniques </w:t>
            </w:r>
          </w:p>
          <w:p w14:paraId="68EBEC9B" w14:textId="77777777" w:rsidR="00696C26" w:rsidRPr="0044361F" w:rsidRDefault="00696C26" w:rsidP="00696C26">
            <w:pPr>
              <w:pStyle w:val="BlockText"/>
              <w:rPr>
                <w:rFonts w:cs="Arial"/>
                <w:sz w:val="20"/>
              </w:rPr>
            </w:pPr>
            <w:r w:rsidRPr="0044361F">
              <w:rPr>
                <w:rFonts w:cs="Arial"/>
                <w:sz w:val="20"/>
              </w:rPr>
              <w:t>The nature of waste, high oil content, means recovery and pre-treatment techniques should be considered. Applicants must justify how the chosen techniques represent BAT (as per TGN), and where appropriate carry out an options appraisal.</w:t>
            </w:r>
          </w:p>
          <w:p w14:paraId="68EBEC9C" w14:textId="77777777" w:rsidR="0044361F" w:rsidRPr="0044361F" w:rsidRDefault="0044361F" w:rsidP="0044361F">
            <w:pPr>
              <w:pStyle w:val="BlockText"/>
              <w:rPr>
                <w:rStyle w:val="PlaceholderText"/>
                <w:color w:val="000000" w:themeColor="text1"/>
                <w:sz w:val="20"/>
              </w:rPr>
            </w:pPr>
            <w:r w:rsidRPr="0044361F">
              <w:rPr>
                <w:rStyle w:val="PlaceholderText"/>
                <w:color w:val="000000" w:themeColor="text1"/>
                <w:sz w:val="20"/>
              </w:rPr>
              <w:t>If appropriate, EWC/Hazard codes for wastes [justification for the use of 99 codes must be provided where appropriate].</w:t>
            </w:r>
          </w:p>
          <w:p w14:paraId="3F93D83A" w14:textId="77777777" w:rsidR="0044361F" w:rsidRDefault="0044361F" w:rsidP="0044361F">
            <w:pPr>
              <w:pStyle w:val="BlockText"/>
              <w:rPr>
                <w:rStyle w:val="PlaceholderText"/>
                <w:color w:val="000000" w:themeColor="text1"/>
                <w:sz w:val="20"/>
              </w:rPr>
            </w:pPr>
            <w:r w:rsidRPr="0044361F">
              <w:rPr>
                <w:rStyle w:val="PlaceholderText"/>
                <w:color w:val="000000" w:themeColor="text1"/>
                <w:sz w:val="20"/>
              </w:rPr>
              <w:t>Waste handling description (including storage and segregation)</w:t>
            </w:r>
          </w:p>
          <w:p w14:paraId="68EBEC9D" w14:textId="25DB0AB4" w:rsidR="00503653" w:rsidRPr="0044361F" w:rsidRDefault="00503653" w:rsidP="0044361F">
            <w:pPr>
              <w:pStyle w:val="BlockText"/>
              <w:rPr>
                <w:rStyle w:val="PlaceholderText"/>
                <w:b/>
                <w:sz w:val="20"/>
              </w:rPr>
            </w:pPr>
            <w:r w:rsidRPr="0072516B">
              <w:rPr>
                <w:color w:val="FF0000"/>
                <w:sz w:val="20"/>
              </w:rPr>
              <w:t>See OPA Env Aspects Register – Plumley &amp; CoGH</w:t>
            </w:r>
          </w:p>
        </w:tc>
      </w:tr>
      <w:tr w:rsidR="00696C26" w:rsidRPr="0044361F" w14:paraId="68EBECA3" w14:textId="77777777" w:rsidTr="00801A81">
        <w:tc>
          <w:tcPr>
            <w:tcW w:w="10065" w:type="dxa"/>
            <w:shd w:val="clear" w:color="auto" w:fill="auto"/>
          </w:tcPr>
          <w:p w14:paraId="68EBEC9F" w14:textId="77777777" w:rsidR="00696C26" w:rsidRPr="0044361F" w:rsidRDefault="00696C26" w:rsidP="00696C26">
            <w:pPr>
              <w:pStyle w:val="BlockText"/>
              <w:rPr>
                <w:rFonts w:cs="Arial"/>
                <w:b/>
                <w:sz w:val="20"/>
              </w:rPr>
            </w:pPr>
            <w:r w:rsidRPr="0044361F">
              <w:rPr>
                <w:rFonts w:cs="Arial"/>
                <w:b/>
                <w:sz w:val="20"/>
              </w:rPr>
              <w:t>Accident prevention and control</w:t>
            </w:r>
          </w:p>
          <w:p w14:paraId="68EBECA0" w14:textId="77777777" w:rsidR="00696C26" w:rsidRPr="0044361F" w:rsidRDefault="00696C26" w:rsidP="00696C26">
            <w:pPr>
              <w:pStyle w:val="BlockText"/>
              <w:rPr>
                <w:rFonts w:cs="Arial"/>
                <w:sz w:val="20"/>
              </w:rPr>
            </w:pPr>
            <w:r w:rsidRPr="0044361F">
              <w:rPr>
                <w:rFonts w:cs="Arial"/>
                <w:sz w:val="20"/>
              </w:rPr>
              <w:t>Storage, transfer and transport of high volumes of hydrocarbons pose a significant risk, therefore assessment of containment and emergency procedures is required. Applicants must justify how the chosen techniques represent BAT (as per TGN), and where appropriate carry out an options appraisal.</w:t>
            </w:r>
          </w:p>
          <w:p w14:paraId="68EBECA1" w14:textId="77777777" w:rsidR="00696C26" w:rsidRPr="0044361F" w:rsidRDefault="00696C26" w:rsidP="00696C26">
            <w:pPr>
              <w:pStyle w:val="BlockText"/>
              <w:rPr>
                <w:sz w:val="20"/>
              </w:rPr>
            </w:pPr>
            <w:r w:rsidRPr="0044361F">
              <w:rPr>
                <w:sz w:val="20"/>
              </w:rPr>
              <w:t>Infrastructure detail provided (E.g. secondary containment, tank specification, surfacing)?</w:t>
            </w:r>
          </w:p>
          <w:p w14:paraId="141DC4B9" w14:textId="77777777" w:rsidR="0044361F" w:rsidRDefault="0044361F" w:rsidP="00696C26">
            <w:pPr>
              <w:pStyle w:val="BlockText"/>
              <w:rPr>
                <w:sz w:val="20"/>
              </w:rPr>
            </w:pPr>
            <w:r w:rsidRPr="0044361F">
              <w:rPr>
                <w:sz w:val="20"/>
              </w:rPr>
              <w:t>Storage arrangement details.</w:t>
            </w:r>
          </w:p>
          <w:p w14:paraId="68EBECA2" w14:textId="450081DB" w:rsidR="00C50144" w:rsidRPr="0044361F" w:rsidRDefault="00B20FD1" w:rsidP="00696C26">
            <w:pPr>
              <w:pStyle w:val="BlockText"/>
              <w:rPr>
                <w:rStyle w:val="PlaceholderText"/>
                <w:b/>
                <w:sz w:val="20"/>
              </w:rPr>
            </w:pPr>
            <w:r w:rsidRPr="00B20FD1">
              <w:rPr>
                <w:rFonts w:cs="Arial"/>
                <w:color w:val="FF0000"/>
                <w:sz w:val="20"/>
              </w:rPr>
              <w:t>See Management System Plumley Section 6.</w:t>
            </w:r>
          </w:p>
        </w:tc>
      </w:tr>
      <w:tr w:rsidR="00696C26" w:rsidRPr="00AD5B34" w14:paraId="68EBECA6" w14:textId="77777777" w:rsidTr="00801A81">
        <w:tc>
          <w:tcPr>
            <w:tcW w:w="10065" w:type="dxa"/>
            <w:shd w:val="clear" w:color="auto" w:fill="auto"/>
          </w:tcPr>
          <w:p w14:paraId="68EBECA4" w14:textId="77777777" w:rsidR="00696C26" w:rsidRPr="00B67C18" w:rsidRDefault="00696C26" w:rsidP="00696C26">
            <w:pPr>
              <w:tabs>
                <w:tab w:val="left" w:pos="480"/>
                <w:tab w:val="right" w:pos="8222"/>
              </w:tabs>
              <w:spacing w:before="60" w:after="0"/>
              <w:rPr>
                <w:b/>
                <w:sz w:val="20"/>
                <w:szCs w:val="22"/>
              </w:rPr>
            </w:pPr>
            <w:r w:rsidRPr="00B67C18">
              <w:rPr>
                <w:b/>
                <w:sz w:val="20"/>
                <w:szCs w:val="22"/>
              </w:rPr>
              <w:t>Climate Change Screening – New Bespoke Only</w:t>
            </w:r>
          </w:p>
          <w:p w14:paraId="1D502F77" w14:textId="77777777" w:rsidR="00696C26" w:rsidRDefault="00696C26" w:rsidP="00696C26">
            <w:pPr>
              <w:pStyle w:val="BlockText"/>
              <w:rPr>
                <w:color w:val="0070C0"/>
                <w:sz w:val="20"/>
                <w:szCs w:val="22"/>
              </w:rPr>
            </w:pPr>
            <w:r w:rsidRPr="00B67C18">
              <w:rPr>
                <w:sz w:val="20"/>
                <w:szCs w:val="22"/>
              </w:rPr>
              <w:t xml:space="preserve">Complete the climate change screening questions in Part B2, section 6b of the application form </w:t>
            </w:r>
            <w:hyperlink r:id="rId6" w:history="1">
              <w:r w:rsidRPr="00B67C18">
                <w:rPr>
                  <w:rStyle w:val="Hyperlink"/>
                  <w:rFonts w:cs="Arial"/>
                  <w:color w:val="0070C0"/>
                  <w:sz w:val="20"/>
                  <w:szCs w:val="22"/>
                </w:rPr>
                <w:t>Part B2 Guidance</w:t>
              </w:r>
            </w:hyperlink>
            <w:r w:rsidRPr="00B67C18">
              <w:rPr>
                <w:color w:val="0070C0"/>
                <w:sz w:val="20"/>
                <w:szCs w:val="22"/>
              </w:rPr>
              <w:t xml:space="preserve"> </w:t>
            </w:r>
          </w:p>
          <w:p w14:paraId="68EBECA5" w14:textId="4843C1B1" w:rsidR="00A30D05" w:rsidRPr="00B67C18" w:rsidRDefault="00AA049B" w:rsidP="00696C26">
            <w:pPr>
              <w:pStyle w:val="BlockText"/>
              <w:rPr>
                <w:rStyle w:val="PlaceholderText"/>
                <w:sz w:val="20"/>
                <w:szCs w:val="22"/>
              </w:rPr>
            </w:pPr>
            <w:r w:rsidRPr="00AA049B">
              <w:rPr>
                <w:rFonts w:cs="Arial"/>
                <w:color w:val="FF0000"/>
                <w:sz w:val="20"/>
              </w:rPr>
              <w:t>Complete</w:t>
            </w:r>
            <w:r>
              <w:rPr>
                <w:rFonts w:cs="Arial"/>
                <w:color w:val="FF0000"/>
                <w:sz w:val="20"/>
              </w:rPr>
              <w:t>.</w:t>
            </w:r>
          </w:p>
        </w:tc>
      </w:tr>
      <w:tr w:rsidR="00696C26" w:rsidRPr="00AD5B34" w14:paraId="68EBECA9" w14:textId="77777777" w:rsidTr="00801A81">
        <w:tc>
          <w:tcPr>
            <w:tcW w:w="10065" w:type="dxa"/>
            <w:shd w:val="clear" w:color="auto" w:fill="auto"/>
          </w:tcPr>
          <w:p w14:paraId="68EBECA7" w14:textId="77777777" w:rsidR="00696C26" w:rsidRPr="00B67C18" w:rsidRDefault="00696C26" w:rsidP="00696C26">
            <w:pPr>
              <w:tabs>
                <w:tab w:val="left" w:pos="480"/>
                <w:tab w:val="right" w:pos="8222"/>
              </w:tabs>
              <w:spacing w:before="60" w:after="0"/>
              <w:rPr>
                <w:b/>
                <w:sz w:val="20"/>
                <w:szCs w:val="22"/>
              </w:rPr>
            </w:pPr>
            <w:r w:rsidRPr="00B67C18">
              <w:rPr>
                <w:b/>
                <w:sz w:val="20"/>
                <w:szCs w:val="22"/>
              </w:rPr>
              <w:t>Climate Change Risk Assessment – New Bespoke Only</w:t>
            </w:r>
          </w:p>
          <w:p w14:paraId="68EBECA8" w14:textId="403A047E" w:rsidR="00696C26" w:rsidRPr="00B67C18" w:rsidRDefault="00696C26" w:rsidP="00696C26">
            <w:pPr>
              <w:tabs>
                <w:tab w:val="left" w:pos="480"/>
                <w:tab w:val="right" w:pos="8222"/>
              </w:tabs>
              <w:rPr>
                <w:rStyle w:val="PlaceholderText"/>
                <w:sz w:val="20"/>
                <w:szCs w:val="22"/>
              </w:rPr>
            </w:pPr>
            <w:r w:rsidRPr="00B67C18">
              <w:rPr>
                <w:sz w:val="20"/>
                <w:szCs w:val="22"/>
              </w:rPr>
              <w:t xml:space="preserve">Where the score is 5 or more (climate change screening) – requirement to submit a climate change risk assessment?  </w:t>
            </w:r>
            <w:r w:rsidRPr="00B67C18">
              <w:rPr>
                <w:color w:val="CE2C75"/>
                <w:sz w:val="20"/>
                <w:szCs w:val="22"/>
              </w:rPr>
              <w:t>If planning to operate for 5 years or less - do not need to submit a risk assessment regardless of the screening score.</w:t>
            </w:r>
            <w:r w:rsidR="00AA049B">
              <w:rPr>
                <w:color w:val="FF0000"/>
                <w:sz w:val="20"/>
                <w:szCs w:val="22"/>
              </w:rPr>
              <w:t xml:space="preserve"> N/A – score is 3.</w:t>
            </w:r>
          </w:p>
        </w:tc>
      </w:tr>
    </w:tbl>
    <w:p w14:paraId="68EBECC2" w14:textId="16B362A2" w:rsidR="009646C2" w:rsidRDefault="009646C2" w:rsidP="009646C2">
      <w:pPr>
        <w:pStyle w:val="ListParagraph"/>
      </w:pPr>
    </w:p>
    <w:p w14:paraId="7ADBA39C" w14:textId="77777777" w:rsidR="00341BD9" w:rsidRDefault="00341BD9" w:rsidP="009646C2">
      <w:pPr>
        <w:pStyle w:val="ListParagraph"/>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8393D" w:rsidRPr="00B67C18" w14:paraId="68EBECC4" w14:textId="77777777" w:rsidTr="00B67C18">
        <w:trPr>
          <w:trHeight w:val="562"/>
        </w:trPr>
        <w:tc>
          <w:tcPr>
            <w:tcW w:w="10065" w:type="dxa"/>
            <w:shd w:val="clear" w:color="auto" w:fill="A8D08D" w:themeFill="accent6" w:themeFillTint="99"/>
          </w:tcPr>
          <w:p w14:paraId="68EBECC3" w14:textId="77777777" w:rsidR="00F8393D" w:rsidRPr="00B67C18" w:rsidRDefault="00F8393D" w:rsidP="00B67C18">
            <w:pPr>
              <w:pStyle w:val="BlockText"/>
              <w:rPr>
                <w:rStyle w:val="PlaceholderText"/>
                <w:rFonts w:cs="Arial"/>
                <w:color w:val="538135" w:themeColor="accent6" w:themeShade="BF"/>
                <w:szCs w:val="24"/>
              </w:rPr>
            </w:pPr>
            <w:r w:rsidRPr="00B67C18">
              <w:rPr>
                <w:rFonts w:eastAsiaTheme="minorHAnsi" w:cs="Arial"/>
                <w:szCs w:val="24"/>
                <w:lang w:eastAsia="en-US"/>
              </w:rPr>
              <w:lastRenderedPageBreak/>
              <w:br w:type="page"/>
            </w:r>
            <w:r w:rsidRPr="00B67C18">
              <w:rPr>
                <w:rFonts w:cs="Arial"/>
                <w:b/>
                <w:szCs w:val="24"/>
              </w:rPr>
              <w:t xml:space="preserve">Operator competence </w:t>
            </w:r>
            <w:r w:rsidRPr="00B67C18">
              <w:rPr>
                <w:rFonts w:cs="Arial"/>
                <w:szCs w:val="24"/>
              </w:rPr>
              <w:t xml:space="preserve">Link to guidance: </w:t>
            </w:r>
            <w:hyperlink r:id="rId7" w:history="1">
              <w:r w:rsidRPr="00B67C18">
                <w:rPr>
                  <w:rStyle w:val="Hyperlink"/>
                  <w:rFonts w:cs="Arial"/>
                  <w:color w:val="0070C0"/>
                  <w:szCs w:val="24"/>
                </w:rPr>
                <w:t>https://www.gov.uk/guidance/legal-operator-and-competence-requirements-environmental-permits</w:t>
              </w:r>
            </w:hyperlink>
            <w:r w:rsidRPr="00B67C18">
              <w:rPr>
                <w:rFonts w:cs="Arial"/>
                <w:color w:val="0070C0"/>
                <w:szCs w:val="24"/>
              </w:rPr>
              <w:t xml:space="preserve"> </w:t>
            </w:r>
          </w:p>
        </w:tc>
      </w:tr>
      <w:tr w:rsidR="00F8393D" w:rsidRPr="00B67C18" w14:paraId="68EBECC6" w14:textId="77777777" w:rsidTr="00B67C18">
        <w:tc>
          <w:tcPr>
            <w:tcW w:w="10065" w:type="dxa"/>
          </w:tcPr>
          <w:p w14:paraId="353792B2" w14:textId="77777777" w:rsidR="006A7F7D" w:rsidRDefault="00B67C18" w:rsidP="00B67C18">
            <w:pPr>
              <w:tabs>
                <w:tab w:val="right" w:pos="8222"/>
              </w:tabs>
              <w:spacing w:before="60" w:after="60"/>
              <w:rPr>
                <w:sz w:val="20"/>
                <w:szCs w:val="22"/>
              </w:rPr>
            </w:pPr>
            <w:r>
              <w:rPr>
                <w:sz w:val="20"/>
                <w:szCs w:val="22"/>
              </w:rPr>
              <w:t>Include a summary</w:t>
            </w:r>
            <w:r w:rsidR="00F8393D" w:rsidRPr="00B67C18">
              <w:rPr>
                <w:sz w:val="20"/>
                <w:szCs w:val="22"/>
              </w:rPr>
              <w:t xml:space="preserve"> of Management System </w:t>
            </w:r>
          </w:p>
          <w:p w14:paraId="68EBECC5" w14:textId="38BFE817" w:rsidR="00F8393D" w:rsidRPr="00B67C18" w:rsidRDefault="007531FF" w:rsidP="00B67C18">
            <w:pPr>
              <w:tabs>
                <w:tab w:val="right" w:pos="8222"/>
              </w:tabs>
              <w:spacing w:before="60" w:after="60"/>
              <w:rPr>
                <w:rStyle w:val="PlaceholderText"/>
                <w:color w:val="auto"/>
                <w:sz w:val="20"/>
                <w:szCs w:val="22"/>
              </w:rPr>
            </w:pPr>
            <w:r w:rsidRPr="00B20FD1">
              <w:rPr>
                <w:color w:val="FF0000"/>
                <w:sz w:val="20"/>
              </w:rPr>
              <w:t>See Management System Plumley</w:t>
            </w:r>
          </w:p>
        </w:tc>
      </w:tr>
      <w:tr w:rsidR="00F8393D" w:rsidRPr="00B67C18" w14:paraId="68EBECC8" w14:textId="77777777" w:rsidTr="00B67C18">
        <w:tc>
          <w:tcPr>
            <w:tcW w:w="10065" w:type="dxa"/>
            <w:shd w:val="clear" w:color="auto" w:fill="A8D08D" w:themeFill="accent6" w:themeFillTint="99"/>
          </w:tcPr>
          <w:p w14:paraId="68EBECC7" w14:textId="77777777" w:rsidR="00F8393D" w:rsidRPr="00B67C18" w:rsidRDefault="00F8393D" w:rsidP="00B67C18">
            <w:pPr>
              <w:pStyle w:val="BlockText"/>
              <w:spacing w:before="60" w:after="60"/>
              <w:rPr>
                <w:rStyle w:val="PlaceholderText"/>
                <w:rFonts w:cs="Arial"/>
                <w:b/>
                <w:color w:val="538135" w:themeColor="accent6" w:themeShade="BF"/>
                <w:szCs w:val="22"/>
              </w:rPr>
            </w:pPr>
            <w:r w:rsidRPr="00B67C18">
              <w:rPr>
                <w:rFonts w:cs="Arial"/>
                <w:b/>
                <w:szCs w:val="22"/>
              </w:rPr>
              <w:t>Process flow diagrams</w:t>
            </w:r>
          </w:p>
        </w:tc>
      </w:tr>
      <w:tr w:rsidR="00F8393D" w:rsidRPr="00B67C18" w14:paraId="68EBECCA" w14:textId="77777777" w:rsidTr="00B67C18">
        <w:tc>
          <w:tcPr>
            <w:tcW w:w="10065" w:type="dxa"/>
          </w:tcPr>
          <w:p w14:paraId="77A18570" w14:textId="77777777" w:rsidR="003C0A16" w:rsidRDefault="00F8393D" w:rsidP="00B67C18">
            <w:pPr>
              <w:tabs>
                <w:tab w:val="right" w:pos="8222"/>
              </w:tabs>
              <w:spacing w:before="60" w:after="60"/>
              <w:rPr>
                <w:sz w:val="20"/>
                <w:szCs w:val="22"/>
              </w:rPr>
            </w:pPr>
            <w:r w:rsidRPr="00B67C18">
              <w:rPr>
                <w:sz w:val="20"/>
                <w:szCs w:val="22"/>
              </w:rPr>
              <w:t xml:space="preserve">Process flow diagrams – </w:t>
            </w:r>
            <w:r w:rsidR="00B67C18">
              <w:rPr>
                <w:sz w:val="20"/>
                <w:szCs w:val="22"/>
              </w:rPr>
              <w:t>provide where</w:t>
            </w:r>
            <w:r w:rsidRPr="00B67C18">
              <w:rPr>
                <w:sz w:val="20"/>
                <w:szCs w:val="22"/>
              </w:rPr>
              <w:t xml:space="preserve"> appropriate</w:t>
            </w:r>
            <w:r w:rsidR="00B67C18">
              <w:rPr>
                <w:sz w:val="20"/>
                <w:szCs w:val="22"/>
              </w:rPr>
              <w:t xml:space="preserve"> (</w:t>
            </w:r>
            <w:r w:rsidR="00B67C18" w:rsidRPr="00B67C18">
              <w:rPr>
                <w:sz w:val="20"/>
                <w:szCs w:val="22"/>
              </w:rPr>
              <w:t>maps / diagrams</w:t>
            </w:r>
            <w:r w:rsidR="00B67C18">
              <w:rPr>
                <w:sz w:val="20"/>
                <w:szCs w:val="22"/>
              </w:rPr>
              <w:t>)</w:t>
            </w:r>
            <w:r w:rsidR="00D6780A">
              <w:rPr>
                <w:sz w:val="20"/>
                <w:szCs w:val="22"/>
              </w:rPr>
              <w:t xml:space="preserve"> </w:t>
            </w:r>
          </w:p>
          <w:p w14:paraId="68EBECC9" w14:textId="10F73B10" w:rsidR="00F8393D" w:rsidRPr="00B67C18" w:rsidRDefault="00D6780A" w:rsidP="00B67C18">
            <w:pPr>
              <w:tabs>
                <w:tab w:val="right" w:pos="8222"/>
              </w:tabs>
              <w:spacing w:before="60" w:after="60"/>
              <w:rPr>
                <w:sz w:val="20"/>
                <w:szCs w:val="22"/>
              </w:rPr>
            </w:pPr>
            <w:r w:rsidRPr="00D6780A">
              <w:rPr>
                <w:color w:val="FF0000"/>
                <w:sz w:val="20"/>
                <w:szCs w:val="22"/>
              </w:rPr>
              <w:t>N/A</w:t>
            </w:r>
            <w:r>
              <w:rPr>
                <w:color w:val="FF0000"/>
                <w:sz w:val="20"/>
                <w:szCs w:val="22"/>
              </w:rPr>
              <w:t xml:space="preserve"> (storage only)</w:t>
            </w:r>
          </w:p>
        </w:tc>
      </w:tr>
      <w:tr w:rsidR="00F8393D" w:rsidRPr="00B67C18" w14:paraId="68EBECCC" w14:textId="77777777" w:rsidTr="00B67C18">
        <w:tc>
          <w:tcPr>
            <w:tcW w:w="10065" w:type="dxa"/>
            <w:shd w:val="clear" w:color="auto" w:fill="A8D08D" w:themeFill="accent6" w:themeFillTint="99"/>
          </w:tcPr>
          <w:p w14:paraId="68EBECCB" w14:textId="77777777" w:rsidR="00F8393D" w:rsidRPr="00B67C18" w:rsidRDefault="00F8393D" w:rsidP="00B67C18">
            <w:pPr>
              <w:pStyle w:val="BlockText"/>
              <w:spacing w:before="60" w:after="60"/>
              <w:rPr>
                <w:rStyle w:val="PlaceholderText"/>
                <w:rFonts w:cs="Arial"/>
                <w:color w:val="538135" w:themeColor="accent6" w:themeShade="BF"/>
                <w:szCs w:val="22"/>
              </w:rPr>
            </w:pPr>
            <w:r w:rsidRPr="00B67C18">
              <w:rPr>
                <w:rFonts w:cs="Arial"/>
                <w:b/>
                <w:szCs w:val="22"/>
              </w:rPr>
              <w:t>Site plans</w:t>
            </w:r>
          </w:p>
        </w:tc>
      </w:tr>
      <w:tr w:rsidR="00F8393D" w:rsidRPr="00B67C18" w14:paraId="68EBECCE" w14:textId="77777777" w:rsidTr="00B67C18">
        <w:trPr>
          <w:trHeight w:val="264"/>
        </w:trPr>
        <w:tc>
          <w:tcPr>
            <w:tcW w:w="10065" w:type="dxa"/>
            <w:shd w:val="clear" w:color="auto" w:fill="auto"/>
          </w:tcPr>
          <w:p w14:paraId="3B023BFA" w14:textId="77777777" w:rsidR="00F8393D" w:rsidRDefault="00F8393D" w:rsidP="00B67C18">
            <w:pPr>
              <w:tabs>
                <w:tab w:val="right" w:pos="8222"/>
              </w:tabs>
              <w:spacing w:before="60" w:after="60"/>
              <w:rPr>
                <w:sz w:val="20"/>
                <w:szCs w:val="22"/>
              </w:rPr>
            </w:pPr>
            <w:r w:rsidRPr="00B67C18">
              <w:rPr>
                <w:sz w:val="20"/>
                <w:szCs w:val="22"/>
              </w:rPr>
              <w:t xml:space="preserve">Site plan </w:t>
            </w:r>
            <w:r w:rsidR="00B67C18">
              <w:rPr>
                <w:sz w:val="20"/>
                <w:szCs w:val="22"/>
              </w:rPr>
              <w:t xml:space="preserve">- </w:t>
            </w:r>
            <w:r w:rsidR="00B67C18" w:rsidRPr="00B67C18">
              <w:rPr>
                <w:sz w:val="20"/>
                <w:szCs w:val="22"/>
              </w:rPr>
              <w:t>showing the extent of the Installation boundary (marked as boundary for operational area)</w:t>
            </w:r>
            <w:r w:rsidRPr="00B67C18">
              <w:rPr>
                <w:sz w:val="20"/>
                <w:szCs w:val="22"/>
              </w:rPr>
              <w:t xml:space="preserve"> </w:t>
            </w:r>
          </w:p>
          <w:p w14:paraId="68EBECCD" w14:textId="309FE595" w:rsidR="00C937BC" w:rsidRPr="00B67C18" w:rsidRDefault="00C937BC" w:rsidP="00B67C18">
            <w:pPr>
              <w:tabs>
                <w:tab w:val="right" w:pos="8222"/>
              </w:tabs>
              <w:spacing w:before="60" w:after="60"/>
              <w:rPr>
                <w:sz w:val="20"/>
                <w:szCs w:val="22"/>
              </w:rPr>
            </w:pPr>
            <w:r w:rsidRPr="00B20FD1">
              <w:rPr>
                <w:color w:val="FF0000"/>
                <w:sz w:val="20"/>
              </w:rPr>
              <w:t xml:space="preserve">See Management System </w:t>
            </w:r>
            <w:r>
              <w:rPr>
                <w:color w:val="FF0000"/>
                <w:sz w:val="20"/>
              </w:rPr>
              <w:t>Plumley</w:t>
            </w:r>
          </w:p>
        </w:tc>
      </w:tr>
      <w:tr w:rsidR="00F8393D" w:rsidRPr="00B67C18" w14:paraId="68EBECD0" w14:textId="77777777" w:rsidTr="00B67C18">
        <w:tc>
          <w:tcPr>
            <w:tcW w:w="10065" w:type="dxa"/>
            <w:shd w:val="clear" w:color="auto" w:fill="A8D08D" w:themeFill="accent6" w:themeFillTint="99"/>
          </w:tcPr>
          <w:p w14:paraId="68EBECCF" w14:textId="77777777" w:rsidR="00F8393D" w:rsidRPr="00B67C18" w:rsidRDefault="00F8393D" w:rsidP="00B67C18">
            <w:pPr>
              <w:pStyle w:val="BlockText"/>
              <w:spacing w:before="60" w:after="60"/>
            </w:pPr>
            <w:r w:rsidRPr="00B67C18">
              <w:rPr>
                <w:rFonts w:cs="Arial"/>
                <w:b/>
                <w:szCs w:val="22"/>
              </w:rPr>
              <w:t xml:space="preserve">Technical Assessment – </w:t>
            </w:r>
            <w:r w:rsidR="00B67C18" w:rsidRPr="00B67C18">
              <w:rPr>
                <w:rFonts w:cs="Arial"/>
                <w:b/>
                <w:szCs w:val="22"/>
              </w:rPr>
              <w:t>[refer to</w:t>
            </w:r>
            <w:r w:rsidRPr="00B67C18">
              <w:rPr>
                <w:rFonts w:cs="Arial"/>
                <w:b/>
                <w:szCs w:val="22"/>
              </w:rPr>
              <w:t xml:space="preserve"> application form guidance notes</w:t>
            </w:r>
            <w:r w:rsidR="00B67C18" w:rsidRPr="00B67C18">
              <w:rPr>
                <w:rFonts w:cs="Arial"/>
                <w:b/>
                <w:szCs w:val="22"/>
              </w:rPr>
              <w:t>]</w:t>
            </w:r>
            <w:r w:rsidRPr="00B67C18">
              <w:rPr>
                <w:rFonts w:cs="Arial"/>
                <w:b/>
                <w:szCs w:val="22"/>
              </w:rPr>
              <w:t xml:space="preserve"> </w:t>
            </w:r>
          </w:p>
        </w:tc>
      </w:tr>
      <w:tr w:rsidR="00F8393D" w:rsidRPr="00B67C18" w14:paraId="68EBECD2" w14:textId="77777777" w:rsidTr="00B67C18">
        <w:tc>
          <w:tcPr>
            <w:tcW w:w="10065" w:type="dxa"/>
            <w:shd w:val="clear" w:color="auto" w:fill="auto"/>
          </w:tcPr>
          <w:p w14:paraId="68EBECD1" w14:textId="4844F801" w:rsidR="00F8393D" w:rsidRPr="00B67C18" w:rsidRDefault="00B67C18" w:rsidP="00B67C18">
            <w:pPr>
              <w:tabs>
                <w:tab w:val="right" w:pos="8222"/>
              </w:tabs>
              <w:spacing w:before="60" w:after="60"/>
              <w:rPr>
                <w:sz w:val="20"/>
              </w:rPr>
            </w:pPr>
            <w:r w:rsidRPr="00B67C18">
              <w:rPr>
                <w:sz w:val="20"/>
                <w:szCs w:val="22"/>
              </w:rPr>
              <w:t>Abatement techniques described</w:t>
            </w:r>
            <w:r w:rsidR="00324995">
              <w:rPr>
                <w:sz w:val="20"/>
                <w:szCs w:val="22"/>
              </w:rPr>
              <w:t xml:space="preserve"> </w:t>
            </w:r>
            <w:r w:rsidR="00324995" w:rsidRPr="00324995">
              <w:rPr>
                <w:color w:val="FF0000"/>
                <w:sz w:val="20"/>
                <w:szCs w:val="22"/>
              </w:rPr>
              <w:t>N/A</w:t>
            </w:r>
          </w:p>
        </w:tc>
      </w:tr>
      <w:tr w:rsidR="00F8393D" w:rsidRPr="00B67C18" w14:paraId="68EBECD5" w14:textId="77777777" w:rsidTr="00B67C18">
        <w:trPr>
          <w:trHeight w:val="733"/>
        </w:trPr>
        <w:tc>
          <w:tcPr>
            <w:tcW w:w="10065" w:type="dxa"/>
            <w:shd w:val="clear" w:color="auto" w:fill="auto"/>
          </w:tcPr>
          <w:p w14:paraId="68EBECD3" w14:textId="02C4E677" w:rsidR="00B67C18" w:rsidRPr="00B67C18" w:rsidRDefault="00F8393D" w:rsidP="00B67C18">
            <w:pPr>
              <w:tabs>
                <w:tab w:val="right" w:pos="8222"/>
              </w:tabs>
              <w:spacing w:before="60" w:after="60"/>
              <w:rPr>
                <w:sz w:val="20"/>
                <w:szCs w:val="22"/>
              </w:rPr>
            </w:pPr>
            <w:r w:rsidRPr="00B67C18">
              <w:rPr>
                <w:sz w:val="20"/>
                <w:szCs w:val="22"/>
              </w:rPr>
              <w:t xml:space="preserve">Where monitoring has been proposed </w:t>
            </w:r>
            <w:r w:rsidR="00B67C18" w:rsidRPr="00B67C18">
              <w:rPr>
                <w:sz w:val="20"/>
                <w:szCs w:val="22"/>
              </w:rPr>
              <w:t xml:space="preserve">– monitoring </w:t>
            </w:r>
            <w:r w:rsidRPr="00B67C18">
              <w:rPr>
                <w:sz w:val="20"/>
                <w:szCs w:val="22"/>
              </w:rPr>
              <w:t xml:space="preserve">standards </w:t>
            </w:r>
            <w:r w:rsidR="00B67C18" w:rsidRPr="00B67C18">
              <w:rPr>
                <w:sz w:val="20"/>
                <w:szCs w:val="22"/>
              </w:rPr>
              <w:t xml:space="preserve">should be </w:t>
            </w:r>
            <w:r w:rsidRPr="00B67C18">
              <w:rPr>
                <w:sz w:val="20"/>
                <w:szCs w:val="22"/>
              </w:rPr>
              <w:t>specified</w:t>
            </w:r>
            <w:r w:rsidR="00B67C18" w:rsidRPr="00B67C18">
              <w:rPr>
                <w:sz w:val="20"/>
                <w:szCs w:val="22"/>
              </w:rPr>
              <w:t>.</w:t>
            </w:r>
            <w:r w:rsidR="00324995">
              <w:rPr>
                <w:sz w:val="20"/>
                <w:szCs w:val="22"/>
              </w:rPr>
              <w:t xml:space="preserve"> </w:t>
            </w:r>
            <w:r w:rsidR="00324995" w:rsidRPr="00324995">
              <w:rPr>
                <w:color w:val="FF0000"/>
                <w:sz w:val="20"/>
                <w:szCs w:val="22"/>
              </w:rPr>
              <w:t>N/A</w:t>
            </w:r>
          </w:p>
          <w:p w14:paraId="68EBECD4" w14:textId="77777777" w:rsidR="00F8393D" w:rsidRPr="00B67C18" w:rsidRDefault="00B67C18" w:rsidP="00B67C18">
            <w:pPr>
              <w:tabs>
                <w:tab w:val="right" w:pos="8222"/>
              </w:tabs>
              <w:spacing w:before="60" w:after="60"/>
              <w:rPr>
                <w:sz w:val="20"/>
              </w:rPr>
            </w:pPr>
            <w:r w:rsidRPr="00B67C18">
              <w:rPr>
                <w:sz w:val="20"/>
                <w:szCs w:val="22"/>
              </w:rPr>
              <w:t xml:space="preserve">Where applicable - </w:t>
            </w:r>
            <w:r w:rsidR="00F8393D" w:rsidRPr="00B67C18">
              <w:rPr>
                <w:sz w:val="20"/>
                <w:szCs w:val="22"/>
              </w:rPr>
              <w:t>commit</w:t>
            </w:r>
            <w:r w:rsidRPr="00B67C18">
              <w:rPr>
                <w:sz w:val="20"/>
                <w:szCs w:val="22"/>
              </w:rPr>
              <w:t>ment</w:t>
            </w:r>
            <w:r w:rsidR="00F8393D" w:rsidRPr="00B67C18">
              <w:rPr>
                <w:sz w:val="20"/>
                <w:szCs w:val="22"/>
              </w:rPr>
              <w:t xml:space="preserve"> to MCERTS </w:t>
            </w:r>
            <w:r w:rsidRPr="00B67C18">
              <w:rPr>
                <w:sz w:val="20"/>
                <w:szCs w:val="22"/>
              </w:rPr>
              <w:t>requirements.</w:t>
            </w:r>
          </w:p>
        </w:tc>
      </w:tr>
      <w:tr w:rsidR="00F8393D" w:rsidRPr="00B67C18" w14:paraId="68EBECD7" w14:textId="77777777" w:rsidTr="00B67C18">
        <w:tc>
          <w:tcPr>
            <w:tcW w:w="10065" w:type="dxa"/>
            <w:shd w:val="clear" w:color="auto" w:fill="auto"/>
          </w:tcPr>
          <w:p w14:paraId="68EBECD6" w14:textId="7098C9EB" w:rsidR="00F8393D" w:rsidRPr="00B67C18" w:rsidRDefault="00F8393D" w:rsidP="00B67C18">
            <w:pPr>
              <w:tabs>
                <w:tab w:val="right" w:pos="8222"/>
              </w:tabs>
              <w:spacing w:before="60" w:after="60"/>
              <w:rPr>
                <w:sz w:val="20"/>
              </w:rPr>
            </w:pPr>
            <w:r w:rsidRPr="00B67C18">
              <w:rPr>
                <w:sz w:val="20"/>
                <w:szCs w:val="22"/>
              </w:rPr>
              <w:t xml:space="preserve">Monitoring frequencies </w:t>
            </w:r>
            <w:r w:rsidR="00324995" w:rsidRPr="00324995">
              <w:rPr>
                <w:color w:val="FF0000"/>
                <w:sz w:val="20"/>
                <w:szCs w:val="22"/>
              </w:rPr>
              <w:t>N/A</w:t>
            </w:r>
          </w:p>
        </w:tc>
      </w:tr>
      <w:tr w:rsidR="00F8393D" w:rsidRPr="00B67C18" w14:paraId="68EBECD9" w14:textId="77777777" w:rsidTr="00B67C18">
        <w:tc>
          <w:tcPr>
            <w:tcW w:w="10065" w:type="dxa"/>
            <w:shd w:val="clear" w:color="auto" w:fill="auto"/>
          </w:tcPr>
          <w:p w14:paraId="68EBECD8" w14:textId="1CB43E9E" w:rsidR="00F8393D" w:rsidRPr="00B67C18" w:rsidRDefault="00F8393D" w:rsidP="00B67C18">
            <w:pPr>
              <w:tabs>
                <w:tab w:val="right" w:pos="8222"/>
              </w:tabs>
              <w:spacing w:before="60" w:after="60"/>
              <w:rPr>
                <w:sz w:val="20"/>
              </w:rPr>
            </w:pPr>
            <w:r w:rsidRPr="0047734F">
              <w:rPr>
                <w:sz w:val="20"/>
                <w:szCs w:val="22"/>
              </w:rPr>
              <w:t>Raw materials inventory</w:t>
            </w:r>
            <w:r w:rsidRPr="00B67C18">
              <w:rPr>
                <w:sz w:val="20"/>
                <w:szCs w:val="22"/>
              </w:rPr>
              <w:t xml:space="preserve">/water </w:t>
            </w:r>
            <w:r w:rsidRPr="00786B69">
              <w:rPr>
                <w:sz w:val="20"/>
                <w:szCs w:val="22"/>
              </w:rPr>
              <w:t>usage</w:t>
            </w:r>
            <w:r w:rsidR="00324995" w:rsidRPr="00786B69">
              <w:rPr>
                <w:sz w:val="20"/>
                <w:szCs w:val="22"/>
              </w:rPr>
              <w:t xml:space="preserve"> </w:t>
            </w:r>
            <w:r w:rsidR="00D562FE" w:rsidRPr="00786B69">
              <w:rPr>
                <w:color w:val="FF0000"/>
                <w:sz w:val="20"/>
                <w:szCs w:val="20"/>
              </w:rPr>
              <w:t>See OPA Env Aspects Register – Plumley &amp; CoGH</w:t>
            </w:r>
            <w:r w:rsidRPr="00B67C18">
              <w:rPr>
                <w:sz w:val="20"/>
                <w:szCs w:val="22"/>
              </w:rPr>
              <w:tab/>
            </w:r>
          </w:p>
        </w:tc>
      </w:tr>
      <w:tr w:rsidR="00F8393D" w:rsidRPr="00B67C18" w14:paraId="68EBECDB" w14:textId="77777777" w:rsidTr="00B67C18">
        <w:tc>
          <w:tcPr>
            <w:tcW w:w="10065" w:type="dxa"/>
            <w:shd w:val="clear" w:color="auto" w:fill="auto"/>
          </w:tcPr>
          <w:p w14:paraId="68EBECDA" w14:textId="49D2F170" w:rsidR="00F8393D" w:rsidRPr="00B67C18" w:rsidRDefault="00F8393D" w:rsidP="00B67C18">
            <w:pPr>
              <w:tabs>
                <w:tab w:val="right" w:pos="8222"/>
              </w:tabs>
              <w:spacing w:before="60" w:after="60"/>
              <w:rPr>
                <w:sz w:val="20"/>
              </w:rPr>
            </w:pPr>
            <w:r w:rsidRPr="00786B69">
              <w:rPr>
                <w:sz w:val="20"/>
                <w:szCs w:val="22"/>
              </w:rPr>
              <w:t xml:space="preserve">Raw material usage efficiency techniques </w:t>
            </w:r>
            <w:r w:rsidR="00D562FE" w:rsidRPr="00786B69">
              <w:rPr>
                <w:color w:val="FF0000"/>
                <w:sz w:val="20"/>
                <w:szCs w:val="20"/>
              </w:rPr>
              <w:t>See OPA Env Aspects Register – Plumley &amp; CoGH</w:t>
            </w:r>
          </w:p>
        </w:tc>
      </w:tr>
    </w:tbl>
    <w:p w14:paraId="68EBECDC" w14:textId="77777777" w:rsidR="00F8393D" w:rsidRDefault="00F8393D" w:rsidP="00F8393D">
      <w:pPr>
        <w:rPr>
          <w:highlight w:val="yellow"/>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1B2368" w:rsidRPr="00696C26" w14:paraId="68EBECDF" w14:textId="77777777" w:rsidTr="00696C26">
        <w:tc>
          <w:tcPr>
            <w:tcW w:w="10065" w:type="dxa"/>
            <w:shd w:val="clear" w:color="auto" w:fill="FFFFFF"/>
          </w:tcPr>
          <w:p w14:paraId="68EBECDD" w14:textId="77777777" w:rsidR="001B2368" w:rsidRPr="00696C26" w:rsidRDefault="001B2368" w:rsidP="00B44772">
            <w:pPr>
              <w:pStyle w:val="BlockText"/>
              <w:shd w:val="clear" w:color="auto" w:fill="A8D08D" w:themeFill="accent6" w:themeFillTint="99"/>
              <w:rPr>
                <w:rStyle w:val="PlaceholderText"/>
                <w:sz w:val="24"/>
                <w:szCs w:val="24"/>
              </w:rPr>
            </w:pPr>
            <w:r w:rsidRPr="00696C26">
              <w:rPr>
                <w:rStyle w:val="PlaceholderText"/>
                <w:b/>
                <w:sz w:val="24"/>
                <w:szCs w:val="28"/>
              </w:rPr>
              <w:t xml:space="preserve">Refineries </w:t>
            </w:r>
            <w:r w:rsidRPr="00696C26">
              <w:rPr>
                <w:rStyle w:val="PlaceholderText"/>
                <w:b/>
                <w:sz w:val="24"/>
                <w:szCs w:val="24"/>
              </w:rPr>
              <w:t xml:space="preserve">- </w:t>
            </w:r>
            <w:r w:rsidRPr="00696C26">
              <w:rPr>
                <w:rStyle w:val="PlaceholderText"/>
                <w:sz w:val="24"/>
                <w:szCs w:val="24"/>
              </w:rPr>
              <w:t>link to sector guidance</w:t>
            </w:r>
          </w:p>
          <w:p w14:paraId="68EBECDE" w14:textId="77777777" w:rsidR="001B2368" w:rsidRPr="00696C26" w:rsidRDefault="0047734F" w:rsidP="00B44772">
            <w:pPr>
              <w:pStyle w:val="BlockText"/>
              <w:shd w:val="clear" w:color="auto" w:fill="A8D08D" w:themeFill="accent6" w:themeFillTint="99"/>
              <w:rPr>
                <w:rStyle w:val="PlaceholderText"/>
                <w:color w:val="538135" w:themeColor="accent6" w:themeShade="BF"/>
                <w:sz w:val="24"/>
                <w:szCs w:val="22"/>
              </w:rPr>
            </w:pPr>
            <w:hyperlink r:id="rId8" w:history="1">
              <w:r w:rsidR="001B2368" w:rsidRPr="00696C26">
                <w:rPr>
                  <w:rStyle w:val="Hyperlink"/>
                  <w:color w:val="0070C0"/>
                  <w:szCs w:val="24"/>
                </w:rPr>
                <w:t>https://www.gov.uk/government/publications/gasification-liquefaction-and-refining-installations-additional-guidance</w:t>
              </w:r>
            </w:hyperlink>
            <w:r w:rsidR="001B2368" w:rsidRPr="00696C26">
              <w:rPr>
                <w:rStyle w:val="PlaceholderText"/>
                <w:color w:val="0070C0"/>
                <w:szCs w:val="22"/>
              </w:rPr>
              <w:t xml:space="preserve"> </w:t>
            </w:r>
          </w:p>
        </w:tc>
      </w:tr>
    </w:tbl>
    <w:p w14:paraId="68EBECE0" w14:textId="08657E57" w:rsidR="001B2368" w:rsidRDefault="001B2368" w:rsidP="00F8393D">
      <w:pPr>
        <w:rPr>
          <w:highlight w:val="yellow"/>
        </w:rPr>
      </w:pPr>
    </w:p>
    <w:p w14:paraId="68EBECE1" w14:textId="77777777" w:rsidR="001B2368" w:rsidRDefault="001B2368" w:rsidP="00F8393D">
      <w:pPr>
        <w:rPr>
          <w:highlight w:val="yellow"/>
        </w:rPr>
      </w:pPr>
    </w:p>
    <w:p w14:paraId="68EBECE2" w14:textId="77777777" w:rsidR="001B2368" w:rsidRDefault="001B2368" w:rsidP="00F8393D">
      <w:pPr>
        <w:rPr>
          <w:highlight w:val="yellow"/>
        </w:rPr>
      </w:pPr>
    </w:p>
    <w:p w14:paraId="68EBECE3" w14:textId="77777777" w:rsidR="001B2368" w:rsidRDefault="001B2368" w:rsidP="00F8393D">
      <w:pPr>
        <w:rPr>
          <w:highlight w:val="yellow"/>
        </w:rPr>
      </w:pPr>
    </w:p>
    <w:p w14:paraId="68EBECE4" w14:textId="77777777" w:rsidR="001B2368" w:rsidRPr="00F8393D" w:rsidRDefault="001B2368" w:rsidP="00F8393D">
      <w:pPr>
        <w:rPr>
          <w:highlight w:val="yellow"/>
        </w:rPr>
      </w:pPr>
    </w:p>
    <w:sectPr w:rsidR="001B2368" w:rsidRPr="00F83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1DE"/>
    <w:multiLevelType w:val="hybridMultilevel"/>
    <w:tmpl w:val="818A2A58"/>
    <w:lvl w:ilvl="0" w:tplc="C04223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1711D"/>
    <w:multiLevelType w:val="hybridMultilevel"/>
    <w:tmpl w:val="030AD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72A80"/>
    <w:multiLevelType w:val="hybridMultilevel"/>
    <w:tmpl w:val="525A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41E01"/>
    <w:multiLevelType w:val="hybridMultilevel"/>
    <w:tmpl w:val="75CA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75829"/>
    <w:multiLevelType w:val="hybridMultilevel"/>
    <w:tmpl w:val="DFE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B030B"/>
    <w:multiLevelType w:val="hybridMultilevel"/>
    <w:tmpl w:val="B17453CC"/>
    <w:lvl w:ilvl="0" w:tplc="0DD2835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B6"/>
    <w:rsid w:val="00007E88"/>
    <w:rsid w:val="0003107B"/>
    <w:rsid w:val="0003245A"/>
    <w:rsid w:val="00063F41"/>
    <w:rsid w:val="00075FA1"/>
    <w:rsid w:val="00087DD7"/>
    <w:rsid w:val="000A0FFA"/>
    <w:rsid w:val="000C2702"/>
    <w:rsid w:val="000E0D67"/>
    <w:rsid w:val="00112159"/>
    <w:rsid w:val="00115F34"/>
    <w:rsid w:val="00147689"/>
    <w:rsid w:val="00151DF7"/>
    <w:rsid w:val="00153FF0"/>
    <w:rsid w:val="001645A6"/>
    <w:rsid w:val="00173059"/>
    <w:rsid w:val="0017320D"/>
    <w:rsid w:val="001B2368"/>
    <w:rsid w:val="001E1F74"/>
    <w:rsid w:val="001E63B0"/>
    <w:rsid w:val="002065A8"/>
    <w:rsid w:val="002159D3"/>
    <w:rsid w:val="00231ED5"/>
    <w:rsid w:val="00241FE1"/>
    <w:rsid w:val="00245D03"/>
    <w:rsid w:val="00252A8F"/>
    <w:rsid w:val="002765BD"/>
    <w:rsid w:val="00291E65"/>
    <w:rsid w:val="002A557D"/>
    <w:rsid w:val="002A5FEF"/>
    <w:rsid w:val="002B1BB6"/>
    <w:rsid w:val="002B6F52"/>
    <w:rsid w:val="00300255"/>
    <w:rsid w:val="003039DE"/>
    <w:rsid w:val="00324995"/>
    <w:rsid w:val="00341BD9"/>
    <w:rsid w:val="0034550B"/>
    <w:rsid w:val="00356E58"/>
    <w:rsid w:val="003726AD"/>
    <w:rsid w:val="0039008F"/>
    <w:rsid w:val="003C0A16"/>
    <w:rsid w:val="003C30A5"/>
    <w:rsid w:val="003E4C93"/>
    <w:rsid w:val="003E7A7A"/>
    <w:rsid w:val="003F4B8F"/>
    <w:rsid w:val="00421F55"/>
    <w:rsid w:val="00424B55"/>
    <w:rsid w:val="0044344B"/>
    <w:rsid w:val="0044361F"/>
    <w:rsid w:val="0044779B"/>
    <w:rsid w:val="0045143D"/>
    <w:rsid w:val="0046534E"/>
    <w:rsid w:val="00471AFD"/>
    <w:rsid w:val="0047734F"/>
    <w:rsid w:val="0048313F"/>
    <w:rsid w:val="00495A52"/>
    <w:rsid w:val="00497729"/>
    <w:rsid w:val="004A0CE0"/>
    <w:rsid w:val="004B6DCD"/>
    <w:rsid w:val="004C1E27"/>
    <w:rsid w:val="004E30FA"/>
    <w:rsid w:val="005029BD"/>
    <w:rsid w:val="00503653"/>
    <w:rsid w:val="005232FD"/>
    <w:rsid w:val="00532DC2"/>
    <w:rsid w:val="00557DC4"/>
    <w:rsid w:val="00563653"/>
    <w:rsid w:val="005A4F1C"/>
    <w:rsid w:val="005B008A"/>
    <w:rsid w:val="005D37AE"/>
    <w:rsid w:val="005D4E24"/>
    <w:rsid w:val="005E19AC"/>
    <w:rsid w:val="005E35B9"/>
    <w:rsid w:val="00600EBC"/>
    <w:rsid w:val="00624D12"/>
    <w:rsid w:val="00627CC8"/>
    <w:rsid w:val="006363EB"/>
    <w:rsid w:val="00654E37"/>
    <w:rsid w:val="006775E2"/>
    <w:rsid w:val="00686F2D"/>
    <w:rsid w:val="00696C26"/>
    <w:rsid w:val="006A7F7D"/>
    <w:rsid w:val="006B54A3"/>
    <w:rsid w:val="006B75C7"/>
    <w:rsid w:val="006C28CA"/>
    <w:rsid w:val="006C648C"/>
    <w:rsid w:val="00710978"/>
    <w:rsid w:val="00716B5F"/>
    <w:rsid w:val="0071738E"/>
    <w:rsid w:val="0072516B"/>
    <w:rsid w:val="007531FF"/>
    <w:rsid w:val="00757259"/>
    <w:rsid w:val="00780939"/>
    <w:rsid w:val="00782B94"/>
    <w:rsid w:val="00786B69"/>
    <w:rsid w:val="007A5380"/>
    <w:rsid w:val="007B6C4C"/>
    <w:rsid w:val="007C6C52"/>
    <w:rsid w:val="007D51EE"/>
    <w:rsid w:val="007E1AEE"/>
    <w:rsid w:val="00805251"/>
    <w:rsid w:val="008120C4"/>
    <w:rsid w:val="00813E82"/>
    <w:rsid w:val="008206AB"/>
    <w:rsid w:val="00823F5B"/>
    <w:rsid w:val="00826356"/>
    <w:rsid w:val="0085455A"/>
    <w:rsid w:val="00865EB9"/>
    <w:rsid w:val="00866DAC"/>
    <w:rsid w:val="00894259"/>
    <w:rsid w:val="008B3BBC"/>
    <w:rsid w:val="008D149E"/>
    <w:rsid w:val="008F3908"/>
    <w:rsid w:val="008F67C5"/>
    <w:rsid w:val="00921B89"/>
    <w:rsid w:val="0092752B"/>
    <w:rsid w:val="009551F9"/>
    <w:rsid w:val="009555D7"/>
    <w:rsid w:val="00963704"/>
    <w:rsid w:val="009646C2"/>
    <w:rsid w:val="0099175A"/>
    <w:rsid w:val="009922AC"/>
    <w:rsid w:val="0099536C"/>
    <w:rsid w:val="009B47CB"/>
    <w:rsid w:val="009D3C8C"/>
    <w:rsid w:val="009F4623"/>
    <w:rsid w:val="00A10EE4"/>
    <w:rsid w:val="00A13F5B"/>
    <w:rsid w:val="00A171D5"/>
    <w:rsid w:val="00A2265C"/>
    <w:rsid w:val="00A30D05"/>
    <w:rsid w:val="00A40A42"/>
    <w:rsid w:val="00A4174A"/>
    <w:rsid w:val="00A95132"/>
    <w:rsid w:val="00A95786"/>
    <w:rsid w:val="00AA049B"/>
    <w:rsid w:val="00AD22B1"/>
    <w:rsid w:val="00AF2747"/>
    <w:rsid w:val="00AF3B61"/>
    <w:rsid w:val="00B20FD1"/>
    <w:rsid w:val="00B667DB"/>
    <w:rsid w:val="00B67C18"/>
    <w:rsid w:val="00B714BF"/>
    <w:rsid w:val="00B82077"/>
    <w:rsid w:val="00BA0D04"/>
    <w:rsid w:val="00BA0E2D"/>
    <w:rsid w:val="00BA3CCA"/>
    <w:rsid w:val="00BE3361"/>
    <w:rsid w:val="00BF5143"/>
    <w:rsid w:val="00BF788F"/>
    <w:rsid w:val="00C33CD6"/>
    <w:rsid w:val="00C35B54"/>
    <w:rsid w:val="00C42204"/>
    <w:rsid w:val="00C50144"/>
    <w:rsid w:val="00C71621"/>
    <w:rsid w:val="00C81C57"/>
    <w:rsid w:val="00C84877"/>
    <w:rsid w:val="00C85DCE"/>
    <w:rsid w:val="00C937BC"/>
    <w:rsid w:val="00CC7C85"/>
    <w:rsid w:val="00CD2AAF"/>
    <w:rsid w:val="00D04274"/>
    <w:rsid w:val="00D27B5F"/>
    <w:rsid w:val="00D363FE"/>
    <w:rsid w:val="00D562FE"/>
    <w:rsid w:val="00D6780A"/>
    <w:rsid w:val="00D831C7"/>
    <w:rsid w:val="00D84432"/>
    <w:rsid w:val="00D85D2E"/>
    <w:rsid w:val="00DA7838"/>
    <w:rsid w:val="00DF4938"/>
    <w:rsid w:val="00DF4CAF"/>
    <w:rsid w:val="00E3177A"/>
    <w:rsid w:val="00E60298"/>
    <w:rsid w:val="00E61F6B"/>
    <w:rsid w:val="00E86A89"/>
    <w:rsid w:val="00EA0AB6"/>
    <w:rsid w:val="00EA35DB"/>
    <w:rsid w:val="00F253DD"/>
    <w:rsid w:val="00F2734C"/>
    <w:rsid w:val="00F63DE9"/>
    <w:rsid w:val="00F67E36"/>
    <w:rsid w:val="00F8393D"/>
    <w:rsid w:val="00F94127"/>
    <w:rsid w:val="00FA3770"/>
    <w:rsid w:val="00FB63B0"/>
    <w:rsid w:val="00FC094B"/>
    <w:rsid w:val="00FD32CB"/>
    <w:rsid w:val="00FE4185"/>
    <w:rsid w:val="00FF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EC58"/>
  <w15:chartTrackingRefBased/>
  <w15:docId w15:val="{5397F1E2-E9F1-4A23-8865-DFCC5996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AB6"/>
    <w:rPr>
      <w:color w:val="0563C1" w:themeColor="hyperlink"/>
      <w:u w:val="single"/>
    </w:rPr>
  </w:style>
  <w:style w:type="table" w:styleId="TableGrid">
    <w:name w:val="Table Grid"/>
    <w:basedOn w:val="TableNormal"/>
    <w:uiPriority w:val="39"/>
    <w:rsid w:val="0035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356E58"/>
    <w:pPr>
      <w:ind w:left="720"/>
      <w:contextualSpacing/>
    </w:pPr>
  </w:style>
  <w:style w:type="character" w:styleId="FollowedHyperlink">
    <w:name w:val="FollowedHyperlink"/>
    <w:basedOn w:val="DefaultParagraphFont"/>
    <w:uiPriority w:val="99"/>
    <w:semiHidden/>
    <w:unhideWhenUsed/>
    <w:rsid w:val="0046534E"/>
    <w:rPr>
      <w:color w:val="954F72" w:themeColor="followedHyperlink"/>
      <w:u w:val="single"/>
    </w:rPr>
  </w:style>
  <w:style w:type="paragraph" w:styleId="BlockText">
    <w:name w:val="Block Text"/>
    <w:basedOn w:val="Normal"/>
    <w:link w:val="BlockTextChar"/>
    <w:rsid w:val="00F8393D"/>
    <w:pPr>
      <w:spacing w:after="120" w:line="240" w:lineRule="auto"/>
    </w:pPr>
    <w:rPr>
      <w:rFonts w:eastAsia="Times New Roman" w:cs="Times New Roman"/>
      <w:sz w:val="22"/>
      <w:szCs w:val="20"/>
      <w:lang w:eastAsia="en-GB"/>
    </w:rPr>
  </w:style>
  <w:style w:type="character" w:styleId="CommentReference">
    <w:name w:val="annotation reference"/>
    <w:basedOn w:val="DefaultParagraphFont"/>
    <w:rsid w:val="00F8393D"/>
    <w:rPr>
      <w:rFonts w:cs="Times New Roman"/>
      <w:sz w:val="16"/>
      <w:szCs w:val="16"/>
    </w:rPr>
  </w:style>
  <w:style w:type="character" w:customStyle="1" w:styleId="BlockTextChar">
    <w:name w:val="Block Text Char"/>
    <w:basedOn w:val="DefaultParagraphFont"/>
    <w:link w:val="BlockText"/>
    <w:locked/>
    <w:rsid w:val="00F8393D"/>
    <w:rPr>
      <w:rFonts w:eastAsia="Times New Roman" w:cs="Times New Roman"/>
      <w:sz w:val="22"/>
      <w:szCs w:val="20"/>
      <w:lang w:eastAsia="en-GB"/>
    </w:rPr>
  </w:style>
  <w:style w:type="character" w:styleId="PlaceholderText">
    <w:name w:val="Placeholder Text"/>
    <w:basedOn w:val="DefaultParagraphFont"/>
    <w:uiPriority w:val="99"/>
    <w:semiHidden/>
    <w:rsid w:val="00F8393D"/>
    <w:rPr>
      <w:color w:val="808080"/>
    </w:rPr>
  </w:style>
  <w:style w:type="character" w:customStyle="1" w:styleId="INPUT">
    <w:name w:val="INPUT"/>
    <w:basedOn w:val="DefaultParagraphFont"/>
    <w:uiPriority w:val="1"/>
    <w:rsid w:val="00F8393D"/>
    <w:rPr>
      <w:rFonts w:ascii="Arial" w:hAnsi="Arial"/>
      <w:color w:val="000000"/>
      <w:sz w:val="22"/>
    </w:rPr>
  </w:style>
  <w:style w:type="paragraph" w:styleId="BalloonText">
    <w:name w:val="Balloon Text"/>
    <w:basedOn w:val="Normal"/>
    <w:link w:val="BalloonTextChar"/>
    <w:uiPriority w:val="99"/>
    <w:semiHidden/>
    <w:unhideWhenUsed/>
    <w:rsid w:val="00F8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3D"/>
    <w:rPr>
      <w:rFonts w:ascii="Segoe UI" w:hAnsi="Segoe UI" w:cs="Segoe UI"/>
      <w:sz w:val="18"/>
      <w:szCs w:val="18"/>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F8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106">
      <w:bodyDiv w:val="1"/>
      <w:marLeft w:val="0"/>
      <w:marRight w:val="0"/>
      <w:marTop w:val="0"/>
      <w:marBottom w:val="0"/>
      <w:divBdr>
        <w:top w:val="none" w:sz="0" w:space="0" w:color="auto"/>
        <w:left w:val="none" w:sz="0" w:space="0" w:color="auto"/>
        <w:bottom w:val="none" w:sz="0" w:space="0" w:color="auto"/>
        <w:right w:val="none" w:sz="0" w:space="0" w:color="auto"/>
      </w:divBdr>
      <w:divsChild>
        <w:div w:id="683744698">
          <w:marLeft w:val="0"/>
          <w:marRight w:val="0"/>
          <w:marTop w:val="0"/>
          <w:marBottom w:val="0"/>
          <w:divBdr>
            <w:top w:val="none" w:sz="0" w:space="0" w:color="auto"/>
            <w:left w:val="none" w:sz="0" w:space="0" w:color="auto"/>
            <w:bottom w:val="none" w:sz="0" w:space="0" w:color="auto"/>
            <w:right w:val="none" w:sz="0" w:space="0" w:color="auto"/>
          </w:divBdr>
          <w:divsChild>
            <w:div w:id="1034034616">
              <w:marLeft w:val="-225"/>
              <w:marRight w:val="-225"/>
              <w:marTop w:val="0"/>
              <w:marBottom w:val="0"/>
              <w:divBdr>
                <w:top w:val="none" w:sz="0" w:space="0" w:color="auto"/>
                <w:left w:val="none" w:sz="0" w:space="0" w:color="auto"/>
                <w:bottom w:val="none" w:sz="0" w:space="0" w:color="auto"/>
                <w:right w:val="none" w:sz="0" w:space="0" w:color="auto"/>
              </w:divBdr>
              <w:divsChild>
                <w:div w:id="1381133021">
                  <w:marLeft w:val="0"/>
                  <w:marRight w:val="0"/>
                  <w:marTop w:val="0"/>
                  <w:marBottom w:val="0"/>
                  <w:divBdr>
                    <w:top w:val="none" w:sz="0" w:space="0" w:color="auto"/>
                    <w:left w:val="none" w:sz="0" w:space="0" w:color="auto"/>
                    <w:bottom w:val="none" w:sz="0" w:space="0" w:color="auto"/>
                    <w:right w:val="none" w:sz="0" w:space="0" w:color="auto"/>
                  </w:divBdr>
                  <w:divsChild>
                    <w:div w:id="2099906983">
                      <w:marLeft w:val="0"/>
                      <w:marRight w:val="0"/>
                      <w:marTop w:val="0"/>
                      <w:marBottom w:val="0"/>
                      <w:divBdr>
                        <w:top w:val="none" w:sz="0" w:space="0" w:color="auto"/>
                        <w:left w:val="none" w:sz="0" w:space="0" w:color="auto"/>
                        <w:bottom w:val="none" w:sz="0" w:space="0" w:color="auto"/>
                        <w:right w:val="none" w:sz="0" w:space="0" w:color="auto"/>
                      </w:divBdr>
                      <w:divsChild>
                        <w:div w:id="337345935">
                          <w:marLeft w:val="0"/>
                          <w:marRight w:val="0"/>
                          <w:marTop w:val="0"/>
                          <w:marBottom w:val="0"/>
                          <w:divBdr>
                            <w:top w:val="none" w:sz="0" w:space="0" w:color="auto"/>
                            <w:left w:val="none" w:sz="0" w:space="0" w:color="auto"/>
                            <w:bottom w:val="none" w:sz="0" w:space="0" w:color="auto"/>
                            <w:right w:val="none" w:sz="0" w:space="0" w:color="auto"/>
                          </w:divBdr>
                          <w:divsChild>
                            <w:div w:id="7934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18201">
      <w:bodyDiv w:val="1"/>
      <w:marLeft w:val="0"/>
      <w:marRight w:val="0"/>
      <w:marTop w:val="0"/>
      <w:marBottom w:val="0"/>
      <w:divBdr>
        <w:top w:val="none" w:sz="0" w:space="0" w:color="auto"/>
        <w:left w:val="none" w:sz="0" w:space="0" w:color="auto"/>
        <w:bottom w:val="none" w:sz="0" w:space="0" w:color="auto"/>
        <w:right w:val="none" w:sz="0" w:space="0" w:color="auto"/>
      </w:divBdr>
    </w:div>
    <w:div w:id="1165971909">
      <w:bodyDiv w:val="1"/>
      <w:marLeft w:val="0"/>
      <w:marRight w:val="0"/>
      <w:marTop w:val="0"/>
      <w:marBottom w:val="0"/>
      <w:divBdr>
        <w:top w:val="none" w:sz="0" w:space="0" w:color="auto"/>
        <w:left w:val="none" w:sz="0" w:space="0" w:color="auto"/>
        <w:bottom w:val="none" w:sz="0" w:space="0" w:color="auto"/>
        <w:right w:val="none" w:sz="0" w:space="0" w:color="auto"/>
      </w:divBdr>
    </w:div>
    <w:div w:id="2021153783">
      <w:bodyDiv w:val="1"/>
      <w:marLeft w:val="0"/>
      <w:marRight w:val="0"/>
      <w:marTop w:val="0"/>
      <w:marBottom w:val="0"/>
      <w:divBdr>
        <w:top w:val="none" w:sz="0" w:space="0" w:color="auto"/>
        <w:left w:val="none" w:sz="0" w:space="0" w:color="auto"/>
        <w:bottom w:val="none" w:sz="0" w:space="0" w:color="auto"/>
        <w:right w:val="none" w:sz="0" w:space="0" w:color="auto"/>
      </w:divBdr>
      <w:divsChild>
        <w:div w:id="1931041825">
          <w:marLeft w:val="0"/>
          <w:marRight w:val="0"/>
          <w:marTop w:val="0"/>
          <w:marBottom w:val="0"/>
          <w:divBdr>
            <w:top w:val="none" w:sz="0" w:space="0" w:color="auto"/>
            <w:left w:val="none" w:sz="0" w:space="0" w:color="auto"/>
            <w:bottom w:val="none" w:sz="0" w:space="0" w:color="auto"/>
            <w:right w:val="none" w:sz="0" w:space="0" w:color="auto"/>
          </w:divBdr>
          <w:divsChild>
            <w:div w:id="1062292458">
              <w:marLeft w:val="-225"/>
              <w:marRight w:val="-225"/>
              <w:marTop w:val="0"/>
              <w:marBottom w:val="0"/>
              <w:divBdr>
                <w:top w:val="none" w:sz="0" w:space="0" w:color="auto"/>
                <w:left w:val="none" w:sz="0" w:space="0" w:color="auto"/>
                <w:bottom w:val="none" w:sz="0" w:space="0" w:color="auto"/>
                <w:right w:val="none" w:sz="0" w:space="0" w:color="auto"/>
              </w:divBdr>
              <w:divsChild>
                <w:div w:id="1046369958">
                  <w:marLeft w:val="0"/>
                  <w:marRight w:val="0"/>
                  <w:marTop w:val="0"/>
                  <w:marBottom w:val="0"/>
                  <w:divBdr>
                    <w:top w:val="none" w:sz="0" w:space="0" w:color="auto"/>
                    <w:left w:val="none" w:sz="0" w:space="0" w:color="auto"/>
                    <w:bottom w:val="none" w:sz="0" w:space="0" w:color="auto"/>
                    <w:right w:val="none" w:sz="0" w:space="0" w:color="auto"/>
                  </w:divBdr>
                  <w:divsChild>
                    <w:div w:id="470169729">
                      <w:marLeft w:val="0"/>
                      <w:marRight w:val="0"/>
                      <w:marTop w:val="0"/>
                      <w:marBottom w:val="0"/>
                      <w:divBdr>
                        <w:top w:val="none" w:sz="0" w:space="0" w:color="auto"/>
                        <w:left w:val="none" w:sz="0" w:space="0" w:color="auto"/>
                        <w:bottom w:val="none" w:sz="0" w:space="0" w:color="auto"/>
                        <w:right w:val="none" w:sz="0" w:space="0" w:color="auto"/>
                      </w:divBdr>
                      <w:divsChild>
                        <w:div w:id="1721854594">
                          <w:marLeft w:val="0"/>
                          <w:marRight w:val="0"/>
                          <w:marTop w:val="0"/>
                          <w:marBottom w:val="0"/>
                          <w:divBdr>
                            <w:top w:val="none" w:sz="0" w:space="0" w:color="auto"/>
                            <w:left w:val="none" w:sz="0" w:space="0" w:color="auto"/>
                            <w:bottom w:val="none" w:sz="0" w:space="0" w:color="auto"/>
                            <w:right w:val="none" w:sz="0" w:space="0" w:color="auto"/>
                          </w:divBdr>
                          <w:divsChild>
                            <w:div w:id="5898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asification-liquefaction-and-refining-installations-additional-guidanc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guidance/legal-operator-and-competence-requirements-environmental-permi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83778/Form_guidance_EPB_Application_for_an_environmental_permit_Part_B2_general_New_bespoke_permit.pdf" TargetMode="External"/><Relationship Id="rId11" Type="http://schemas.openxmlformats.org/officeDocument/2006/relationships/customXml" Target="../customXml/item1.xml"/><Relationship Id="rId5" Type="http://schemas.openxmlformats.org/officeDocument/2006/relationships/hyperlink" Target="https://www.gov.uk/guidance/risk-assessments-for-your-environmental-per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2022-10-06T23:00:00+00:00</EAReceivedDate>
    <ga477587807b4e8dbd9d142e03c014fa xmlns="dbe221e7-66db-4bdb-a92c-aa517c005f15">
      <Terms xmlns="http://schemas.microsoft.com/office/infopath/2007/PartnerControls"/>
    </ga477587807b4e8dbd9d142e03c014fa>
    <PermitNumber xmlns="eebef177-55b5-4448-a5fb-28ea454417ee">EPR-CP3643QY</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The Oil &amp; Pipeline Agency</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2022-10-06T23:00:00+00:00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EPR/CP3643QY</EPRNumber>
    <FacilityAddressPostcode xmlns="eebef177-55b5-4448-a5fb-28ea454417ee">WA16 9SJ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The Oil &amp; Pipelines Agency</ExternalAuthor>
    <SiteName xmlns="eebef177-55b5-4448-a5fb-28ea454417ee">Plumley PSD</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Plumley PSD, Back Lane, Knutsford, Cheshire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Props1.xml><?xml version="1.0" encoding="utf-8"?>
<ds:datastoreItem xmlns:ds="http://schemas.openxmlformats.org/officeDocument/2006/customXml" ds:itemID="{E83CB3C4-8FCD-4B61-9294-2A30D2559B09}"/>
</file>

<file path=customXml/itemProps2.xml><?xml version="1.0" encoding="utf-8"?>
<ds:datastoreItem xmlns:ds="http://schemas.openxmlformats.org/officeDocument/2006/customXml" ds:itemID="{BC07B094-488B-4C1C-AEBD-432A2C79ADD2}"/>
</file>

<file path=customXml/itemProps3.xml><?xml version="1.0" encoding="utf-8"?>
<ds:datastoreItem xmlns:ds="http://schemas.openxmlformats.org/officeDocument/2006/customXml" ds:itemID="{C8BC5C0B-7469-4D8F-90FC-2F0E61C77754}"/>
</file>

<file path=docProps/app.xml><?xml version="1.0" encoding="utf-8"?>
<Properties xmlns="http://schemas.openxmlformats.org/officeDocument/2006/extended-properties" xmlns:vt="http://schemas.openxmlformats.org/officeDocument/2006/docPropsVTypes">
  <Template>Normal</Template>
  <TotalTime>838</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Elaine Gibson</cp:lastModifiedBy>
  <cp:revision>60</cp:revision>
  <dcterms:created xsi:type="dcterms:W3CDTF">2021-10-21T11:57:00Z</dcterms:created>
  <dcterms:modified xsi:type="dcterms:W3CDTF">2022-06-17T12:25:00Z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