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1599" w14:textId="40293E9F" w:rsidR="003170A7" w:rsidRDefault="003170A7" w:rsidP="003170A7">
      <w:pPr>
        <w:tabs>
          <w:tab w:val="left" w:pos="2835"/>
        </w:tabs>
        <w:jc w:val="both"/>
        <w:rPr>
          <w:rFonts w:ascii="Calibri" w:hAnsi="Calibri" w:cs="Calibri"/>
          <w:sz w:val="22"/>
          <w:szCs w:val="22"/>
        </w:rPr>
      </w:pPr>
      <w:r>
        <w:rPr>
          <w:rFonts w:ascii="Calibri" w:hAnsi="Calibri" w:cs="Calibri"/>
          <w:sz w:val="22"/>
          <w:szCs w:val="22"/>
        </w:rPr>
        <w:t xml:space="preserve">The site is already a permitted clinical waste incinerator, located on grounds adjacent to the busy Hillingdon Hospital and 4 miles from Heathrow Airport to the south of the site. There is a housing estate to the north, 39 meters from the nearest waste reception area and 4 meters from the site boundary with Kirkby Way and an 8-foot wall between the two. There is a busy road 6 meters east (Colham Road). Due to the location and activities in the immediate area, we do not anticipate an increase in background noise.            </w:t>
      </w:r>
    </w:p>
    <w:p w14:paraId="06C15A43" w14:textId="77777777" w:rsidR="003170A7" w:rsidRDefault="003170A7" w:rsidP="003170A7">
      <w:pPr>
        <w:tabs>
          <w:tab w:val="left" w:pos="2835"/>
        </w:tabs>
        <w:jc w:val="both"/>
        <w:rPr>
          <w:rFonts w:ascii="Calibri" w:hAnsi="Calibri" w:cs="Calibri"/>
          <w:sz w:val="22"/>
          <w:szCs w:val="22"/>
        </w:rPr>
      </w:pPr>
    </w:p>
    <w:p w14:paraId="42B08159" w14:textId="1AC899B5" w:rsidR="003170A7" w:rsidRDefault="003170A7" w:rsidP="003170A7">
      <w:pPr>
        <w:tabs>
          <w:tab w:val="left" w:pos="2835"/>
        </w:tabs>
        <w:jc w:val="both"/>
        <w:rPr>
          <w:rFonts w:ascii="Calibri" w:hAnsi="Calibri" w:cs="Calibri"/>
          <w:sz w:val="22"/>
          <w:szCs w:val="22"/>
        </w:rPr>
      </w:pPr>
      <w:r w:rsidRPr="00235428">
        <w:rPr>
          <w:rFonts w:ascii="Calibri" w:hAnsi="Calibri" w:cs="Calibri"/>
          <w:sz w:val="22"/>
          <w:szCs w:val="22"/>
        </w:rPr>
        <w:t xml:space="preserve">Noise on sites is controlled </w:t>
      </w:r>
      <w:r>
        <w:rPr>
          <w:rFonts w:ascii="Calibri" w:hAnsi="Calibri" w:cs="Calibri"/>
          <w:sz w:val="22"/>
          <w:szCs w:val="22"/>
        </w:rPr>
        <w:t>at the outset</w:t>
      </w:r>
      <w:r w:rsidRPr="00235428">
        <w:rPr>
          <w:rFonts w:ascii="Calibri" w:hAnsi="Calibri" w:cs="Calibri"/>
          <w:sz w:val="22"/>
          <w:szCs w:val="22"/>
        </w:rPr>
        <w:t xml:space="preserve"> by ensuring that plant and machin</w:t>
      </w:r>
      <w:r>
        <w:rPr>
          <w:rFonts w:ascii="Calibri" w:hAnsi="Calibri" w:cs="Calibri"/>
          <w:sz w:val="22"/>
          <w:szCs w:val="22"/>
        </w:rPr>
        <w:t xml:space="preserve">ery comply with EC directives and related UK regulations. </w:t>
      </w:r>
      <w:r w:rsidRPr="00235428">
        <w:rPr>
          <w:rFonts w:ascii="Calibri" w:hAnsi="Calibri" w:cs="Calibri"/>
          <w:sz w:val="22"/>
          <w:szCs w:val="22"/>
        </w:rPr>
        <w:t>However, to ensure that noise emitted causes the minimum disturbance Medisort will:</w:t>
      </w:r>
    </w:p>
    <w:p w14:paraId="085F1857" w14:textId="77777777" w:rsidR="003170A7" w:rsidRPr="00235428" w:rsidRDefault="003170A7" w:rsidP="003170A7">
      <w:pPr>
        <w:tabs>
          <w:tab w:val="left" w:pos="2835"/>
        </w:tabs>
        <w:jc w:val="both"/>
        <w:rPr>
          <w:rFonts w:ascii="Calibri" w:hAnsi="Calibri" w:cs="Calibri"/>
          <w:sz w:val="22"/>
          <w:szCs w:val="22"/>
        </w:rPr>
      </w:pPr>
    </w:p>
    <w:p w14:paraId="43356F63" w14:textId="2BF7F2B7" w:rsidR="003170A7" w:rsidRDefault="003170A7" w:rsidP="003170A7">
      <w:pPr>
        <w:numPr>
          <w:ilvl w:val="0"/>
          <w:numId w:val="1"/>
        </w:numPr>
        <w:tabs>
          <w:tab w:val="left" w:pos="2835"/>
        </w:tabs>
        <w:jc w:val="both"/>
        <w:rPr>
          <w:rFonts w:ascii="Calibri" w:hAnsi="Calibri" w:cs="Calibri"/>
          <w:sz w:val="22"/>
          <w:szCs w:val="22"/>
        </w:rPr>
      </w:pPr>
      <w:r>
        <w:rPr>
          <w:rFonts w:ascii="Calibri" w:hAnsi="Calibri" w:cs="Calibri"/>
          <w:sz w:val="22"/>
          <w:szCs w:val="22"/>
        </w:rPr>
        <w:t xml:space="preserve">Minimise unloading and loading to the times of 08:00 – 18:00 </w:t>
      </w:r>
    </w:p>
    <w:p w14:paraId="73FF0220" w14:textId="4D0C5124" w:rsidR="003170A7" w:rsidRDefault="003170A7" w:rsidP="003170A7">
      <w:pPr>
        <w:numPr>
          <w:ilvl w:val="0"/>
          <w:numId w:val="1"/>
        </w:numPr>
        <w:tabs>
          <w:tab w:val="left" w:pos="2835"/>
        </w:tabs>
        <w:jc w:val="both"/>
        <w:rPr>
          <w:rFonts w:ascii="Calibri" w:hAnsi="Calibri" w:cs="Calibri"/>
          <w:sz w:val="22"/>
          <w:szCs w:val="22"/>
        </w:rPr>
      </w:pPr>
      <w:r>
        <w:rPr>
          <w:rFonts w:ascii="Calibri" w:hAnsi="Calibri" w:cs="Calibri"/>
          <w:sz w:val="22"/>
          <w:szCs w:val="22"/>
        </w:rPr>
        <w:t>Keep the doors of the incinerator</w:t>
      </w:r>
      <w:r w:rsidR="00E82FBF">
        <w:rPr>
          <w:rFonts w:ascii="Calibri" w:hAnsi="Calibri" w:cs="Calibri"/>
          <w:sz w:val="22"/>
          <w:szCs w:val="22"/>
        </w:rPr>
        <w:t xml:space="preserve"> building </w:t>
      </w:r>
      <w:r>
        <w:rPr>
          <w:rFonts w:ascii="Calibri" w:hAnsi="Calibri" w:cs="Calibri"/>
          <w:sz w:val="22"/>
          <w:szCs w:val="22"/>
        </w:rPr>
        <w:t xml:space="preserve">closed between 18:00 – 08:00 </w:t>
      </w:r>
    </w:p>
    <w:p w14:paraId="19018BAD" w14:textId="77777777" w:rsidR="003170A7" w:rsidRDefault="003170A7" w:rsidP="003170A7">
      <w:pPr>
        <w:numPr>
          <w:ilvl w:val="0"/>
          <w:numId w:val="1"/>
        </w:numPr>
        <w:tabs>
          <w:tab w:val="left" w:pos="2835"/>
        </w:tabs>
        <w:jc w:val="both"/>
        <w:rPr>
          <w:rFonts w:ascii="Calibri" w:hAnsi="Calibri" w:cs="Calibri"/>
          <w:sz w:val="22"/>
          <w:szCs w:val="22"/>
        </w:rPr>
      </w:pPr>
      <w:r>
        <w:rPr>
          <w:rFonts w:ascii="Calibri" w:hAnsi="Calibri" w:cs="Calibri"/>
          <w:sz w:val="22"/>
          <w:szCs w:val="22"/>
        </w:rPr>
        <w:t>Minimise waste carrying vehicles movements in Kirby Way to the times of 08:00 – 18:00</w:t>
      </w:r>
    </w:p>
    <w:p w14:paraId="6B581DAC" w14:textId="77777777" w:rsidR="003170A7" w:rsidRDefault="003170A7" w:rsidP="003170A7">
      <w:pPr>
        <w:numPr>
          <w:ilvl w:val="0"/>
          <w:numId w:val="1"/>
        </w:numPr>
        <w:tabs>
          <w:tab w:val="left" w:pos="2835"/>
        </w:tabs>
        <w:jc w:val="both"/>
        <w:rPr>
          <w:rFonts w:ascii="Calibri" w:hAnsi="Calibri" w:cs="Calibri"/>
          <w:sz w:val="22"/>
          <w:szCs w:val="22"/>
        </w:rPr>
      </w:pPr>
      <w:r>
        <w:rPr>
          <w:rFonts w:ascii="Calibri" w:hAnsi="Calibri" w:cs="Calibri"/>
          <w:sz w:val="22"/>
          <w:szCs w:val="22"/>
        </w:rPr>
        <w:t xml:space="preserve">Minimise yard operations to 08:00 – 18:00  </w:t>
      </w:r>
    </w:p>
    <w:p w14:paraId="2E7747AC" w14:textId="77777777" w:rsidR="003170A7" w:rsidRPr="00235428" w:rsidRDefault="003170A7" w:rsidP="003170A7">
      <w:pPr>
        <w:tabs>
          <w:tab w:val="left" w:pos="2835"/>
        </w:tabs>
        <w:jc w:val="both"/>
        <w:rPr>
          <w:rFonts w:ascii="Calibri" w:hAnsi="Calibri" w:cs="Calibri"/>
          <w:sz w:val="22"/>
          <w:szCs w:val="22"/>
        </w:rPr>
      </w:pPr>
    </w:p>
    <w:p w14:paraId="31055273" w14:textId="77777777" w:rsidR="003170A7" w:rsidRPr="005F7641" w:rsidRDefault="003170A7" w:rsidP="003170A7">
      <w:pPr>
        <w:pStyle w:val="Heading1"/>
        <w:rPr>
          <w:rFonts w:ascii="Calibri" w:hAnsi="Calibri" w:cs="Calibri"/>
          <w:sz w:val="24"/>
          <w:szCs w:val="24"/>
        </w:rPr>
      </w:pPr>
      <w:r w:rsidRPr="005F7641">
        <w:rPr>
          <w:rFonts w:ascii="Calibri" w:hAnsi="Calibri" w:cs="Calibri"/>
          <w:sz w:val="24"/>
          <w:szCs w:val="24"/>
        </w:rPr>
        <w:t>NOISE MONITORING INTERNAL PROCEDURES</w:t>
      </w:r>
    </w:p>
    <w:p w14:paraId="3438CBC3" w14:textId="12FCFC68" w:rsidR="003170A7" w:rsidRDefault="003170A7" w:rsidP="003170A7">
      <w:pPr>
        <w:tabs>
          <w:tab w:val="left" w:pos="2835"/>
        </w:tabs>
        <w:jc w:val="both"/>
        <w:rPr>
          <w:rFonts w:ascii="Calibri" w:hAnsi="Calibri" w:cs="Calibri"/>
          <w:sz w:val="22"/>
          <w:szCs w:val="22"/>
        </w:rPr>
      </w:pPr>
      <w:r>
        <w:rPr>
          <w:rFonts w:ascii="Calibri" w:hAnsi="Calibri" w:cs="Calibri"/>
          <w:sz w:val="22"/>
          <w:szCs w:val="22"/>
        </w:rPr>
        <w:t xml:space="preserve">If any noise complaints were to be received, either directly from the public or other neighbours or the Environment Agency, Medisort would investigate thoroughly and consult with the EA to make any necessary </w:t>
      </w:r>
      <w:r w:rsidRPr="00235428">
        <w:rPr>
          <w:rFonts w:ascii="Calibri" w:hAnsi="Calibri" w:cs="Calibri"/>
          <w:sz w:val="22"/>
          <w:szCs w:val="22"/>
        </w:rPr>
        <w:t xml:space="preserve">change </w:t>
      </w:r>
      <w:r>
        <w:rPr>
          <w:rFonts w:ascii="Calibri" w:hAnsi="Calibri" w:cs="Calibri"/>
          <w:sz w:val="22"/>
          <w:szCs w:val="22"/>
        </w:rPr>
        <w:t xml:space="preserve">to waste transfer </w:t>
      </w:r>
      <w:r w:rsidRPr="00235428">
        <w:rPr>
          <w:rFonts w:ascii="Calibri" w:hAnsi="Calibri" w:cs="Calibri"/>
          <w:sz w:val="22"/>
          <w:szCs w:val="22"/>
        </w:rPr>
        <w:t>operations</w:t>
      </w:r>
      <w:r>
        <w:rPr>
          <w:rFonts w:ascii="Calibri" w:hAnsi="Calibri" w:cs="Calibri"/>
          <w:sz w:val="22"/>
          <w:szCs w:val="22"/>
        </w:rPr>
        <w:t xml:space="preserve"> to help reduce noise where practicable.  </w:t>
      </w:r>
    </w:p>
    <w:p w14:paraId="01EDC459" w14:textId="77777777" w:rsidR="003170A7" w:rsidRPr="00235428" w:rsidRDefault="003170A7" w:rsidP="003170A7">
      <w:pPr>
        <w:tabs>
          <w:tab w:val="left" w:pos="2835"/>
        </w:tabs>
        <w:jc w:val="both"/>
        <w:rPr>
          <w:rFonts w:ascii="Calibri" w:hAnsi="Calibri" w:cs="Calibri"/>
          <w:sz w:val="22"/>
          <w:szCs w:val="22"/>
        </w:rPr>
      </w:pPr>
    </w:p>
    <w:p w14:paraId="199228E8" w14:textId="77777777" w:rsidR="003170A7" w:rsidRPr="00235428" w:rsidRDefault="003170A7" w:rsidP="003170A7">
      <w:pPr>
        <w:tabs>
          <w:tab w:val="left" w:pos="2835"/>
        </w:tabs>
        <w:jc w:val="both"/>
        <w:rPr>
          <w:rFonts w:ascii="Calibri" w:hAnsi="Calibri" w:cs="Calibri"/>
          <w:sz w:val="22"/>
          <w:szCs w:val="22"/>
        </w:rPr>
      </w:pPr>
      <w:r w:rsidRPr="00235428">
        <w:rPr>
          <w:rFonts w:ascii="Calibri" w:hAnsi="Calibri" w:cs="Calibri"/>
          <w:sz w:val="22"/>
          <w:szCs w:val="22"/>
        </w:rPr>
        <w:t xml:space="preserve">Noise complaints will be </w:t>
      </w:r>
      <w:r>
        <w:rPr>
          <w:rFonts w:ascii="Calibri" w:hAnsi="Calibri" w:cs="Calibri"/>
          <w:sz w:val="22"/>
          <w:szCs w:val="22"/>
        </w:rPr>
        <w:t>recorded</w:t>
      </w:r>
      <w:r w:rsidRPr="00235428">
        <w:rPr>
          <w:rFonts w:ascii="Calibri" w:hAnsi="Calibri" w:cs="Calibri"/>
          <w:sz w:val="22"/>
          <w:szCs w:val="22"/>
        </w:rPr>
        <w:t xml:space="preserve"> using the </w:t>
      </w:r>
      <w:r w:rsidRPr="00235428">
        <w:rPr>
          <w:rFonts w:ascii="Calibri" w:hAnsi="Calibri" w:cs="Calibri"/>
          <w:b/>
          <w:bCs/>
          <w:sz w:val="22"/>
          <w:szCs w:val="22"/>
        </w:rPr>
        <w:t>Site Complaint Form</w:t>
      </w:r>
      <w:r>
        <w:rPr>
          <w:rFonts w:ascii="Calibri" w:hAnsi="Calibri" w:cs="Calibri"/>
          <w:b/>
          <w:bCs/>
          <w:sz w:val="22"/>
          <w:szCs w:val="22"/>
        </w:rPr>
        <w:t xml:space="preserve"> E007.11.3</w:t>
      </w:r>
      <w:r w:rsidRPr="00235428">
        <w:rPr>
          <w:rFonts w:ascii="Calibri" w:hAnsi="Calibri" w:cs="Calibri"/>
          <w:b/>
          <w:bCs/>
          <w:sz w:val="22"/>
          <w:szCs w:val="22"/>
        </w:rPr>
        <w:t xml:space="preserve"> </w:t>
      </w:r>
      <w:r w:rsidRPr="00235428">
        <w:rPr>
          <w:rFonts w:ascii="Calibri" w:hAnsi="Calibri" w:cs="Calibri"/>
          <w:sz w:val="22"/>
          <w:szCs w:val="22"/>
        </w:rPr>
        <w:t xml:space="preserve">if from the public or by correspondence via the EA. </w:t>
      </w:r>
    </w:p>
    <w:p w14:paraId="789E3E2D" w14:textId="77777777" w:rsidR="00935DBF" w:rsidRDefault="00E82FBF"/>
    <w:sectPr w:rsidR="00935DBF" w:rsidSect="004443B4">
      <w:headerReference w:type="even" r:id="rId7"/>
      <w:headerReference w:type="default" r:id="rId8"/>
      <w:footerReference w:type="even" r:id="rId9"/>
      <w:footerReference w:type="default" r:id="rId10"/>
      <w:headerReference w:type="first" r:id="rId11"/>
      <w:footerReference w:type="first" r:id="rId12"/>
      <w:pgSz w:w="11905" w:h="16837"/>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54EE" w14:textId="77777777" w:rsidR="003170A7" w:rsidRDefault="003170A7" w:rsidP="003170A7">
      <w:r>
        <w:separator/>
      </w:r>
    </w:p>
  </w:endnote>
  <w:endnote w:type="continuationSeparator" w:id="0">
    <w:p w14:paraId="64EC1BA1" w14:textId="77777777" w:rsidR="003170A7" w:rsidRDefault="003170A7" w:rsidP="0031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CD7B" w14:textId="77777777" w:rsidR="003170A7" w:rsidRDefault="00317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96"/>
      <w:gridCol w:w="3497"/>
      <w:gridCol w:w="3497"/>
    </w:tblGrid>
    <w:tr w:rsidR="006176BC" w:rsidRPr="00796789" w14:paraId="1CEA9BF7" w14:textId="77777777" w:rsidTr="00796789">
      <w:tc>
        <w:tcPr>
          <w:tcW w:w="3496" w:type="dxa"/>
          <w:vAlign w:val="bottom"/>
        </w:tcPr>
        <w:p w14:paraId="01C54970" w14:textId="77777777" w:rsidR="006176BC" w:rsidRPr="00505C3E" w:rsidRDefault="003170A7">
          <w:pPr>
            <w:pStyle w:val="Footer"/>
            <w:tabs>
              <w:tab w:val="left" w:pos="1134"/>
            </w:tabs>
            <w:snapToGrid w:val="0"/>
            <w:rPr>
              <w:rFonts w:ascii="Calibri" w:hAnsi="Calibri"/>
              <w:color w:val="FF0000"/>
              <w:sz w:val="20"/>
              <w:szCs w:val="20"/>
            </w:rPr>
          </w:pPr>
          <w:r w:rsidRPr="00505C3E">
            <w:rPr>
              <w:rFonts w:ascii="Calibri" w:hAnsi="Calibri"/>
              <w:color w:val="FF0000"/>
              <w:sz w:val="20"/>
              <w:szCs w:val="20"/>
            </w:rPr>
            <w:t>Issue No: 1</w:t>
          </w:r>
        </w:p>
        <w:p w14:paraId="089EF182" w14:textId="77777777" w:rsidR="006176BC" w:rsidRPr="00505C3E" w:rsidRDefault="003170A7">
          <w:pPr>
            <w:pStyle w:val="Footer"/>
            <w:rPr>
              <w:rFonts w:ascii="Calibri" w:hAnsi="Calibri"/>
              <w:color w:val="FF0000"/>
              <w:sz w:val="20"/>
              <w:szCs w:val="20"/>
            </w:rPr>
          </w:pPr>
          <w:r w:rsidRPr="00505C3E">
            <w:rPr>
              <w:rFonts w:ascii="Calibri" w:hAnsi="Calibri"/>
              <w:color w:val="FF0000"/>
              <w:sz w:val="20"/>
              <w:szCs w:val="20"/>
            </w:rPr>
            <w:t>Issue Date: May 11</w:t>
          </w:r>
        </w:p>
        <w:p w14:paraId="54A3B4F6" w14:textId="77777777" w:rsidR="006176BC" w:rsidRPr="00505C3E" w:rsidRDefault="003170A7">
          <w:pPr>
            <w:pStyle w:val="Footer"/>
            <w:rPr>
              <w:rFonts w:ascii="Calibri" w:hAnsi="Calibri"/>
              <w:color w:val="FF0000"/>
              <w:sz w:val="20"/>
              <w:szCs w:val="20"/>
            </w:rPr>
          </w:pPr>
          <w:r w:rsidRPr="00505C3E">
            <w:rPr>
              <w:rFonts w:ascii="Calibri" w:hAnsi="Calibri"/>
              <w:color w:val="FF0000"/>
              <w:sz w:val="20"/>
              <w:szCs w:val="20"/>
            </w:rPr>
            <w:t xml:space="preserve">Page </w:t>
          </w:r>
          <w:r w:rsidRPr="00505C3E">
            <w:rPr>
              <w:rStyle w:val="PageNumber"/>
              <w:rFonts w:ascii="Calibri" w:hAnsi="Calibri"/>
              <w:i w:val="0"/>
              <w:color w:val="FF0000"/>
              <w:sz w:val="20"/>
              <w:szCs w:val="20"/>
            </w:rPr>
            <w:fldChar w:fldCharType="begin"/>
          </w:r>
          <w:r w:rsidRPr="00505C3E">
            <w:rPr>
              <w:rStyle w:val="PageNumber"/>
              <w:rFonts w:ascii="Calibri" w:hAnsi="Calibri"/>
              <w:i w:val="0"/>
              <w:color w:val="FF0000"/>
              <w:sz w:val="20"/>
              <w:szCs w:val="20"/>
            </w:rPr>
            <w:instrText xml:space="preserve"> PAGE </w:instrText>
          </w:r>
          <w:r w:rsidRPr="00505C3E">
            <w:rPr>
              <w:rStyle w:val="PageNumber"/>
              <w:rFonts w:ascii="Calibri" w:hAnsi="Calibri"/>
              <w:i w:val="0"/>
              <w:color w:val="FF0000"/>
              <w:sz w:val="20"/>
              <w:szCs w:val="20"/>
            </w:rPr>
            <w:fldChar w:fldCharType="separate"/>
          </w:r>
          <w:r w:rsidRPr="00505C3E">
            <w:rPr>
              <w:rStyle w:val="PageNumber"/>
              <w:rFonts w:ascii="Calibri" w:hAnsi="Calibri"/>
              <w:i w:val="0"/>
              <w:noProof/>
              <w:color w:val="FF0000"/>
              <w:sz w:val="20"/>
              <w:szCs w:val="20"/>
            </w:rPr>
            <w:t>1</w:t>
          </w:r>
          <w:r w:rsidRPr="00505C3E">
            <w:rPr>
              <w:rStyle w:val="PageNumber"/>
              <w:rFonts w:ascii="Calibri" w:hAnsi="Calibri"/>
              <w:i w:val="0"/>
              <w:color w:val="FF0000"/>
              <w:sz w:val="20"/>
              <w:szCs w:val="20"/>
            </w:rPr>
            <w:fldChar w:fldCharType="end"/>
          </w:r>
          <w:r w:rsidRPr="00505C3E">
            <w:rPr>
              <w:rStyle w:val="PageNumber"/>
              <w:rFonts w:ascii="Calibri" w:hAnsi="Calibri"/>
              <w:color w:val="FF0000"/>
              <w:sz w:val="20"/>
              <w:szCs w:val="20"/>
            </w:rPr>
            <w:t xml:space="preserve"> </w:t>
          </w:r>
          <w:r w:rsidRPr="00505C3E">
            <w:rPr>
              <w:rFonts w:ascii="Calibri" w:hAnsi="Calibri"/>
              <w:color w:val="FF0000"/>
              <w:sz w:val="20"/>
              <w:szCs w:val="20"/>
            </w:rPr>
            <w:t xml:space="preserve">of </w:t>
          </w:r>
          <w:r w:rsidRPr="00505C3E">
            <w:rPr>
              <w:rStyle w:val="PageNumber"/>
              <w:rFonts w:ascii="Calibri" w:hAnsi="Calibri"/>
              <w:i w:val="0"/>
              <w:color w:val="FF0000"/>
              <w:sz w:val="20"/>
              <w:szCs w:val="20"/>
            </w:rPr>
            <w:fldChar w:fldCharType="begin"/>
          </w:r>
          <w:r w:rsidRPr="00505C3E">
            <w:rPr>
              <w:rStyle w:val="PageNumber"/>
              <w:rFonts w:ascii="Calibri" w:hAnsi="Calibri"/>
              <w:i w:val="0"/>
              <w:color w:val="FF0000"/>
              <w:sz w:val="20"/>
              <w:szCs w:val="20"/>
            </w:rPr>
            <w:instrText xml:space="preserve"> NUMPAGES \*Arabic </w:instrText>
          </w:r>
          <w:r w:rsidRPr="00505C3E">
            <w:rPr>
              <w:rStyle w:val="PageNumber"/>
              <w:rFonts w:ascii="Calibri" w:hAnsi="Calibri"/>
              <w:i w:val="0"/>
              <w:color w:val="FF0000"/>
              <w:sz w:val="20"/>
              <w:szCs w:val="20"/>
            </w:rPr>
            <w:fldChar w:fldCharType="separate"/>
          </w:r>
          <w:r w:rsidRPr="00505C3E">
            <w:rPr>
              <w:rStyle w:val="PageNumber"/>
              <w:rFonts w:ascii="Calibri" w:hAnsi="Calibri"/>
              <w:i w:val="0"/>
              <w:noProof/>
              <w:color w:val="FF0000"/>
              <w:sz w:val="20"/>
              <w:szCs w:val="20"/>
            </w:rPr>
            <w:t>1</w:t>
          </w:r>
          <w:r w:rsidRPr="00505C3E">
            <w:rPr>
              <w:rStyle w:val="PageNumber"/>
              <w:rFonts w:ascii="Calibri" w:hAnsi="Calibri"/>
              <w:i w:val="0"/>
              <w:color w:val="FF0000"/>
              <w:sz w:val="20"/>
              <w:szCs w:val="20"/>
            </w:rPr>
            <w:fldChar w:fldCharType="end"/>
          </w:r>
        </w:p>
      </w:tc>
      <w:tc>
        <w:tcPr>
          <w:tcW w:w="3497" w:type="dxa"/>
          <w:vAlign w:val="bottom"/>
        </w:tcPr>
        <w:p w14:paraId="27621CB2" w14:textId="77777777" w:rsidR="006176BC" w:rsidRPr="00505C3E" w:rsidRDefault="003170A7">
          <w:pPr>
            <w:pStyle w:val="Footer"/>
            <w:tabs>
              <w:tab w:val="left" w:pos="1134"/>
            </w:tabs>
            <w:snapToGrid w:val="0"/>
            <w:jc w:val="center"/>
            <w:rPr>
              <w:rFonts w:ascii="Calibri" w:hAnsi="Calibri"/>
              <w:color w:val="FF0000"/>
              <w:sz w:val="20"/>
              <w:szCs w:val="20"/>
            </w:rPr>
          </w:pPr>
          <w:r w:rsidRPr="00505C3E">
            <w:rPr>
              <w:rFonts w:ascii="Calibri" w:hAnsi="Calibri"/>
              <w:color w:val="FF0000"/>
              <w:sz w:val="20"/>
              <w:szCs w:val="20"/>
            </w:rPr>
            <w:t>Ref: E007.12.1</w:t>
          </w:r>
        </w:p>
        <w:p w14:paraId="79F3B353" w14:textId="77777777" w:rsidR="006176BC" w:rsidRPr="00505C3E" w:rsidRDefault="003170A7">
          <w:pPr>
            <w:pStyle w:val="Footer"/>
            <w:tabs>
              <w:tab w:val="left" w:pos="912"/>
            </w:tabs>
            <w:jc w:val="center"/>
            <w:rPr>
              <w:rFonts w:ascii="Calibri" w:hAnsi="Calibri"/>
              <w:color w:val="FF0000"/>
              <w:sz w:val="20"/>
              <w:szCs w:val="20"/>
            </w:rPr>
          </w:pPr>
          <w:r w:rsidRPr="00505C3E">
            <w:rPr>
              <w:rFonts w:ascii="Calibri" w:hAnsi="Calibri"/>
              <w:color w:val="FF0000"/>
              <w:sz w:val="20"/>
              <w:szCs w:val="20"/>
            </w:rPr>
            <w:t>See Intranet for latest issue</w:t>
          </w:r>
        </w:p>
      </w:tc>
      <w:tc>
        <w:tcPr>
          <w:tcW w:w="3497" w:type="dxa"/>
          <w:vAlign w:val="bottom"/>
        </w:tcPr>
        <w:p w14:paraId="15336F1E" w14:textId="77777777" w:rsidR="006176BC" w:rsidRPr="00796789" w:rsidRDefault="00E82FBF" w:rsidP="00E848CC">
          <w:pPr>
            <w:pStyle w:val="Footer"/>
            <w:snapToGrid w:val="0"/>
            <w:jc w:val="right"/>
            <w:rPr>
              <w:rFonts w:ascii="Calibri" w:hAnsi="Calibri"/>
              <w:iCs/>
              <w:sz w:val="20"/>
              <w:szCs w:val="20"/>
            </w:rPr>
          </w:pPr>
        </w:p>
        <w:p w14:paraId="713A7E07" w14:textId="77777777" w:rsidR="006176BC" w:rsidRDefault="003170A7" w:rsidP="00796789">
          <w:pPr>
            <w:pStyle w:val="Footer"/>
            <w:jc w:val="right"/>
            <w:rPr>
              <w:rFonts w:ascii="Calibri" w:hAnsi="Calibri"/>
              <w:iCs/>
              <w:sz w:val="20"/>
              <w:szCs w:val="20"/>
            </w:rPr>
          </w:pPr>
          <w:r>
            <w:rPr>
              <w:rFonts w:ascii="Calibri" w:hAnsi="Calibri"/>
              <w:iCs/>
              <w:sz w:val="20"/>
              <w:szCs w:val="20"/>
            </w:rPr>
            <w:t xml:space="preserve">Policies, Systems </w:t>
          </w:r>
        </w:p>
        <w:p w14:paraId="6C01D238" w14:textId="77777777" w:rsidR="00235428" w:rsidRPr="00796789" w:rsidRDefault="003170A7" w:rsidP="00796789">
          <w:pPr>
            <w:pStyle w:val="Footer"/>
            <w:jc w:val="right"/>
            <w:rPr>
              <w:rFonts w:ascii="Calibri" w:hAnsi="Calibri"/>
              <w:iCs/>
              <w:sz w:val="20"/>
              <w:szCs w:val="20"/>
            </w:rPr>
          </w:pPr>
          <w:r>
            <w:rPr>
              <w:rFonts w:ascii="Calibri" w:hAnsi="Calibri"/>
              <w:iCs/>
              <w:sz w:val="20"/>
              <w:szCs w:val="20"/>
            </w:rPr>
            <w:t>&amp; Procedures</w:t>
          </w:r>
        </w:p>
      </w:tc>
    </w:tr>
  </w:tbl>
  <w:p w14:paraId="6F6E22AD" w14:textId="77777777" w:rsidR="006176BC" w:rsidRDefault="00E82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D5F5" w14:textId="77777777" w:rsidR="003170A7" w:rsidRDefault="0031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AC2D" w14:textId="77777777" w:rsidR="003170A7" w:rsidRDefault="003170A7" w:rsidP="003170A7">
      <w:r>
        <w:separator/>
      </w:r>
    </w:p>
  </w:footnote>
  <w:footnote w:type="continuationSeparator" w:id="0">
    <w:p w14:paraId="197DFA70" w14:textId="77777777" w:rsidR="003170A7" w:rsidRDefault="003170A7" w:rsidP="0031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6B1F" w14:textId="77777777" w:rsidR="003170A7" w:rsidRDefault="00317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6521"/>
      <w:gridCol w:w="3969"/>
    </w:tblGrid>
    <w:tr w:rsidR="006176BC" w14:paraId="0DE674FF" w14:textId="77777777" w:rsidTr="0001447E">
      <w:tc>
        <w:tcPr>
          <w:tcW w:w="6521" w:type="dxa"/>
        </w:tcPr>
        <w:p w14:paraId="2736385F" w14:textId="22586D4C" w:rsidR="006176BC" w:rsidRPr="0001447E" w:rsidRDefault="003170A7" w:rsidP="00235428">
          <w:pPr>
            <w:pStyle w:val="Header"/>
            <w:tabs>
              <w:tab w:val="clear" w:pos="8306"/>
            </w:tabs>
            <w:snapToGrid w:val="0"/>
            <w:rPr>
              <w:rFonts w:ascii="Calibri" w:hAnsi="Calibri"/>
              <w:b/>
              <w:sz w:val="28"/>
              <w:szCs w:val="28"/>
            </w:rPr>
          </w:pPr>
          <w:r>
            <w:rPr>
              <w:rFonts w:ascii="Calibri" w:hAnsi="Calibri"/>
              <w:b/>
              <w:sz w:val="28"/>
              <w:szCs w:val="28"/>
            </w:rPr>
            <w:t xml:space="preserve">E007.12. NOISE MANAGEMENT PROCEDURE HH </w:t>
          </w:r>
        </w:p>
      </w:tc>
      <w:tc>
        <w:tcPr>
          <w:tcW w:w="3969" w:type="dxa"/>
        </w:tcPr>
        <w:p w14:paraId="661D522D" w14:textId="72A9C489" w:rsidR="006176BC" w:rsidRPr="00382CEA" w:rsidRDefault="003170A7" w:rsidP="00382CEA">
          <w:pPr>
            <w:pStyle w:val="Header"/>
            <w:tabs>
              <w:tab w:val="clear" w:pos="8306"/>
            </w:tabs>
            <w:ind w:firstLine="87"/>
            <w:jc w:val="right"/>
            <w:rPr>
              <w:rFonts w:ascii="Calibri" w:hAnsi="Calibri" w:cs="Tahoma"/>
              <w:b/>
              <w:bCs/>
              <w:sz w:val="28"/>
              <w:szCs w:val="28"/>
            </w:rPr>
          </w:pPr>
          <w:r>
            <w:rPr>
              <w:rFonts w:ascii="Calibri" w:hAnsi="Calibri" w:cs="Tahoma"/>
              <w:b/>
              <w:bCs/>
              <w:noProof/>
              <w:sz w:val="28"/>
              <w:szCs w:val="28"/>
            </w:rPr>
            <w:drawing>
              <wp:inline distT="0" distB="0" distL="0" distR="0" wp14:anchorId="173803F5" wp14:editId="66876139">
                <wp:extent cx="14382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inline>
            </w:drawing>
          </w:r>
        </w:p>
      </w:tc>
    </w:tr>
  </w:tbl>
  <w:p w14:paraId="5D231CA6" w14:textId="77777777" w:rsidR="006176BC" w:rsidRDefault="00E82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3659" w14:textId="77777777" w:rsidR="003170A7" w:rsidRDefault="00317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25D67"/>
    <w:multiLevelType w:val="multilevel"/>
    <w:tmpl w:val="EB40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21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MzY3MTM3NzOxMDdQ0lEKTi0uzszPAykwrAUAaBmqAywAAAA="/>
  </w:docVars>
  <w:rsids>
    <w:rsidRoot w:val="003170A7"/>
    <w:rsid w:val="0030784A"/>
    <w:rsid w:val="003170A7"/>
    <w:rsid w:val="003D0D8D"/>
    <w:rsid w:val="00E8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7D164"/>
  <w15:chartTrackingRefBased/>
  <w15:docId w15:val="{39EA6AC7-6B58-4325-BEA9-7C76849C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A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170A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0A7"/>
    <w:rPr>
      <w:rFonts w:ascii="Arial" w:eastAsia="Times New Roman" w:hAnsi="Arial" w:cs="Arial"/>
      <w:b/>
      <w:bCs/>
      <w:kern w:val="32"/>
      <w:sz w:val="32"/>
      <w:szCs w:val="32"/>
      <w:lang w:eastAsia="ar-SA"/>
    </w:rPr>
  </w:style>
  <w:style w:type="character" w:styleId="PageNumber">
    <w:name w:val="page number"/>
    <w:rsid w:val="003170A7"/>
    <w:rPr>
      <w:rFonts w:ascii="Goudy Old Style" w:hAnsi="Goudy Old Style"/>
      <w:i/>
      <w:sz w:val="18"/>
    </w:rPr>
  </w:style>
  <w:style w:type="paragraph" w:styleId="Header">
    <w:name w:val="header"/>
    <w:basedOn w:val="Normal"/>
    <w:link w:val="HeaderChar"/>
    <w:rsid w:val="003170A7"/>
    <w:pPr>
      <w:tabs>
        <w:tab w:val="center" w:pos="4153"/>
        <w:tab w:val="right" w:pos="8306"/>
      </w:tabs>
    </w:pPr>
  </w:style>
  <w:style w:type="character" w:customStyle="1" w:styleId="HeaderChar">
    <w:name w:val="Header Char"/>
    <w:basedOn w:val="DefaultParagraphFont"/>
    <w:link w:val="Header"/>
    <w:rsid w:val="003170A7"/>
    <w:rPr>
      <w:rFonts w:ascii="Times New Roman" w:eastAsia="Times New Roman" w:hAnsi="Times New Roman" w:cs="Times New Roman"/>
      <w:sz w:val="24"/>
      <w:szCs w:val="24"/>
      <w:lang w:eastAsia="ar-SA"/>
    </w:rPr>
  </w:style>
  <w:style w:type="paragraph" w:styleId="Footer">
    <w:name w:val="footer"/>
    <w:basedOn w:val="Normal"/>
    <w:link w:val="FooterChar"/>
    <w:rsid w:val="003170A7"/>
    <w:pPr>
      <w:tabs>
        <w:tab w:val="center" w:pos="4153"/>
        <w:tab w:val="right" w:pos="8306"/>
      </w:tabs>
    </w:pPr>
  </w:style>
  <w:style w:type="character" w:customStyle="1" w:styleId="FooterChar">
    <w:name w:val="Footer Char"/>
    <w:basedOn w:val="DefaultParagraphFont"/>
    <w:link w:val="Footer"/>
    <w:rsid w:val="003170A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5" ma:contentTypeDescription="Create a new document." ma:contentTypeScope="" ma:versionID="e2c6de684f06913f0a0a3d819e82595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20ab8f6f4710eb3e4cf4445beec3826e"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
    <ga477587807b4e8dbd9d142e03c014fa xmlns="dbe221e7-66db-4bdb-a92c-aa517c005f15">
      <Terms xmlns="http://schemas.microsoft.com/office/infopath/2007/PartnerControls"/>
    </ga477587807b4e8dbd9d142e03c014fa>
    <PermitNumber xmlns="eebef177-55b5-4448-a5fb-28ea454417ee">EPR-YP3404SE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The Hillingdon Hospitals NHS Foundation Trust</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
    <CurrentPermit xmlns="eebef177-55b5-4448-a5fb-28ea454417ee">N/A - Do not select for New Permits</CurrentPermit>
    <c52c737aaa794145b5e1ab0b33580095 xmlns="dbe221e7-66db-4bdb-a92c-aa517c005f15">
      <Terms xmlns="http://schemas.microsoft.com/office/infopath/2007/PartnerControl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EPR/YP3404SE/</EPRNumber>
    <FacilityAddressPostcode xmlns="eebef177-55b5-4448-a5fb-28ea454417ee">UB8 3NN</FacilityAddressPostcode>
    <ed3cfd1978f244c4af5dc9d642a18018 xmlns="dbe221e7-66db-4bdb-a92c-aa517c005f15">
      <Terms xmlns="http://schemas.microsoft.com/office/infopath/2007/PartnerControls"/>
    </ed3cfd1978f244c4af5dc9d642a18018>
    <TaxCatchAll xmlns="662745e8-e224-48e8-a2e3-254862b8c2f5">
      <Value>12</Value>
      <Value>10</Value>
      <Value>9</Value>
      <Value>22</Value>
    </TaxCatchAll>
    <ExternalAuthor xmlns="eebef177-55b5-4448-a5fb-28ea454417ee"/>
    <SiteName xmlns="eebef177-55b5-4448-a5fb-28ea454417ee">Hillingdon Clinical Waste Incinerator</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The Incinerator Pield Heath Road Hillingdon Hospital Uxbridge Middlesex UB8 3NN</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E73CA81B-C58D-4711-89C3-0A1344C9ACED}"/>
</file>

<file path=customXml/itemProps2.xml><?xml version="1.0" encoding="utf-8"?>
<ds:datastoreItem xmlns:ds="http://schemas.openxmlformats.org/officeDocument/2006/customXml" ds:itemID="{687F36FF-528B-434B-B114-5A0BCC111508}"/>
</file>

<file path=customXml/itemProps3.xml><?xml version="1.0" encoding="utf-8"?>
<ds:datastoreItem xmlns:ds="http://schemas.openxmlformats.org/officeDocument/2006/customXml" ds:itemID="{D2D7D609-61C1-4971-A125-11A889E481E2}"/>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Scott</dc:creator>
  <cp:keywords/>
  <dc:description/>
  <cp:lastModifiedBy>Roger Scott</cp:lastModifiedBy>
  <cp:revision>2</cp:revision>
  <dcterms:created xsi:type="dcterms:W3CDTF">2022-07-01T15:40:00Z</dcterms:created>
  <dcterms:modified xsi:type="dcterms:W3CDTF">2022-07-15T08:00:00Z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