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05D1" w14:textId="77777777" w:rsidR="003F7372" w:rsidRDefault="003F7372" w:rsidP="003F7372">
      <w:r>
        <w:rPr>
          <w:noProof/>
          <w:lang w:eastAsia="en-GB"/>
        </w:rPr>
        <w:drawing>
          <wp:anchor distT="0" distB="0" distL="114300" distR="114300" simplePos="0" relativeHeight="251659264" behindDoc="1" locked="0" layoutInCell="1" allowOverlap="1" wp14:anchorId="1F47AA12" wp14:editId="1B5432A8">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62CFE22A" w14:textId="77777777" w:rsidR="003F7372" w:rsidRPr="003F7372" w:rsidRDefault="003F7372" w:rsidP="003F7372"/>
    <w:p w14:paraId="5C244AC9"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755DF93" w14:textId="750C13E5" w:rsidR="00F54460" w:rsidRPr="00D6213B" w:rsidRDefault="00D6213B" w:rsidP="003F7372">
      <w:pPr>
        <w:rPr>
          <w:rFonts w:eastAsia="Arial"/>
          <w:color w:val="000000" w:themeColor="text1"/>
          <w:sz w:val="30"/>
          <w:szCs w:val="30"/>
        </w:rPr>
      </w:pPr>
      <w:r w:rsidRPr="00D6213B">
        <w:rPr>
          <w:rFonts w:eastAsia="Arial"/>
          <w:color w:val="000000" w:themeColor="text1"/>
          <w:sz w:val="30"/>
          <w:szCs w:val="30"/>
        </w:rPr>
        <w:t xml:space="preserve">TS10 5QW, </w:t>
      </w:r>
      <w:bookmarkStart w:id="0" w:name="_Hlk188267634"/>
      <w:r w:rsidRPr="00D6213B">
        <w:rPr>
          <w:rFonts w:eastAsia="Arial"/>
          <w:color w:val="000000" w:themeColor="text1"/>
          <w:sz w:val="30"/>
          <w:szCs w:val="30"/>
        </w:rPr>
        <w:t xml:space="preserve">H2 </w:t>
      </w:r>
      <w:proofErr w:type="spellStart"/>
      <w:r w:rsidRPr="00D6213B">
        <w:rPr>
          <w:rFonts w:eastAsia="Arial"/>
          <w:color w:val="000000" w:themeColor="text1"/>
          <w:sz w:val="30"/>
          <w:szCs w:val="30"/>
        </w:rPr>
        <w:t>Teeside</w:t>
      </w:r>
      <w:proofErr w:type="spellEnd"/>
      <w:r w:rsidRPr="00D6213B">
        <w:rPr>
          <w:rFonts w:eastAsia="Arial"/>
          <w:color w:val="000000" w:themeColor="text1"/>
          <w:sz w:val="30"/>
          <w:szCs w:val="30"/>
        </w:rPr>
        <w:t xml:space="preserve"> Limited</w:t>
      </w:r>
      <w:bookmarkEnd w:id="0"/>
      <w:r w:rsidR="003F7372" w:rsidRPr="00D6213B">
        <w:rPr>
          <w:rFonts w:eastAsia="Arial"/>
          <w:color w:val="000000" w:themeColor="text1"/>
          <w:sz w:val="30"/>
          <w:szCs w:val="30"/>
        </w:rPr>
        <w:t>:</w:t>
      </w:r>
      <w:r w:rsidR="003F7372" w:rsidRPr="00D6213B">
        <w:rPr>
          <w:rFonts w:eastAsia="Arial"/>
          <w:color w:val="000000" w:themeColor="text1"/>
          <w:spacing w:val="-1"/>
          <w:sz w:val="30"/>
          <w:szCs w:val="30"/>
        </w:rPr>
        <w:t xml:space="preserve"> </w:t>
      </w:r>
      <w:r w:rsidR="003F7372" w:rsidRPr="00D6213B">
        <w:rPr>
          <w:rFonts w:eastAsia="Arial"/>
          <w:color w:val="000000" w:themeColor="text1"/>
          <w:sz w:val="30"/>
          <w:szCs w:val="30"/>
        </w:rPr>
        <w:t>environ</w:t>
      </w:r>
      <w:r w:rsidR="003F7372" w:rsidRPr="00D6213B">
        <w:rPr>
          <w:rFonts w:eastAsia="Arial"/>
          <w:color w:val="000000" w:themeColor="text1"/>
          <w:spacing w:val="-2"/>
          <w:sz w:val="30"/>
          <w:szCs w:val="30"/>
        </w:rPr>
        <w:t>m</w:t>
      </w:r>
      <w:r w:rsidR="003F7372" w:rsidRPr="00D6213B">
        <w:rPr>
          <w:rFonts w:eastAsia="Arial"/>
          <w:color w:val="000000" w:themeColor="text1"/>
          <w:sz w:val="30"/>
          <w:szCs w:val="30"/>
        </w:rPr>
        <w:t>en</w:t>
      </w:r>
      <w:r w:rsidR="003F7372" w:rsidRPr="00D6213B">
        <w:rPr>
          <w:rFonts w:eastAsia="Arial"/>
          <w:color w:val="000000" w:themeColor="text1"/>
          <w:spacing w:val="-3"/>
          <w:sz w:val="30"/>
          <w:szCs w:val="30"/>
        </w:rPr>
        <w:t>t</w:t>
      </w:r>
      <w:r w:rsidR="003F7372" w:rsidRPr="00D6213B">
        <w:rPr>
          <w:rFonts w:eastAsia="Arial"/>
          <w:color w:val="000000" w:themeColor="text1"/>
          <w:sz w:val="30"/>
          <w:szCs w:val="30"/>
        </w:rPr>
        <w:t>al</w:t>
      </w:r>
      <w:r w:rsidR="003F7372" w:rsidRPr="00D6213B">
        <w:rPr>
          <w:rFonts w:eastAsia="Arial"/>
          <w:color w:val="000000" w:themeColor="text1"/>
          <w:spacing w:val="-1"/>
          <w:sz w:val="30"/>
          <w:szCs w:val="30"/>
        </w:rPr>
        <w:t xml:space="preserve"> </w:t>
      </w:r>
      <w:r w:rsidR="003F7372" w:rsidRPr="00D6213B">
        <w:rPr>
          <w:rFonts w:eastAsia="Arial"/>
          <w:color w:val="000000" w:themeColor="text1"/>
          <w:sz w:val="30"/>
          <w:szCs w:val="30"/>
        </w:rPr>
        <w:t>permit</w:t>
      </w:r>
      <w:r w:rsidR="003F7372" w:rsidRPr="00D6213B">
        <w:rPr>
          <w:rFonts w:eastAsia="Arial"/>
          <w:color w:val="000000" w:themeColor="text1"/>
          <w:spacing w:val="-1"/>
          <w:sz w:val="30"/>
          <w:szCs w:val="30"/>
        </w:rPr>
        <w:t xml:space="preserve"> </w:t>
      </w:r>
      <w:r w:rsidR="003F7372" w:rsidRPr="00D6213B">
        <w:rPr>
          <w:rFonts w:eastAsia="Arial"/>
          <w:color w:val="000000" w:themeColor="text1"/>
          <w:sz w:val="30"/>
          <w:szCs w:val="30"/>
        </w:rPr>
        <w:t>consulta</w:t>
      </w:r>
      <w:r w:rsidR="003F7372" w:rsidRPr="00D6213B">
        <w:rPr>
          <w:rFonts w:eastAsia="Arial"/>
          <w:color w:val="000000" w:themeColor="text1"/>
          <w:spacing w:val="-3"/>
          <w:sz w:val="30"/>
          <w:szCs w:val="30"/>
        </w:rPr>
        <w:t>t</w:t>
      </w:r>
      <w:r w:rsidR="003F7372" w:rsidRPr="00D6213B">
        <w:rPr>
          <w:rFonts w:eastAsia="Arial"/>
          <w:color w:val="000000" w:themeColor="text1"/>
          <w:sz w:val="30"/>
          <w:szCs w:val="30"/>
        </w:rPr>
        <w:t>ion</w:t>
      </w:r>
    </w:p>
    <w:p w14:paraId="346F1372" w14:textId="77777777" w:rsidR="003F7372" w:rsidRPr="00D6213B" w:rsidRDefault="003F7372" w:rsidP="003F7372">
      <w:pPr>
        <w:rPr>
          <w:rFonts w:eastAsia="Calibri"/>
          <w:b/>
          <w:color w:val="000000" w:themeColor="text1"/>
          <w:spacing w:val="-1"/>
          <w:sz w:val="19"/>
          <w:szCs w:val="19"/>
          <w:lang w:val="en-US"/>
        </w:rPr>
      </w:pPr>
      <w:r w:rsidRPr="00D6213B">
        <w:rPr>
          <w:rFonts w:eastAsia="Calibri"/>
          <w:b/>
          <w:color w:val="000000" w:themeColor="text1"/>
          <w:sz w:val="19"/>
          <w:szCs w:val="19"/>
          <w:lang w:val="en-US"/>
        </w:rPr>
        <w:t>The</w:t>
      </w:r>
      <w:r w:rsidRPr="00D6213B">
        <w:rPr>
          <w:rFonts w:eastAsia="Calibri"/>
          <w:b/>
          <w:color w:val="000000" w:themeColor="text1"/>
          <w:spacing w:val="-5"/>
          <w:sz w:val="19"/>
          <w:szCs w:val="19"/>
          <w:lang w:val="en-US"/>
        </w:rPr>
        <w:t xml:space="preserve"> </w:t>
      </w:r>
      <w:r w:rsidRPr="00D6213B">
        <w:rPr>
          <w:rFonts w:eastAsia="Calibri"/>
          <w:b/>
          <w:color w:val="000000" w:themeColor="text1"/>
          <w:spacing w:val="-2"/>
          <w:sz w:val="19"/>
          <w:szCs w:val="19"/>
          <w:lang w:val="en-US"/>
        </w:rPr>
        <w:t>a</w:t>
      </w:r>
      <w:r w:rsidRPr="00D6213B">
        <w:rPr>
          <w:rFonts w:eastAsia="Calibri"/>
          <w:b/>
          <w:color w:val="000000" w:themeColor="text1"/>
          <w:spacing w:val="1"/>
          <w:sz w:val="19"/>
          <w:szCs w:val="19"/>
          <w:lang w:val="en-US"/>
        </w:rPr>
        <w:t>i</w:t>
      </w:r>
      <w:r w:rsidRPr="00D6213B">
        <w:rPr>
          <w:rFonts w:eastAsia="Calibri"/>
          <w:b/>
          <w:color w:val="000000" w:themeColor="text1"/>
          <w:sz w:val="19"/>
          <w:szCs w:val="19"/>
          <w:lang w:val="en-US"/>
        </w:rPr>
        <w:t>m</w:t>
      </w:r>
      <w:r w:rsidRPr="00D6213B">
        <w:rPr>
          <w:rFonts w:eastAsia="Calibri"/>
          <w:b/>
          <w:color w:val="000000" w:themeColor="text1"/>
          <w:spacing w:val="-5"/>
          <w:sz w:val="19"/>
          <w:szCs w:val="19"/>
          <w:lang w:val="en-US"/>
        </w:rPr>
        <w:t xml:space="preserve"> </w:t>
      </w:r>
      <w:r w:rsidRPr="00D6213B">
        <w:rPr>
          <w:rFonts w:eastAsia="Calibri"/>
          <w:b/>
          <w:color w:val="000000" w:themeColor="text1"/>
          <w:sz w:val="19"/>
          <w:szCs w:val="19"/>
          <w:lang w:val="en-US"/>
        </w:rPr>
        <w:t>of</w:t>
      </w:r>
      <w:r w:rsidRPr="00D6213B">
        <w:rPr>
          <w:rFonts w:eastAsia="Calibri"/>
          <w:b/>
          <w:color w:val="000000" w:themeColor="text1"/>
          <w:spacing w:val="-5"/>
          <w:sz w:val="19"/>
          <w:szCs w:val="19"/>
          <w:lang w:val="en-US"/>
        </w:rPr>
        <w:t xml:space="preserve"> </w:t>
      </w:r>
      <w:r w:rsidRPr="00D6213B">
        <w:rPr>
          <w:rFonts w:eastAsia="Calibri"/>
          <w:b/>
          <w:color w:val="000000" w:themeColor="text1"/>
          <w:spacing w:val="-2"/>
          <w:sz w:val="19"/>
          <w:szCs w:val="19"/>
          <w:lang w:val="en-US"/>
        </w:rPr>
        <w:t>t</w:t>
      </w:r>
      <w:r w:rsidRPr="00D6213B">
        <w:rPr>
          <w:rFonts w:eastAsia="Calibri"/>
          <w:b/>
          <w:color w:val="000000" w:themeColor="text1"/>
          <w:sz w:val="19"/>
          <w:szCs w:val="19"/>
          <w:lang w:val="en-US"/>
        </w:rPr>
        <w:t>his</w:t>
      </w:r>
      <w:r w:rsidRPr="00D6213B">
        <w:rPr>
          <w:rFonts w:eastAsia="Calibri"/>
          <w:b/>
          <w:color w:val="000000" w:themeColor="text1"/>
          <w:spacing w:val="-5"/>
          <w:sz w:val="19"/>
          <w:szCs w:val="19"/>
          <w:lang w:val="en-US"/>
        </w:rPr>
        <w:t xml:space="preserve"> </w:t>
      </w:r>
      <w:r w:rsidRPr="00D6213B">
        <w:rPr>
          <w:rFonts w:eastAsia="Calibri"/>
          <w:b/>
          <w:color w:val="000000" w:themeColor="text1"/>
          <w:spacing w:val="-2"/>
          <w:sz w:val="19"/>
          <w:szCs w:val="19"/>
          <w:lang w:val="en-US"/>
        </w:rPr>
        <w:t>c</w:t>
      </w:r>
      <w:r w:rsidRPr="00D6213B">
        <w:rPr>
          <w:rFonts w:eastAsia="Calibri"/>
          <w:b/>
          <w:color w:val="000000" w:themeColor="text1"/>
          <w:sz w:val="19"/>
          <w:szCs w:val="19"/>
          <w:lang w:val="en-US"/>
        </w:rPr>
        <w:t>onsult</w:t>
      </w:r>
      <w:r w:rsidRPr="00D6213B">
        <w:rPr>
          <w:rFonts w:eastAsia="Calibri"/>
          <w:b/>
          <w:color w:val="000000" w:themeColor="text1"/>
          <w:spacing w:val="-2"/>
          <w:sz w:val="19"/>
          <w:szCs w:val="19"/>
          <w:lang w:val="en-US"/>
        </w:rPr>
        <w:t>a</w:t>
      </w:r>
      <w:r w:rsidRPr="00D6213B">
        <w:rPr>
          <w:rFonts w:eastAsia="Calibri"/>
          <w:b/>
          <w:color w:val="000000" w:themeColor="text1"/>
          <w:sz w:val="19"/>
          <w:szCs w:val="19"/>
          <w:lang w:val="en-US"/>
        </w:rPr>
        <w:t>tion</w:t>
      </w:r>
      <w:r w:rsidRPr="00D6213B">
        <w:rPr>
          <w:rFonts w:eastAsia="Calibri"/>
          <w:b/>
          <w:color w:val="000000" w:themeColor="text1"/>
          <w:spacing w:val="-6"/>
          <w:sz w:val="19"/>
          <w:szCs w:val="19"/>
          <w:lang w:val="en-US"/>
        </w:rPr>
        <w:t xml:space="preserve"> </w:t>
      </w:r>
      <w:r w:rsidRPr="00D6213B">
        <w:rPr>
          <w:rFonts w:eastAsia="Calibri"/>
          <w:b/>
          <w:color w:val="000000" w:themeColor="text1"/>
          <w:spacing w:val="1"/>
          <w:sz w:val="19"/>
          <w:szCs w:val="19"/>
          <w:lang w:val="en-US"/>
        </w:rPr>
        <w:t>i</w:t>
      </w:r>
      <w:r w:rsidRPr="00D6213B">
        <w:rPr>
          <w:rFonts w:eastAsia="Calibri"/>
          <w:b/>
          <w:color w:val="000000" w:themeColor="text1"/>
          <w:sz w:val="19"/>
          <w:szCs w:val="19"/>
          <w:lang w:val="en-US"/>
        </w:rPr>
        <w:t>s</w:t>
      </w:r>
      <w:r w:rsidRPr="00D6213B">
        <w:rPr>
          <w:rFonts w:eastAsia="Calibri"/>
          <w:b/>
          <w:color w:val="000000" w:themeColor="text1"/>
          <w:spacing w:val="-7"/>
          <w:sz w:val="19"/>
          <w:szCs w:val="19"/>
          <w:lang w:val="en-US"/>
        </w:rPr>
        <w:t xml:space="preserve"> </w:t>
      </w:r>
      <w:r w:rsidRPr="00D6213B">
        <w:rPr>
          <w:rFonts w:eastAsia="Calibri"/>
          <w:b/>
          <w:color w:val="000000" w:themeColor="text1"/>
          <w:sz w:val="19"/>
          <w:szCs w:val="19"/>
          <w:lang w:val="en-US"/>
        </w:rPr>
        <w:t>to</w:t>
      </w:r>
      <w:r w:rsidRPr="00D6213B">
        <w:rPr>
          <w:rFonts w:eastAsia="Calibri"/>
          <w:b/>
          <w:color w:val="000000" w:themeColor="text1"/>
          <w:spacing w:val="-5"/>
          <w:sz w:val="19"/>
          <w:szCs w:val="19"/>
          <w:lang w:val="en-US"/>
        </w:rPr>
        <w:t xml:space="preserve"> </w:t>
      </w:r>
      <w:r w:rsidRPr="00D6213B">
        <w:rPr>
          <w:rFonts w:eastAsia="Calibri"/>
          <w:b/>
          <w:color w:val="000000" w:themeColor="text1"/>
          <w:sz w:val="19"/>
          <w:szCs w:val="19"/>
          <w:lang w:val="en-US"/>
        </w:rPr>
        <w:t>a</w:t>
      </w:r>
      <w:r w:rsidRPr="00D6213B">
        <w:rPr>
          <w:rFonts w:eastAsia="Calibri"/>
          <w:b/>
          <w:color w:val="000000" w:themeColor="text1"/>
          <w:spacing w:val="-2"/>
          <w:sz w:val="19"/>
          <w:szCs w:val="19"/>
          <w:lang w:val="en-US"/>
        </w:rPr>
        <w:t>s</w:t>
      </w:r>
      <w:r w:rsidRPr="00D6213B">
        <w:rPr>
          <w:rFonts w:eastAsia="Calibri"/>
          <w:b/>
          <w:color w:val="000000" w:themeColor="text1"/>
          <w:sz w:val="19"/>
          <w:szCs w:val="19"/>
          <w:lang w:val="en-US"/>
        </w:rPr>
        <w:t>k</w:t>
      </w:r>
      <w:r w:rsidRPr="00D6213B">
        <w:rPr>
          <w:rFonts w:eastAsia="Calibri"/>
          <w:b/>
          <w:color w:val="000000" w:themeColor="text1"/>
          <w:spacing w:val="-6"/>
          <w:sz w:val="19"/>
          <w:szCs w:val="19"/>
          <w:lang w:val="en-US"/>
        </w:rPr>
        <w:t xml:space="preserve"> </w:t>
      </w:r>
      <w:r w:rsidRPr="00D6213B">
        <w:rPr>
          <w:rFonts w:eastAsia="Calibri"/>
          <w:b/>
          <w:color w:val="000000" w:themeColor="text1"/>
          <w:sz w:val="19"/>
          <w:szCs w:val="19"/>
          <w:lang w:val="en-US"/>
        </w:rPr>
        <w:t>wh</w:t>
      </w:r>
      <w:r w:rsidRPr="00D6213B">
        <w:rPr>
          <w:rFonts w:eastAsia="Calibri"/>
          <w:b/>
          <w:color w:val="000000" w:themeColor="text1"/>
          <w:spacing w:val="-2"/>
          <w:sz w:val="19"/>
          <w:szCs w:val="19"/>
          <w:lang w:val="en-US"/>
        </w:rPr>
        <w:t>e</w:t>
      </w:r>
      <w:r w:rsidRPr="00D6213B">
        <w:rPr>
          <w:rFonts w:eastAsia="Calibri"/>
          <w:b/>
          <w:color w:val="000000" w:themeColor="text1"/>
          <w:spacing w:val="-1"/>
          <w:sz w:val="19"/>
          <w:szCs w:val="19"/>
          <w:lang w:val="en-US"/>
        </w:rPr>
        <w:t>t</w:t>
      </w:r>
      <w:r w:rsidRPr="00D6213B">
        <w:rPr>
          <w:rFonts w:eastAsia="Calibri"/>
          <w:b/>
          <w:color w:val="000000" w:themeColor="text1"/>
          <w:sz w:val="19"/>
          <w:szCs w:val="19"/>
          <w:lang w:val="en-US"/>
        </w:rPr>
        <w:t>h</w:t>
      </w:r>
      <w:r w:rsidRPr="00D6213B">
        <w:rPr>
          <w:rFonts w:eastAsia="Calibri"/>
          <w:b/>
          <w:color w:val="000000" w:themeColor="text1"/>
          <w:spacing w:val="-2"/>
          <w:sz w:val="19"/>
          <w:szCs w:val="19"/>
          <w:lang w:val="en-US"/>
        </w:rPr>
        <w:t>e</w:t>
      </w:r>
      <w:r w:rsidRPr="00D6213B">
        <w:rPr>
          <w:rFonts w:eastAsia="Calibri"/>
          <w:b/>
          <w:color w:val="000000" w:themeColor="text1"/>
          <w:sz w:val="19"/>
          <w:szCs w:val="19"/>
          <w:lang w:val="en-US"/>
        </w:rPr>
        <w:t>r</w:t>
      </w:r>
      <w:r w:rsidRPr="00D6213B">
        <w:rPr>
          <w:rFonts w:eastAsia="Calibri"/>
          <w:b/>
          <w:color w:val="000000" w:themeColor="text1"/>
          <w:spacing w:val="-3"/>
          <w:sz w:val="19"/>
          <w:szCs w:val="19"/>
          <w:lang w:val="en-US"/>
        </w:rPr>
        <w:t xml:space="preserve"> y</w:t>
      </w:r>
      <w:r w:rsidRPr="00D6213B">
        <w:rPr>
          <w:rFonts w:eastAsia="Calibri"/>
          <w:b/>
          <w:color w:val="000000" w:themeColor="text1"/>
          <w:sz w:val="19"/>
          <w:szCs w:val="19"/>
          <w:lang w:val="en-US"/>
        </w:rPr>
        <w:t>ou</w:t>
      </w:r>
      <w:r w:rsidRPr="00D6213B">
        <w:rPr>
          <w:rFonts w:eastAsia="Calibri"/>
          <w:b/>
          <w:color w:val="000000" w:themeColor="text1"/>
          <w:spacing w:val="-5"/>
          <w:sz w:val="19"/>
          <w:szCs w:val="19"/>
          <w:lang w:val="en-US"/>
        </w:rPr>
        <w:t xml:space="preserve"> </w:t>
      </w:r>
      <w:r w:rsidRPr="00D6213B">
        <w:rPr>
          <w:rFonts w:eastAsia="Calibri"/>
          <w:b/>
          <w:color w:val="000000" w:themeColor="text1"/>
          <w:sz w:val="19"/>
          <w:szCs w:val="19"/>
          <w:lang w:val="en-US"/>
        </w:rPr>
        <w:t>h</w:t>
      </w:r>
      <w:r w:rsidRPr="00D6213B">
        <w:rPr>
          <w:rFonts w:eastAsia="Calibri"/>
          <w:b/>
          <w:color w:val="000000" w:themeColor="text1"/>
          <w:spacing w:val="1"/>
          <w:sz w:val="19"/>
          <w:szCs w:val="19"/>
          <w:lang w:val="en-US"/>
        </w:rPr>
        <w:t>a</w:t>
      </w:r>
      <w:r w:rsidRPr="00D6213B">
        <w:rPr>
          <w:rFonts w:eastAsia="Calibri"/>
          <w:b/>
          <w:color w:val="000000" w:themeColor="text1"/>
          <w:spacing w:val="-3"/>
          <w:sz w:val="19"/>
          <w:szCs w:val="19"/>
          <w:lang w:val="en-US"/>
        </w:rPr>
        <w:t>v</w:t>
      </w:r>
      <w:r w:rsidRPr="00D6213B">
        <w:rPr>
          <w:rFonts w:eastAsia="Calibri"/>
          <w:b/>
          <w:color w:val="000000" w:themeColor="text1"/>
          <w:sz w:val="19"/>
          <w:szCs w:val="19"/>
          <w:lang w:val="en-US"/>
        </w:rPr>
        <w:t>e</w:t>
      </w:r>
      <w:r w:rsidRPr="00D6213B">
        <w:rPr>
          <w:rFonts w:eastAsia="Calibri"/>
          <w:b/>
          <w:color w:val="000000" w:themeColor="text1"/>
          <w:spacing w:val="-6"/>
          <w:sz w:val="19"/>
          <w:szCs w:val="19"/>
          <w:lang w:val="en-US"/>
        </w:rPr>
        <w:t xml:space="preserve"> </w:t>
      </w:r>
      <w:r w:rsidRPr="00D6213B">
        <w:rPr>
          <w:rFonts w:eastAsia="Calibri"/>
          <w:b/>
          <w:color w:val="000000" w:themeColor="text1"/>
          <w:sz w:val="19"/>
          <w:szCs w:val="19"/>
          <w:lang w:val="en-US"/>
        </w:rPr>
        <w:t>a</w:t>
      </w:r>
      <w:r w:rsidRPr="00D6213B">
        <w:rPr>
          <w:rFonts w:eastAsia="Calibri"/>
          <w:b/>
          <w:color w:val="000000" w:themeColor="text1"/>
          <w:spacing w:val="1"/>
          <w:sz w:val="19"/>
          <w:szCs w:val="19"/>
          <w:lang w:val="en-US"/>
        </w:rPr>
        <w:t>n</w:t>
      </w:r>
      <w:r w:rsidRPr="00D6213B">
        <w:rPr>
          <w:rFonts w:eastAsia="Calibri"/>
          <w:b/>
          <w:color w:val="000000" w:themeColor="text1"/>
          <w:sz w:val="19"/>
          <w:szCs w:val="19"/>
          <w:lang w:val="en-US"/>
        </w:rPr>
        <w:t>y</w:t>
      </w:r>
      <w:r w:rsidRPr="00D6213B">
        <w:rPr>
          <w:rFonts w:eastAsia="Calibri"/>
          <w:b/>
          <w:color w:val="000000" w:themeColor="text1"/>
          <w:spacing w:val="-5"/>
          <w:sz w:val="19"/>
          <w:szCs w:val="19"/>
          <w:lang w:val="en-US"/>
        </w:rPr>
        <w:t xml:space="preserve"> </w:t>
      </w:r>
      <w:r w:rsidRPr="00D6213B">
        <w:rPr>
          <w:rFonts w:eastAsia="Calibri"/>
          <w:b/>
          <w:color w:val="000000" w:themeColor="text1"/>
          <w:spacing w:val="-2"/>
          <w:sz w:val="19"/>
          <w:szCs w:val="19"/>
          <w:lang w:val="en-US"/>
        </w:rPr>
        <w:t>c</w:t>
      </w:r>
      <w:r w:rsidRPr="00D6213B">
        <w:rPr>
          <w:rFonts w:eastAsia="Calibri"/>
          <w:b/>
          <w:color w:val="000000" w:themeColor="text1"/>
          <w:sz w:val="19"/>
          <w:szCs w:val="19"/>
          <w:lang w:val="en-US"/>
        </w:rPr>
        <w:t>omments</w:t>
      </w:r>
      <w:r w:rsidRPr="00D6213B">
        <w:rPr>
          <w:rFonts w:eastAsia="Calibri"/>
          <w:b/>
          <w:color w:val="000000" w:themeColor="text1"/>
          <w:spacing w:val="-7"/>
          <w:sz w:val="19"/>
          <w:szCs w:val="19"/>
          <w:lang w:val="en-US"/>
        </w:rPr>
        <w:t xml:space="preserve"> </w:t>
      </w:r>
      <w:r w:rsidRPr="00D6213B">
        <w:rPr>
          <w:rFonts w:eastAsia="Calibri"/>
          <w:b/>
          <w:color w:val="000000" w:themeColor="text1"/>
          <w:spacing w:val="1"/>
          <w:sz w:val="19"/>
          <w:szCs w:val="19"/>
          <w:lang w:val="en-US"/>
        </w:rPr>
        <w:t>r</w:t>
      </w:r>
      <w:r w:rsidRPr="00D6213B">
        <w:rPr>
          <w:rFonts w:eastAsia="Calibri"/>
          <w:b/>
          <w:color w:val="000000" w:themeColor="text1"/>
          <w:spacing w:val="-2"/>
          <w:sz w:val="19"/>
          <w:szCs w:val="19"/>
          <w:lang w:val="en-US"/>
        </w:rPr>
        <w:t>e</w:t>
      </w:r>
      <w:r w:rsidRPr="00D6213B">
        <w:rPr>
          <w:rFonts w:eastAsia="Calibri"/>
          <w:b/>
          <w:color w:val="000000" w:themeColor="text1"/>
          <w:sz w:val="19"/>
          <w:szCs w:val="19"/>
          <w:lang w:val="en-US"/>
        </w:rPr>
        <w:t>l</w:t>
      </w:r>
      <w:r w:rsidRPr="00D6213B">
        <w:rPr>
          <w:rFonts w:eastAsia="Calibri"/>
          <w:b/>
          <w:color w:val="000000" w:themeColor="text1"/>
          <w:spacing w:val="1"/>
          <w:sz w:val="19"/>
          <w:szCs w:val="19"/>
          <w:lang w:val="en-US"/>
        </w:rPr>
        <w:t>e</w:t>
      </w:r>
      <w:r w:rsidRPr="00D6213B">
        <w:rPr>
          <w:rFonts w:eastAsia="Calibri"/>
          <w:b/>
          <w:color w:val="000000" w:themeColor="text1"/>
          <w:spacing w:val="-3"/>
          <w:sz w:val="19"/>
          <w:szCs w:val="19"/>
          <w:lang w:val="en-US"/>
        </w:rPr>
        <w:t>v</w:t>
      </w:r>
      <w:r w:rsidRPr="00D6213B">
        <w:rPr>
          <w:rFonts w:eastAsia="Calibri"/>
          <w:b/>
          <w:color w:val="000000" w:themeColor="text1"/>
          <w:sz w:val="19"/>
          <w:szCs w:val="19"/>
          <w:lang w:val="en-US"/>
        </w:rPr>
        <w:t>ant</w:t>
      </w:r>
      <w:r w:rsidRPr="00D6213B">
        <w:rPr>
          <w:rFonts w:eastAsia="Calibri"/>
          <w:b/>
          <w:color w:val="000000" w:themeColor="text1"/>
          <w:spacing w:val="-5"/>
          <w:sz w:val="19"/>
          <w:szCs w:val="19"/>
          <w:lang w:val="en-US"/>
        </w:rPr>
        <w:t xml:space="preserve"> </w:t>
      </w:r>
      <w:r w:rsidRPr="00D6213B">
        <w:rPr>
          <w:rFonts w:eastAsia="Calibri"/>
          <w:b/>
          <w:color w:val="000000" w:themeColor="text1"/>
          <w:sz w:val="19"/>
          <w:szCs w:val="19"/>
          <w:lang w:val="en-US"/>
        </w:rPr>
        <w:t>to</w:t>
      </w:r>
      <w:r w:rsidRPr="00D6213B">
        <w:rPr>
          <w:rFonts w:eastAsia="Calibri"/>
          <w:b/>
          <w:color w:val="000000" w:themeColor="text1"/>
          <w:w w:val="99"/>
          <w:sz w:val="19"/>
          <w:szCs w:val="19"/>
          <w:lang w:val="en-US"/>
        </w:rPr>
        <w:t xml:space="preserve"> </w:t>
      </w:r>
      <w:r w:rsidRPr="00D6213B">
        <w:rPr>
          <w:rFonts w:eastAsia="Calibri"/>
          <w:b/>
          <w:color w:val="000000" w:themeColor="text1"/>
          <w:spacing w:val="-1"/>
          <w:sz w:val="19"/>
          <w:szCs w:val="19"/>
          <w:lang w:val="en-US"/>
        </w:rPr>
        <w:t>th</w:t>
      </w:r>
      <w:r w:rsidRPr="00D6213B">
        <w:rPr>
          <w:rFonts w:eastAsia="Calibri"/>
          <w:b/>
          <w:color w:val="000000" w:themeColor="text1"/>
          <w:sz w:val="19"/>
          <w:szCs w:val="19"/>
          <w:lang w:val="en-US"/>
        </w:rPr>
        <w:t>e</w:t>
      </w:r>
      <w:r w:rsidRPr="00D6213B">
        <w:rPr>
          <w:rFonts w:eastAsia="Calibri"/>
          <w:b/>
          <w:color w:val="000000" w:themeColor="text1"/>
          <w:spacing w:val="-11"/>
          <w:sz w:val="19"/>
          <w:szCs w:val="19"/>
          <w:lang w:val="en-US"/>
        </w:rPr>
        <w:t xml:space="preserve"> </w:t>
      </w:r>
      <w:r w:rsidRPr="00D6213B">
        <w:rPr>
          <w:rFonts w:eastAsia="Calibri"/>
          <w:b/>
          <w:color w:val="000000" w:themeColor="text1"/>
          <w:spacing w:val="-1"/>
          <w:sz w:val="19"/>
          <w:szCs w:val="19"/>
          <w:lang w:val="en-US"/>
        </w:rPr>
        <w:t>p</w:t>
      </w:r>
      <w:r w:rsidRPr="00D6213B">
        <w:rPr>
          <w:rFonts w:eastAsia="Calibri"/>
          <w:b/>
          <w:color w:val="000000" w:themeColor="text1"/>
          <w:spacing w:val="-2"/>
          <w:sz w:val="19"/>
          <w:szCs w:val="19"/>
          <w:lang w:val="en-US"/>
        </w:rPr>
        <w:t>e</w:t>
      </w:r>
      <w:r w:rsidRPr="00D6213B">
        <w:rPr>
          <w:rFonts w:eastAsia="Calibri"/>
          <w:b/>
          <w:color w:val="000000" w:themeColor="text1"/>
          <w:spacing w:val="-1"/>
          <w:sz w:val="19"/>
          <w:szCs w:val="19"/>
          <w:lang w:val="en-US"/>
        </w:rPr>
        <w:t>rm</w:t>
      </w:r>
      <w:r w:rsidRPr="00D6213B">
        <w:rPr>
          <w:rFonts w:eastAsia="Calibri"/>
          <w:b/>
          <w:color w:val="000000" w:themeColor="text1"/>
          <w:spacing w:val="1"/>
          <w:sz w:val="19"/>
          <w:szCs w:val="19"/>
          <w:lang w:val="en-US"/>
        </w:rPr>
        <w:t>i</w:t>
      </w:r>
      <w:r w:rsidRPr="00D6213B">
        <w:rPr>
          <w:rFonts w:eastAsia="Calibri"/>
          <w:b/>
          <w:color w:val="000000" w:themeColor="text1"/>
          <w:sz w:val="19"/>
          <w:szCs w:val="19"/>
          <w:lang w:val="en-US"/>
        </w:rPr>
        <w:t>t</w:t>
      </w:r>
      <w:r w:rsidRPr="00D6213B">
        <w:rPr>
          <w:rFonts w:eastAsia="Calibri"/>
          <w:b/>
          <w:color w:val="000000" w:themeColor="text1"/>
          <w:spacing w:val="-10"/>
          <w:sz w:val="19"/>
          <w:szCs w:val="19"/>
          <w:lang w:val="en-US"/>
        </w:rPr>
        <w:t xml:space="preserve"> </w:t>
      </w:r>
      <w:r w:rsidRPr="00D6213B">
        <w:rPr>
          <w:rFonts w:eastAsia="Calibri"/>
          <w:b/>
          <w:color w:val="000000" w:themeColor="text1"/>
          <w:spacing w:val="-2"/>
          <w:sz w:val="19"/>
          <w:szCs w:val="19"/>
          <w:lang w:val="en-US"/>
        </w:rPr>
        <w:t>a</w:t>
      </w:r>
      <w:r w:rsidRPr="00D6213B">
        <w:rPr>
          <w:rFonts w:eastAsia="Calibri"/>
          <w:b/>
          <w:color w:val="000000" w:themeColor="text1"/>
          <w:spacing w:val="-1"/>
          <w:sz w:val="19"/>
          <w:szCs w:val="19"/>
          <w:lang w:val="en-US"/>
        </w:rPr>
        <w:t>ppl</w:t>
      </w:r>
      <w:r w:rsidRPr="00D6213B">
        <w:rPr>
          <w:rFonts w:eastAsia="Calibri"/>
          <w:b/>
          <w:color w:val="000000" w:themeColor="text1"/>
          <w:spacing w:val="1"/>
          <w:sz w:val="19"/>
          <w:szCs w:val="19"/>
          <w:lang w:val="en-US"/>
        </w:rPr>
        <w:t>i</w:t>
      </w:r>
      <w:r w:rsidRPr="00D6213B">
        <w:rPr>
          <w:rFonts w:eastAsia="Calibri"/>
          <w:b/>
          <w:color w:val="000000" w:themeColor="text1"/>
          <w:spacing w:val="-2"/>
          <w:sz w:val="19"/>
          <w:szCs w:val="19"/>
          <w:lang w:val="en-US"/>
        </w:rPr>
        <w:t>c</w:t>
      </w:r>
      <w:r w:rsidRPr="00D6213B">
        <w:rPr>
          <w:rFonts w:eastAsia="Calibri"/>
          <w:b/>
          <w:color w:val="000000" w:themeColor="text1"/>
          <w:spacing w:val="-1"/>
          <w:sz w:val="19"/>
          <w:szCs w:val="19"/>
          <w:lang w:val="en-US"/>
        </w:rPr>
        <w:t>a</w:t>
      </w:r>
      <w:r w:rsidRPr="00D6213B">
        <w:rPr>
          <w:rFonts w:eastAsia="Calibri"/>
          <w:b/>
          <w:color w:val="000000" w:themeColor="text1"/>
          <w:spacing w:val="-2"/>
          <w:sz w:val="19"/>
          <w:szCs w:val="19"/>
          <w:lang w:val="en-US"/>
        </w:rPr>
        <w:t>t</w:t>
      </w:r>
      <w:r w:rsidRPr="00D6213B">
        <w:rPr>
          <w:rFonts w:eastAsia="Calibri"/>
          <w:b/>
          <w:color w:val="000000" w:themeColor="text1"/>
          <w:spacing w:val="1"/>
          <w:sz w:val="19"/>
          <w:szCs w:val="19"/>
          <w:lang w:val="en-US"/>
        </w:rPr>
        <w:t>i</w:t>
      </w:r>
      <w:r w:rsidRPr="00D6213B">
        <w:rPr>
          <w:rFonts w:eastAsia="Calibri"/>
          <w:b/>
          <w:color w:val="000000" w:themeColor="text1"/>
          <w:spacing w:val="-1"/>
          <w:sz w:val="19"/>
          <w:szCs w:val="19"/>
          <w:lang w:val="en-US"/>
        </w:rPr>
        <w:t>on</w:t>
      </w:r>
    </w:p>
    <w:p w14:paraId="2449DECC" w14:textId="77777777" w:rsidR="003F7372" w:rsidRPr="00D6213B" w:rsidRDefault="003F7372" w:rsidP="003F7372">
      <w:pPr>
        <w:rPr>
          <w:color w:val="000000" w:themeColor="text1"/>
          <w:sz w:val="19"/>
          <w:szCs w:val="19"/>
        </w:rPr>
      </w:pPr>
      <w:r w:rsidRPr="00D6213B">
        <w:rPr>
          <w:color w:val="000000" w:themeColor="text1"/>
          <w:sz w:val="19"/>
          <w:szCs w:val="19"/>
        </w:rPr>
        <w:t>We want to make the best decision when permitting. Listening to the views of others helps us to take account of concerns, or local environmental factors, that we may not be otherwise aware of.</w:t>
      </w:r>
    </w:p>
    <w:p w14:paraId="40F4FE8B" w14:textId="6BB83399" w:rsidR="003F7372" w:rsidRPr="00D6213B" w:rsidRDefault="003F7372" w:rsidP="003F7372">
      <w:pPr>
        <w:rPr>
          <w:color w:val="000000" w:themeColor="text1"/>
          <w:sz w:val="19"/>
          <w:szCs w:val="19"/>
        </w:rPr>
      </w:pPr>
      <w:r w:rsidRPr="00D6213B">
        <w:rPr>
          <w:color w:val="000000" w:themeColor="text1"/>
          <w:sz w:val="19"/>
          <w:szCs w:val="19"/>
        </w:rPr>
        <w:t xml:space="preserve">We are seeking comments on the application for </w:t>
      </w:r>
      <w:r w:rsidR="00D6213B" w:rsidRPr="00D6213B">
        <w:rPr>
          <w:color w:val="000000" w:themeColor="text1"/>
          <w:sz w:val="19"/>
          <w:szCs w:val="19"/>
        </w:rPr>
        <w:t xml:space="preserve">H2 </w:t>
      </w:r>
      <w:proofErr w:type="spellStart"/>
      <w:r w:rsidR="00D6213B" w:rsidRPr="00D6213B">
        <w:rPr>
          <w:color w:val="000000" w:themeColor="text1"/>
          <w:sz w:val="19"/>
          <w:szCs w:val="19"/>
        </w:rPr>
        <w:t>Teeside</w:t>
      </w:r>
      <w:proofErr w:type="spellEnd"/>
      <w:r w:rsidR="00D6213B" w:rsidRPr="00D6213B">
        <w:rPr>
          <w:color w:val="000000" w:themeColor="text1"/>
          <w:sz w:val="19"/>
          <w:szCs w:val="19"/>
        </w:rPr>
        <w:t xml:space="preserve"> Limited</w:t>
      </w:r>
      <w:r w:rsidRPr="00D6213B">
        <w:rPr>
          <w:color w:val="000000" w:themeColor="text1"/>
          <w:sz w:val="19"/>
          <w:szCs w:val="19"/>
        </w:rPr>
        <w:t>. Please use the reference number below when making comments on this application.</w:t>
      </w:r>
    </w:p>
    <w:p w14:paraId="11D5EA73" w14:textId="77777777" w:rsidR="00AE4AC9" w:rsidRPr="00D6213B" w:rsidRDefault="00AE4AC9" w:rsidP="00AE4AC9">
      <w:pPr>
        <w:spacing w:after="0" w:line="240" w:lineRule="auto"/>
        <w:rPr>
          <w:color w:val="000000" w:themeColor="text1"/>
          <w:sz w:val="19"/>
          <w:szCs w:val="19"/>
        </w:rPr>
      </w:pPr>
    </w:p>
    <w:p w14:paraId="568FE9FC" w14:textId="4AADB062" w:rsidR="003F7372" w:rsidRPr="00D6213B" w:rsidRDefault="003F7372" w:rsidP="003F7372">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Permit Number: </w:t>
      </w:r>
      <w:r w:rsidR="00D6213B" w:rsidRPr="00D6213B">
        <w:rPr>
          <w:color w:val="000000" w:themeColor="text1"/>
          <w:sz w:val="19"/>
          <w:szCs w:val="19"/>
        </w:rPr>
        <w:t>EPR/AP3328SQ/A001</w:t>
      </w:r>
    </w:p>
    <w:p w14:paraId="6E32FDA7" w14:textId="4CFD5942" w:rsidR="00D6213B" w:rsidRPr="00D6213B" w:rsidRDefault="003F7372"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Regulated facility type: </w:t>
      </w:r>
      <w:r w:rsidR="00D6213B" w:rsidRPr="00D6213B">
        <w:rPr>
          <w:color w:val="000000" w:themeColor="text1"/>
          <w:sz w:val="19"/>
          <w:szCs w:val="19"/>
        </w:rPr>
        <w:t xml:space="preserve">The proposed installation includes the following EPR Schedule 1 activities: </w:t>
      </w:r>
    </w:p>
    <w:p w14:paraId="3539F09F" w14:textId="5121D1E8" w:rsidR="00D6213B" w:rsidRPr="00D6213B" w:rsidRDefault="00D6213B"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S4.2 Part A (1) (a) (</w:t>
      </w:r>
      <w:proofErr w:type="spellStart"/>
      <w:r w:rsidRPr="00D6213B">
        <w:rPr>
          <w:color w:val="000000" w:themeColor="text1"/>
          <w:sz w:val="19"/>
          <w:szCs w:val="19"/>
        </w:rPr>
        <w:t>i</w:t>
      </w:r>
      <w:proofErr w:type="spellEnd"/>
      <w:r w:rsidRPr="00D6213B">
        <w:rPr>
          <w:color w:val="000000" w:themeColor="text1"/>
          <w:sz w:val="19"/>
          <w:szCs w:val="19"/>
        </w:rPr>
        <w:t>) - Producing inorganic chemicals (hydrogen) - Two trains</w:t>
      </w:r>
    </w:p>
    <w:p w14:paraId="078D88BF" w14:textId="52F306E8" w:rsidR="00D6213B" w:rsidRPr="00D6213B" w:rsidRDefault="00D6213B"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S1.1 Part A (1) (a) Burning any fuel in appliances with aggregated rated thermal input of 50 or more megawatts</w:t>
      </w:r>
    </w:p>
    <w:p w14:paraId="7D1896A5" w14:textId="3DB6D904" w:rsidR="00D6213B" w:rsidRPr="00D6213B" w:rsidRDefault="00D6213B"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 S6.10 Part A (1) (a) - Capture of carbon dioxide for geological storage</w:t>
      </w:r>
    </w:p>
    <w:p w14:paraId="5B71698C" w14:textId="12640A9D" w:rsidR="00D6213B" w:rsidRPr="00D6213B" w:rsidRDefault="00D6213B"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 S5.4 Part A (1) (a) (</w:t>
      </w:r>
      <w:proofErr w:type="spellStart"/>
      <w:r w:rsidRPr="00D6213B">
        <w:rPr>
          <w:color w:val="000000" w:themeColor="text1"/>
          <w:sz w:val="19"/>
          <w:szCs w:val="19"/>
        </w:rPr>
        <w:t>i</w:t>
      </w:r>
      <w:proofErr w:type="spellEnd"/>
      <w:r w:rsidRPr="00D6213B">
        <w:rPr>
          <w:color w:val="000000" w:themeColor="text1"/>
          <w:sz w:val="19"/>
          <w:szCs w:val="19"/>
        </w:rPr>
        <w:t>) - Disposal of non-hazardous waste with a capacity exceeding 50 tonnes per day by biological treatment - Membrane Bio-Reactor effluent treatment plant</w:t>
      </w:r>
    </w:p>
    <w:p w14:paraId="5C5CD876" w14:textId="5C4D6304" w:rsidR="00D6213B" w:rsidRPr="00D6213B" w:rsidRDefault="00D6213B"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 S5.4 Part A (1) (a) (ii) - Disposal of non-hazardous waste with a capacity exceeding 50 tonnes per day by </w:t>
      </w:r>
      <w:proofErr w:type="spellStart"/>
      <w:r w:rsidRPr="00D6213B">
        <w:rPr>
          <w:color w:val="000000" w:themeColor="text1"/>
          <w:sz w:val="19"/>
          <w:szCs w:val="19"/>
        </w:rPr>
        <w:t>physico</w:t>
      </w:r>
      <w:proofErr w:type="spellEnd"/>
      <w:r w:rsidRPr="00D6213B">
        <w:rPr>
          <w:color w:val="000000" w:themeColor="text1"/>
          <w:sz w:val="19"/>
          <w:szCs w:val="19"/>
        </w:rPr>
        <w:t>-chemical treatment - Effluent treatment plant Media Filtration</w:t>
      </w:r>
    </w:p>
    <w:p w14:paraId="6A1048D4" w14:textId="77172CAA" w:rsidR="003F7372" w:rsidRPr="00D6213B" w:rsidRDefault="00D6213B"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 S5.4 Part A (1) (a) (ii) - Disposal of non-hazardous waste with a capacity exceeding 50 tonnes per day by </w:t>
      </w:r>
      <w:proofErr w:type="spellStart"/>
      <w:r w:rsidRPr="00D6213B">
        <w:rPr>
          <w:color w:val="000000" w:themeColor="text1"/>
          <w:sz w:val="19"/>
          <w:szCs w:val="19"/>
        </w:rPr>
        <w:t>physico</w:t>
      </w:r>
      <w:proofErr w:type="spellEnd"/>
      <w:r w:rsidRPr="00D6213B">
        <w:rPr>
          <w:color w:val="000000" w:themeColor="text1"/>
          <w:sz w:val="19"/>
          <w:szCs w:val="19"/>
        </w:rPr>
        <w:t>-chemical treatment - Oily water treatment plant</w:t>
      </w:r>
    </w:p>
    <w:p w14:paraId="0DC6D685" w14:textId="5B60D99B" w:rsidR="00653861" w:rsidRPr="00D6213B" w:rsidRDefault="003F7372" w:rsidP="00D6213B">
      <w:pPr>
        <w:pStyle w:val="ListParagraph"/>
        <w:numPr>
          <w:ilvl w:val="0"/>
          <w:numId w:val="1"/>
        </w:numPr>
        <w:spacing w:line="480" w:lineRule="auto"/>
        <w:rPr>
          <w:color w:val="000000" w:themeColor="text1"/>
          <w:sz w:val="19"/>
          <w:szCs w:val="19"/>
        </w:rPr>
      </w:pPr>
      <w:r w:rsidRPr="00D6213B">
        <w:rPr>
          <w:color w:val="000000" w:themeColor="text1"/>
          <w:sz w:val="19"/>
          <w:szCs w:val="19"/>
        </w:rPr>
        <w:t xml:space="preserve">Regulated facility location: </w:t>
      </w:r>
      <w:r w:rsidR="00D6213B" w:rsidRPr="00D6213B">
        <w:rPr>
          <w:color w:val="000000" w:themeColor="text1"/>
          <w:sz w:val="19"/>
          <w:szCs w:val="19"/>
        </w:rPr>
        <w:t>H2Teesside</w:t>
      </w:r>
      <w:r w:rsidR="00D6213B" w:rsidRPr="00D6213B">
        <w:rPr>
          <w:color w:val="000000" w:themeColor="text1"/>
          <w:sz w:val="19"/>
          <w:szCs w:val="19"/>
        </w:rPr>
        <w:t xml:space="preserve">, </w:t>
      </w:r>
      <w:r w:rsidR="00D6213B" w:rsidRPr="00D6213B">
        <w:rPr>
          <w:color w:val="000000" w:themeColor="text1"/>
          <w:sz w:val="19"/>
          <w:szCs w:val="19"/>
        </w:rPr>
        <w:t>Land at &amp; in vicinity of former Redcar Steel Works</w:t>
      </w:r>
      <w:r w:rsidR="00D6213B" w:rsidRPr="00D6213B">
        <w:rPr>
          <w:color w:val="000000" w:themeColor="text1"/>
          <w:sz w:val="19"/>
          <w:szCs w:val="19"/>
        </w:rPr>
        <w:t xml:space="preserve">, </w:t>
      </w:r>
      <w:r w:rsidR="00D6213B" w:rsidRPr="00D6213B">
        <w:rPr>
          <w:color w:val="000000" w:themeColor="text1"/>
          <w:sz w:val="19"/>
          <w:szCs w:val="19"/>
        </w:rPr>
        <w:t>Redcar &amp; in Stockton-on-Tees</w:t>
      </w:r>
      <w:r w:rsidR="00D6213B" w:rsidRPr="00D6213B">
        <w:rPr>
          <w:color w:val="000000" w:themeColor="text1"/>
          <w:sz w:val="19"/>
          <w:szCs w:val="19"/>
        </w:rPr>
        <w:t xml:space="preserve">, </w:t>
      </w:r>
      <w:r w:rsidR="00D6213B" w:rsidRPr="00D6213B">
        <w:rPr>
          <w:color w:val="000000" w:themeColor="text1"/>
          <w:sz w:val="19"/>
          <w:szCs w:val="19"/>
        </w:rPr>
        <w:t>Teesside</w:t>
      </w:r>
      <w:r w:rsidR="00D6213B" w:rsidRPr="00D6213B">
        <w:rPr>
          <w:color w:val="000000" w:themeColor="text1"/>
          <w:sz w:val="19"/>
          <w:szCs w:val="19"/>
        </w:rPr>
        <w:t xml:space="preserve">, </w:t>
      </w:r>
      <w:r w:rsidR="00D6213B" w:rsidRPr="00D6213B">
        <w:rPr>
          <w:color w:val="000000" w:themeColor="text1"/>
          <w:sz w:val="19"/>
          <w:szCs w:val="19"/>
        </w:rPr>
        <w:t>TS10 5QW</w:t>
      </w:r>
    </w:p>
    <w:p w14:paraId="20205634"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1397D0FA"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4238B041"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13CE989D" w14:textId="77777777" w:rsidR="00AE4AC9" w:rsidRDefault="00AE4AC9" w:rsidP="00AE4AC9">
      <w:pPr>
        <w:spacing w:after="0" w:line="276" w:lineRule="auto"/>
        <w:rPr>
          <w:sz w:val="19"/>
          <w:szCs w:val="19"/>
        </w:rPr>
      </w:pPr>
    </w:p>
    <w:p w14:paraId="77C18132"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58643EA"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1AE83F74" w14:textId="77777777" w:rsidR="00AE4AC9" w:rsidRDefault="00AE4AC9" w:rsidP="00AE4AC9">
      <w:pPr>
        <w:spacing w:after="0" w:line="276" w:lineRule="auto"/>
        <w:rPr>
          <w:sz w:val="19"/>
          <w:szCs w:val="19"/>
        </w:rPr>
      </w:pPr>
    </w:p>
    <w:p w14:paraId="5AD6F7A4" w14:textId="77777777" w:rsidR="00AE4AC9" w:rsidRDefault="00AE4AC9" w:rsidP="00AE4AC9">
      <w:pPr>
        <w:spacing w:after="0" w:line="276" w:lineRule="auto"/>
        <w:rPr>
          <w:sz w:val="19"/>
          <w:szCs w:val="19"/>
        </w:rPr>
      </w:pPr>
      <w:r w:rsidRPr="00AE4AC9">
        <w:rPr>
          <w:sz w:val="19"/>
          <w:szCs w:val="19"/>
        </w:rPr>
        <w:lastRenderedPageBreak/>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03E738C1" w14:textId="77777777" w:rsidR="00AE4AC9" w:rsidRPr="00AE4AC9" w:rsidRDefault="00AE4AC9" w:rsidP="00AE4AC9">
      <w:pPr>
        <w:spacing w:after="0" w:line="276" w:lineRule="auto"/>
        <w:rPr>
          <w:sz w:val="19"/>
          <w:szCs w:val="19"/>
        </w:rPr>
      </w:pPr>
    </w:p>
    <w:p w14:paraId="58790659"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5F5740D"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2471E9E5"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4126C17F" w14:textId="77777777" w:rsidR="00FB468C" w:rsidRDefault="00FB468C" w:rsidP="00FB468C">
      <w:pPr>
        <w:spacing w:after="0" w:line="360" w:lineRule="auto"/>
        <w:rPr>
          <w:b/>
          <w:color w:val="538135" w:themeColor="accent6" w:themeShade="BF"/>
          <w:sz w:val="19"/>
          <w:szCs w:val="19"/>
        </w:rPr>
      </w:pPr>
    </w:p>
    <w:p w14:paraId="06D9EDAC"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17F8C5D"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4538C46B"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2DD427CC"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3F07784E" w14:textId="77777777" w:rsidR="00FB468C" w:rsidRDefault="00FB468C" w:rsidP="00FB468C">
      <w:pPr>
        <w:spacing w:after="0" w:line="240" w:lineRule="auto"/>
        <w:rPr>
          <w:sz w:val="19"/>
          <w:szCs w:val="19"/>
        </w:rPr>
      </w:pPr>
    </w:p>
    <w:p w14:paraId="1C9F0ED9"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D094B63" w14:textId="77777777" w:rsidR="00FB468C" w:rsidRDefault="00FB468C" w:rsidP="00FB468C">
      <w:pPr>
        <w:spacing w:after="0" w:line="276" w:lineRule="auto"/>
        <w:rPr>
          <w:sz w:val="19"/>
          <w:szCs w:val="19"/>
        </w:rPr>
      </w:pPr>
    </w:p>
    <w:p w14:paraId="089DE36B"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C2A3A2B" w14:textId="77777777" w:rsidR="00FB468C" w:rsidRPr="00FB468C" w:rsidRDefault="00FB468C" w:rsidP="00FB468C">
      <w:pPr>
        <w:spacing w:after="0" w:line="240" w:lineRule="auto"/>
        <w:rPr>
          <w:sz w:val="19"/>
          <w:szCs w:val="19"/>
        </w:rPr>
      </w:pPr>
      <w:r>
        <w:rPr>
          <w:sz w:val="19"/>
          <w:szCs w:val="19"/>
        </w:rPr>
        <w:tab/>
      </w:r>
    </w:p>
    <w:p w14:paraId="6B06433C"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6A4E36CD"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559946CA" w14:textId="77777777" w:rsidR="00AE4AC9" w:rsidRPr="00AE4AC9" w:rsidRDefault="00AE4AC9" w:rsidP="00AE4AC9">
      <w:pPr>
        <w:spacing w:line="240" w:lineRule="auto"/>
        <w:rPr>
          <w:sz w:val="19"/>
          <w:szCs w:val="19"/>
        </w:rPr>
      </w:pPr>
    </w:p>
    <w:p w14:paraId="743D97EF" w14:textId="77777777" w:rsidR="003F7372" w:rsidRPr="003F7372" w:rsidRDefault="003F7372" w:rsidP="003F7372">
      <w:pPr>
        <w:spacing w:line="480" w:lineRule="auto"/>
        <w:rPr>
          <w:sz w:val="19"/>
          <w:szCs w:val="19"/>
        </w:rPr>
      </w:pPr>
    </w:p>
    <w:p w14:paraId="79FAA2E2"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C691" w14:textId="77777777" w:rsidR="003E4D32" w:rsidRDefault="003E4D32" w:rsidP="00FE74C4">
      <w:pPr>
        <w:spacing w:after="0" w:line="240" w:lineRule="auto"/>
      </w:pPr>
      <w:r>
        <w:separator/>
      </w:r>
    </w:p>
  </w:endnote>
  <w:endnote w:type="continuationSeparator" w:id="0">
    <w:p w14:paraId="08A6C663"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B322" w14:textId="77777777" w:rsidR="00FE74C4" w:rsidRDefault="00FE74C4">
    <w:pPr>
      <w:pStyle w:val="Footer"/>
    </w:pPr>
    <w:r>
      <w:rPr>
        <w:noProof/>
        <w:lang w:eastAsia="en-GB"/>
      </w:rPr>
      <w:drawing>
        <wp:inline distT="0" distB="0" distL="0" distR="0" wp14:anchorId="368A3F5A" wp14:editId="70AD24B4">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DA87E" w14:textId="77777777" w:rsidR="003E4D32" w:rsidRDefault="003E4D32" w:rsidP="00FE74C4">
      <w:pPr>
        <w:spacing w:after="0" w:line="240" w:lineRule="auto"/>
      </w:pPr>
      <w:r>
        <w:separator/>
      </w:r>
    </w:p>
  </w:footnote>
  <w:footnote w:type="continuationSeparator" w:id="0">
    <w:p w14:paraId="5BDA0C5C"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73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2D0A4F"/>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D6213B"/>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E0D7"/>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2025-01-20T12:15:00Z</dcterms:created>
  <dcterms:modified xsi:type="dcterms:W3CDTF">2025-01-20T12:15:00Z</dcterms:modified>
</cp:coreProperties>
</file>