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CDC5" w14:textId="0D358949" w:rsidR="00D02341" w:rsidRPr="007F215D" w:rsidRDefault="00673CE8" w:rsidP="00BC0705">
      <w:pPr>
        <w:pStyle w:val="Act"/>
        <w:spacing w:before="0"/>
        <w:ind w:right="0"/>
        <w:rPr>
          <w:sz w:val="24"/>
          <w:szCs w:val="24"/>
        </w:rPr>
      </w:pPr>
      <w:r w:rsidRPr="007F215D">
        <w:rPr>
          <w:noProof/>
          <w:sz w:val="24"/>
          <w:szCs w:val="24"/>
        </w:rPr>
        <w:drawing>
          <wp:anchor distT="0" distB="0" distL="114300" distR="114300" simplePos="0" relativeHeight="251658240" behindDoc="0" locked="0" layoutInCell="1" allowOverlap="1" wp14:anchorId="74D8C2A8" wp14:editId="2515EED8">
            <wp:simplePos x="0" y="0"/>
            <wp:positionH relativeFrom="column">
              <wp:posOffset>2991485</wp:posOffset>
            </wp:positionH>
            <wp:positionV relativeFrom="paragraph">
              <wp:posOffset>0</wp:posOffset>
            </wp:positionV>
            <wp:extent cx="2705100" cy="885825"/>
            <wp:effectExtent l="0" t="0" r="0" b="9525"/>
            <wp:wrapSquare wrapText="bothSides"/>
            <wp:docPr id="2" name="Picture 1" descr="EA logo_PMSblac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 logo_PMSblack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885825"/>
                    </a:xfrm>
                    <a:prstGeom prst="rect">
                      <a:avLst/>
                    </a:prstGeom>
                    <a:noFill/>
                    <a:ln>
                      <a:noFill/>
                    </a:ln>
                  </pic:spPr>
                </pic:pic>
              </a:graphicData>
            </a:graphic>
          </wp:anchor>
        </w:drawing>
      </w:r>
    </w:p>
    <w:p w14:paraId="5D39CDC6" w14:textId="25A368EF" w:rsidR="00D02341" w:rsidRPr="007F215D" w:rsidRDefault="00D02341" w:rsidP="00BC0705">
      <w:pPr>
        <w:pStyle w:val="Act"/>
        <w:spacing w:before="0"/>
        <w:ind w:right="0"/>
        <w:rPr>
          <w:sz w:val="24"/>
          <w:szCs w:val="24"/>
        </w:rPr>
      </w:pPr>
    </w:p>
    <w:p w14:paraId="5D39CDC7" w14:textId="4812272B" w:rsidR="00D02341" w:rsidRPr="007F215D" w:rsidRDefault="00D02341" w:rsidP="00BC0705">
      <w:pPr>
        <w:pStyle w:val="Act"/>
        <w:spacing w:before="0"/>
        <w:ind w:right="0"/>
        <w:rPr>
          <w:sz w:val="24"/>
          <w:szCs w:val="24"/>
        </w:rPr>
      </w:pPr>
    </w:p>
    <w:p w14:paraId="5D39CDC8" w14:textId="79377566" w:rsidR="00D02341" w:rsidRPr="007F215D" w:rsidRDefault="00D02341" w:rsidP="00BC0705">
      <w:pPr>
        <w:pStyle w:val="Act"/>
        <w:spacing w:before="0"/>
        <w:ind w:right="0"/>
        <w:rPr>
          <w:sz w:val="24"/>
          <w:szCs w:val="24"/>
        </w:rPr>
      </w:pPr>
    </w:p>
    <w:p w14:paraId="5D39CDC9" w14:textId="651E18B0" w:rsidR="00D02341" w:rsidRPr="007F215D" w:rsidRDefault="00D02341" w:rsidP="00BC0705">
      <w:pPr>
        <w:pStyle w:val="Act"/>
        <w:spacing w:before="0"/>
        <w:ind w:right="0"/>
        <w:rPr>
          <w:sz w:val="24"/>
          <w:szCs w:val="24"/>
        </w:rPr>
      </w:pPr>
    </w:p>
    <w:p w14:paraId="5D39CDCA" w14:textId="33CDFAC3" w:rsidR="00D02341" w:rsidRPr="007F215D" w:rsidRDefault="00D02341" w:rsidP="00BC0705">
      <w:pPr>
        <w:pStyle w:val="Act"/>
        <w:spacing w:before="0"/>
        <w:ind w:right="0"/>
        <w:rPr>
          <w:sz w:val="24"/>
          <w:szCs w:val="24"/>
        </w:rPr>
      </w:pPr>
    </w:p>
    <w:p w14:paraId="56DDA280" w14:textId="77777777" w:rsidR="00DF1854" w:rsidRPr="007F215D" w:rsidRDefault="00DF1854" w:rsidP="00BC0705">
      <w:pPr>
        <w:pStyle w:val="Act"/>
        <w:spacing w:before="0"/>
        <w:ind w:right="0"/>
        <w:rPr>
          <w:sz w:val="24"/>
          <w:szCs w:val="24"/>
        </w:rPr>
      </w:pPr>
    </w:p>
    <w:p w14:paraId="6C14980C" w14:textId="77777777" w:rsidR="00DF1854" w:rsidRPr="007F215D" w:rsidRDefault="00DF1854" w:rsidP="00BC0705">
      <w:pPr>
        <w:pStyle w:val="Act"/>
        <w:spacing w:before="0"/>
        <w:ind w:right="0"/>
        <w:rPr>
          <w:sz w:val="24"/>
          <w:szCs w:val="24"/>
        </w:rPr>
      </w:pPr>
    </w:p>
    <w:p w14:paraId="18846D34" w14:textId="77777777" w:rsidR="00DF1854" w:rsidRPr="007F215D" w:rsidRDefault="00DF1854" w:rsidP="00BC0705">
      <w:pPr>
        <w:pStyle w:val="Act"/>
        <w:spacing w:before="0"/>
        <w:ind w:right="0"/>
        <w:rPr>
          <w:sz w:val="24"/>
          <w:szCs w:val="24"/>
        </w:rPr>
      </w:pPr>
    </w:p>
    <w:p w14:paraId="541ABE2A" w14:textId="77777777" w:rsidR="00DF1854" w:rsidRPr="007F215D" w:rsidRDefault="00DF1854" w:rsidP="00BC0705">
      <w:pPr>
        <w:pStyle w:val="Act"/>
        <w:spacing w:before="0"/>
        <w:ind w:right="0"/>
        <w:rPr>
          <w:sz w:val="24"/>
          <w:szCs w:val="24"/>
        </w:rPr>
      </w:pPr>
    </w:p>
    <w:p w14:paraId="527A67BC" w14:textId="073EBF17" w:rsidR="00DF1854" w:rsidRPr="007F215D" w:rsidRDefault="00DF1854" w:rsidP="00BC0705">
      <w:pPr>
        <w:pStyle w:val="Act"/>
        <w:spacing w:before="0"/>
        <w:ind w:right="0"/>
        <w:rPr>
          <w:sz w:val="24"/>
          <w:szCs w:val="24"/>
        </w:rPr>
      </w:pPr>
    </w:p>
    <w:p w14:paraId="0AE607AA" w14:textId="77777777" w:rsidR="00DF1854" w:rsidRPr="007F215D" w:rsidRDefault="00DF1854" w:rsidP="00BC0705">
      <w:pPr>
        <w:pStyle w:val="Act"/>
        <w:spacing w:before="0"/>
        <w:ind w:right="0"/>
        <w:rPr>
          <w:sz w:val="24"/>
          <w:szCs w:val="24"/>
        </w:rPr>
      </w:pPr>
    </w:p>
    <w:p w14:paraId="3681B2B4" w14:textId="26EEC53A" w:rsidR="00E63C6C" w:rsidRPr="00AB6F53" w:rsidRDefault="00F319FA" w:rsidP="00AB6F53">
      <w:pPr>
        <w:pStyle w:val="Heading1"/>
        <w:rPr>
          <w:rStyle w:val="normaltextrun"/>
        </w:rPr>
      </w:pPr>
      <w:r w:rsidRPr="00AB6F53">
        <w:rPr>
          <w:rStyle w:val="normaltextrun"/>
        </w:rPr>
        <w:t>N</w:t>
      </w:r>
      <w:r w:rsidR="009910C8" w:rsidRPr="00AB6F53">
        <w:rPr>
          <w:rStyle w:val="normaltextrun"/>
        </w:rPr>
        <w:t xml:space="preserve">otice of </w:t>
      </w:r>
      <w:r w:rsidR="000A2FC7">
        <w:rPr>
          <w:rStyle w:val="normaltextrun"/>
        </w:rPr>
        <w:t xml:space="preserve">confidentiality </w:t>
      </w:r>
      <w:r w:rsidR="002C1DF8" w:rsidRPr="00AB6F53">
        <w:rPr>
          <w:rStyle w:val="normaltextrun"/>
        </w:rPr>
        <w:t>determination</w:t>
      </w:r>
    </w:p>
    <w:p w14:paraId="0112C8DB" w14:textId="537C236E" w:rsidR="002C1DF8" w:rsidRDefault="002C1DF8" w:rsidP="002C1DF8">
      <w:pPr>
        <w:pStyle w:val="paragraph"/>
        <w:pBdr>
          <w:bottom w:val="single" w:sz="8" w:space="10" w:color="000000"/>
        </w:pBdr>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The Environmental Permitting (England &amp; Wales) Regulations 2016</w:t>
      </w:r>
    </w:p>
    <w:p w14:paraId="3D126B59" w14:textId="77777777" w:rsidR="00DF1854" w:rsidRDefault="00DF1854" w:rsidP="00BC0705">
      <w:pPr>
        <w:pStyle w:val="Act"/>
        <w:spacing w:before="0"/>
        <w:ind w:right="0"/>
        <w:rPr>
          <w:sz w:val="16"/>
          <w:szCs w:val="16"/>
        </w:rPr>
      </w:pPr>
    </w:p>
    <w:p w14:paraId="23D991F9" w14:textId="77777777" w:rsidR="004640DF" w:rsidRDefault="004640DF" w:rsidP="00BC0705">
      <w:pPr>
        <w:pStyle w:val="Act"/>
        <w:spacing w:before="0"/>
        <w:ind w:right="0"/>
        <w:rPr>
          <w:sz w:val="16"/>
          <w:szCs w:val="16"/>
        </w:rPr>
      </w:pPr>
    </w:p>
    <w:tbl>
      <w:tblPr>
        <w:tblW w:w="0" w:type="auto"/>
        <w:tblLayout w:type="fixed"/>
        <w:tblCellMar>
          <w:left w:w="0" w:type="dxa"/>
          <w:right w:w="0" w:type="dxa"/>
        </w:tblCellMar>
        <w:tblLook w:val="0000" w:firstRow="0" w:lastRow="0" w:firstColumn="0" w:lastColumn="0" w:noHBand="0" w:noVBand="0"/>
      </w:tblPr>
      <w:tblGrid>
        <w:gridCol w:w="420"/>
        <w:gridCol w:w="6800"/>
      </w:tblGrid>
      <w:tr w:rsidR="00D02341" w:rsidRPr="00A2204D" w14:paraId="5D39CDD2" w14:textId="77777777" w:rsidTr="636B76D1">
        <w:trPr>
          <w:trHeight w:val="180"/>
        </w:trPr>
        <w:tc>
          <w:tcPr>
            <w:tcW w:w="420" w:type="dxa"/>
          </w:tcPr>
          <w:p w14:paraId="5D39CDCF" w14:textId="77777777" w:rsidR="00D02341" w:rsidRPr="00A2204D" w:rsidRDefault="00D02341" w:rsidP="00D02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0" w:lineRule="exact"/>
              <w:jc w:val="left"/>
              <w:rPr>
                <w:rFonts w:ascii="Arial" w:hAnsi="Arial"/>
                <w:snapToGrid w:val="0"/>
                <w:color w:val="000000"/>
                <w:w w:val="0"/>
                <w:szCs w:val="24"/>
                <w:lang w:eastAsia="en-US"/>
              </w:rPr>
            </w:pPr>
            <w:r w:rsidRPr="00A2204D">
              <w:rPr>
                <w:rFonts w:ascii="Arial" w:hAnsi="Arial"/>
                <w:snapToGrid w:val="0"/>
                <w:color w:val="000000"/>
                <w:szCs w:val="24"/>
                <w:lang w:eastAsia="en-US"/>
              </w:rPr>
              <w:t>To:</w:t>
            </w:r>
          </w:p>
        </w:tc>
        <w:tc>
          <w:tcPr>
            <w:tcW w:w="6800" w:type="dxa"/>
            <w:vAlign w:val="center"/>
          </w:tcPr>
          <w:p w14:paraId="5D39CDD1" w14:textId="05D3E709" w:rsidR="00D02341" w:rsidRPr="00881F09" w:rsidRDefault="001C743E" w:rsidP="005C3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snapToGrid w:val="0"/>
                <w:color w:val="ED0000"/>
                <w:w w:val="0"/>
                <w:szCs w:val="24"/>
                <w:lang w:eastAsia="en-US"/>
              </w:rPr>
            </w:pPr>
            <w:r w:rsidRPr="00F93CB4">
              <w:rPr>
                <w:rFonts w:ascii="Arial" w:hAnsi="Arial"/>
                <w:szCs w:val="24"/>
                <w:lang w:eastAsia="en-US"/>
              </w:rPr>
              <w:t xml:space="preserve">Christian Dietrich </w:t>
            </w:r>
            <w:r w:rsidR="0045523E" w:rsidRPr="00F93CB4">
              <w:rPr>
                <w:rFonts w:ascii="Arial" w:hAnsi="Arial"/>
                <w:szCs w:val="24"/>
                <w:lang w:eastAsia="en-US"/>
              </w:rPr>
              <w:t>Peter</w:t>
            </w:r>
            <w:r w:rsidR="00F93CB4" w:rsidRPr="00F93CB4">
              <w:rPr>
                <w:rFonts w:ascii="Arial" w:hAnsi="Arial"/>
                <w:szCs w:val="24"/>
                <w:lang w:eastAsia="en-US"/>
              </w:rPr>
              <w:t>s</w:t>
            </w:r>
            <w:r w:rsidR="0045523E" w:rsidRPr="00F93CB4">
              <w:rPr>
                <w:rFonts w:ascii="Arial" w:hAnsi="Arial"/>
                <w:szCs w:val="24"/>
                <w:lang w:eastAsia="en-US"/>
              </w:rPr>
              <w:t xml:space="preserve"> </w:t>
            </w:r>
          </w:p>
        </w:tc>
      </w:tr>
      <w:tr w:rsidR="00D02341" w:rsidRPr="00A2204D" w14:paraId="5D39CDD9" w14:textId="77777777" w:rsidTr="636B76D1">
        <w:trPr>
          <w:trHeight w:val="1380"/>
        </w:trPr>
        <w:tc>
          <w:tcPr>
            <w:tcW w:w="420" w:type="dxa"/>
          </w:tcPr>
          <w:p w14:paraId="5D39CDD3" w14:textId="77777777" w:rsidR="00D02341" w:rsidRPr="00800ED2" w:rsidRDefault="00D02341" w:rsidP="00D02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0" w:lineRule="exact"/>
              <w:jc w:val="left"/>
              <w:rPr>
                <w:rFonts w:ascii="Arial" w:hAnsi="Arial"/>
                <w:snapToGrid w:val="0"/>
                <w:w w:val="0"/>
                <w:szCs w:val="24"/>
                <w:lang w:eastAsia="en-US"/>
              </w:rPr>
            </w:pPr>
          </w:p>
        </w:tc>
        <w:tc>
          <w:tcPr>
            <w:tcW w:w="6800" w:type="dxa"/>
          </w:tcPr>
          <w:p w14:paraId="6E59C095" w14:textId="2DA339FC" w:rsidR="0031374F" w:rsidRPr="00800ED2" w:rsidRDefault="00110B7F" w:rsidP="005C3C8A">
            <w:pPr>
              <w:spacing w:before="60"/>
              <w:jc w:val="left"/>
              <w:rPr>
                <w:rFonts w:ascii="Arial" w:eastAsia="Arial" w:hAnsi="Arial" w:cs="Arial"/>
                <w:szCs w:val="24"/>
              </w:rPr>
            </w:pPr>
            <w:proofErr w:type="spellStart"/>
            <w:r w:rsidRPr="00800ED2">
              <w:rPr>
                <w:rFonts w:ascii="Arial" w:eastAsia="Arial" w:hAnsi="Arial" w:cs="Arial"/>
                <w:szCs w:val="24"/>
              </w:rPr>
              <w:t>Seloxium</w:t>
            </w:r>
            <w:proofErr w:type="spellEnd"/>
            <w:r w:rsidRPr="00800ED2">
              <w:rPr>
                <w:rFonts w:ascii="Arial" w:eastAsia="Arial" w:hAnsi="Arial" w:cs="Arial"/>
                <w:szCs w:val="24"/>
              </w:rPr>
              <w:t xml:space="preserve"> Limited</w:t>
            </w:r>
          </w:p>
          <w:p w14:paraId="182EAE93" w14:textId="77777777" w:rsidR="00800ED2" w:rsidRPr="00800ED2" w:rsidRDefault="00800ED2" w:rsidP="005C3C8A">
            <w:pPr>
              <w:spacing w:before="60"/>
              <w:jc w:val="left"/>
              <w:rPr>
                <w:rFonts w:ascii="Arial" w:eastAsia="Arial" w:hAnsi="Arial" w:cs="Arial"/>
                <w:szCs w:val="24"/>
              </w:rPr>
            </w:pPr>
            <w:r w:rsidRPr="00800ED2">
              <w:rPr>
                <w:rFonts w:ascii="Arial" w:eastAsia="Arial" w:hAnsi="Arial" w:cs="Arial"/>
                <w:szCs w:val="24"/>
              </w:rPr>
              <w:t>First Floor Building 9400 Alec Issigonis Way</w:t>
            </w:r>
          </w:p>
          <w:p w14:paraId="02E02228" w14:textId="77777777" w:rsidR="00800ED2" w:rsidRPr="00800ED2" w:rsidRDefault="00800ED2" w:rsidP="005C3C8A">
            <w:pPr>
              <w:spacing w:before="60"/>
              <w:jc w:val="left"/>
              <w:rPr>
                <w:rFonts w:ascii="Arial" w:eastAsia="Arial" w:hAnsi="Arial" w:cs="Arial"/>
                <w:szCs w:val="24"/>
              </w:rPr>
            </w:pPr>
            <w:r w:rsidRPr="00800ED2">
              <w:rPr>
                <w:rFonts w:ascii="Arial" w:eastAsia="Arial" w:hAnsi="Arial" w:cs="Arial"/>
                <w:szCs w:val="24"/>
              </w:rPr>
              <w:t>Arc Oxford</w:t>
            </w:r>
          </w:p>
          <w:p w14:paraId="3178FA3E" w14:textId="77777777" w:rsidR="00800ED2" w:rsidRPr="00800ED2" w:rsidRDefault="00800ED2" w:rsidP="005C3C8A">
            <w:pPr>
              <w:spacing w:before="60"/>
              <w:jc w:val="left"/>
              <w:rPr>
                <w:rFonts w:ascii="Arial" w:eastAsia="Arial" w:hAnsi="Arial" w:cs="Arial"/>
                <w:szCs w:val="24"/>
              </w:rPr>
            </w:pPr>
            <w:r w:rsidRPr="00800ED2">
              <w:rPr>
                <w:rFonts w:ascii="Arial" w:eastAsia="Arial" w:hAnsi="Arial" w:cs="Arial"/>
                <w:szCs w:val="24"/>
              </w:rPr>
              <w:t>Oxford</w:t>
            </w:r>
          </w:p>
          <w:p w14:paraId="7C68CA31" w14:textId="77777777" w:rsidR="00800ED2" w:rsidRPr="00800ED2" w:rsidRDefault="00800ED2" w:rsidP="005C3C8A">
            <w:pPr>
              <w:spacing w:before="60"/>
              <w:jc w:val="left"/>
              <w:rPr>
                <w:rFonts w:ascii="Arial" w:eastAsia="Arial" w:hAnsi="Arial" w:cs="Arial"/>
                <w:szCs w:val="24"/>
              </w:rPr>
            </w:pPr>
            <w:r w:rsidRPr="00800ED2">
              <w:rPr>
                <w:rFonts w:ascii="Arial" w:eastAsia="Arial" w:hAnsi="Arial" w:cs="Arial"/>
                <w:szCs w:val="24"/>
              </w:rPr>
              <w:t>Oxfordshire</w:t>
            </w:r>
          </w:p>
          <w:p w14:paraId="5D39CDD8" w14:textId="6709C21D" w:rsidR="00C06BC0" w:rsidRPr="00800ED2" w:rsidRDefault="00800ED2" w:rsidP="005C3C8A">
            <w:pPr>
              <w:spacing w:before="60"/>
              <w:jc w:val="left"/>
              <w:rPr>
                <w:rFonts w:ascii="Arial" w:hAnsi="Arial"/>
                <w:snapToGrid w:val="0"/>
                <w:w w:val="0"/>
                <w:szCs w:val="24"/>
                <w:lang w:eastAsia="en-US"/>
              </w:rPr>
            </w:pPr>
            <w:r w:rsidRPr="00800ED2">
              <w:rPr>
                <w:rFonts w:ascii="Arial" w:eastAsia="Arial" w:hAnsi="Arial" w:cs="Arial"/>
                <w:szCs w:val="24"/>
              </w:rPr>
              <w:t>OX4 2HN</w:t>
            </w:r>
          </w:p>
        </w:tc>
      </w:tr>
    </w:tbl>
    <w:p w14:paraId="3A5C370A" w14:textId="77777777" w:rsidR="00C06BC0" w:rsidRDefault="00C06BC0" w:rsidP="003912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0" w:lineRule="exact"/>
        <w:jc w:val="left"/>
        <w:rPr>
          <w:rFonts w:ascii="Arial" w:hAnsi="Arial"/>
          <w:snapToGrid w:val="0"/>
          <w:color w:val="000000"/>
          <w:szCs w:val="24"/>
          <w:lang w:eastAsia="en-US"/>
        </w:rPr>
      </w:pPr>
    </w:p>
    <w:p w14:paraId="025CEDF2" w14:textId="2D5307B5" w:rsidR="004640DF" w:rsidRPr="004B4406" w:rsidRDefault="004640DF" w:rsidP="004640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0" w:lineRule="exact"/>
        <w:jc w:val="left"/>
        <w:rPr>
          <w:szCs w:val="24"/>
        </w:rPr>
      </w:pPr>
    </w:p>
    <w:p w14:paraId="422116AF" w14:textId="77777777" w:rsidR="004640DF" w:rsidRPr="004B4406" w:rsidRDefault="004640DF" w:rsidP="004640DF">
      <w:pPr>
        <w:pStyle w:val="Act"/>
        <w:spacing w:before="0"/>
        <w:ind w:right="0"/>
        <w:rPr>
          <w:sz w:val="24"/>
          <w:szCs w:val="24"/>
        </w:rPr>
      </w:pPr>
    </w:p>
    <w:p w14:paraId="5D39CDDA" w14:textId="031E6888" w:rsidR="00391254" w:rsidRPr="009A0F59" w:rsidRDefault="00391254" w:rsidP="003912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0" w:lineRule="exact"/>
        <w:jc w:val="left"/>
        <w:rPr>
          <w:rFonts w:ascii="Arial" w:hAnsi="Arial"/>
          <w:snapToGrid w:val="0"/>
          <w:szCs w:val="24"/>
          <w:lang w:eastAsia="en-US"/>
        </w:rPr>
      </w:pPr>
      <w:r w:rsidRPr="009A0F59">
        <w:rPr>
          <w:rFonts w:ascii="Arial" w:hAnsi="Arial"/>
          <w:snapToGrid w:val="0"/>
          <w:szCs w:val="24"/>
          <w:lang w:eastAsia="en-US"/>
        </w:rPr>
        <w:t xml:space="preserve">Application number(s): </w:t>
      </w:r>
      <w:r w:rsidR="00BB505E" w:rsidRPr="009A0F59">
        <w:rPr>
          <w:rFonts w:ascii="Arial" w:hAnsi="Arial" w:cs="Arial"/>
          <w:snapToGrid w:val="0"/>
          <w:w w:val="0"/>
          <w:szCs w:val="24"/>
          <w:lang w:eastAsia="en-US"/>
        </w:rPr>
        <w:t>EPR/WE7029AC/A001</w:t>
      </w:r>
      <w:r w:rsidRPr="009A0F59">
        <w:rPr>
          <w:rFonts w:ascii="Arial" w:hAnsi="Arial" w:cs="Arial"/>
          <w:snapToGrid w:val="0"/>
          <w:w w:val="0"/>
          <w:szCs w:val="24"/>
          <w:lang w:eastAsia="en-US"/>
        </w:rPr>
        <w:t xml:space="preserve"> </w:t>
      </w:r>
    </w:p>
    <w:p w14:paraId="5D39CDDB" w14:textId="77777777" w:rsidR="00391254" w:rsidRPr="00A2204D" w:rsidRDefault="00391254">
      <w:pPr>
        <w:rPr>
          <w:rFonts w:ascii="Arial" w:hAnsi="Arial"/>
          <w:snapToGrid w:val="0"/>
          <w:color w:val="000000"/>
          <w:szCs w:val="24"/>
          <w:lang w:eastAsia="en-US"/>
        </w:rPr>
      </w:pPr>
    </w:p>
    <w:p w14:paraId="5D39CDDC" w14:textId="1424278A" w:rsidR="00A17334" w:rsidRPr="00A2204D" w:rsidRDefault="00472F5B" w:rsidP="00BC0705">
      <w:pPr>
        <w:jc w:val="left"/>
        <w:rPr>
          <w:rFonts w:ascii="Arial" w:hAnsi="Arial"/>
          <w:snapToGrid w:val="0"/>
          <w:color w:val="000000"/>
          <w:szCs w:val="24"/>
          <w:lang w:eastAsia="en-US"/>
        </w:rPr>
      </w:pPr>
      <w:r w:rsidRPr="00A2204D">
        <w:rPr>
          <w:rFonts w:ascii="Arial" w:hAnsi="Arial"/>
          <w:snapToGrid w:val="0"/>
          <w:color w:val="000000"/>
          <w:szCs w:val="24"/>
          <w:lang w:eastAsia="en-US"/>
        </w:rPr>
        <w:t>The Environment Agency has considered</w:t>
      </w:r>
      <w:r w:rsidR="00A17334" w:rsidRPr="00A2204D">
        <w:rPr>
          <w:rFonts w:ascii="Arial" w:hAnsi="Arial"/>
          <w:snapToGrid w:val="0"/>
          <w:color w:val="000000"/>
          <w:szCs w:val="24"/>
          <w:lang w:eastAsia="en-US"/>
        </w:rPr>
        <w:t xml:space="preserve"> your </w:t>
      </w:r>
      <w:r w:rsidR="00F74C44">
        <w:rPr>
          <w:rFonts w:ascii="Arial" w:hAnsi="Arial"/>
          <w:snapToGrid w:val="0"/>
          <w:color w:val="000000"/>
          <w:szCs w:val="24"/>
          <w:lang w:eastAsia="en-US"/>
        </w:rPr>
        <w:t xml:space="preserve">objection </w:t>
      </w:r>
      <w:r w:rsidR="000D31D5" w:rsidRPr="00A2204D">
        <w:rPr>
          <w:rFonts w:ascii="Arial" w:hAnsi="Arial"/>
          <w:snapToGrid w:val="0"/>
          <w:color w:val="000000"/>
          <w:szCs w:val="24"/>
          <w:lang w:eastAsia="en-US"/>
        </w:rPr>
        <w:t xml:space="preserve">notice </w:t>
      </w:r>
      <w:r w:rsidR="009C7789" w:rsidRPr="00A2204D">
        <w:rPr>
          <w:rFonts w:ascii="Arial" w:hAnsi="Arial"/>
          <w:snapToGrid w:val="0"/>
          <w:color w:val="000000"/>
          <w:szCs w:val="24"/>
          <w:lang w:eastAsia="en-US"/>
        </w:rPr>
        <w:t xml:space="preserve">dated </w:t>
      </w:r>
      <w:r w:rsidR="00085F3B" w:rsidRPr="0066489D">
        <w:rPr>
          <w:rFonts w:ascii="Arial" w:hAnsi="Arial"/>
          <w:snapToGrid w:val="0"/>
          <w:szCs w:val="24"/>
          <w:lang w:eastAsia="en-US"/>
        </w:rPr>
        <w:t>04/10/2024</w:t>
      </w:r>
      <w:r w:rsidR="00A17334" w:rsidRPr="0066489D">
        <w:rPr>
          <w:rFonts w:ascii="Arial" w:hAnsi="Arial"/>
          <w:snapToGrid w:val="0"/>
          <w:szCs w:val="24"/>
          <w:lang w:eastAsia="en-US"/>
        </w:rPr>
        <w:t xml:space="preserve"> </w:t>
      </w:r>
      <w:r w:rsidR="00A17334" w:rsidRPr="00A2204D">
        <w:rPr>
          <w:rFonts w:ascii="Arial" w:hAnsi="Arial"/>
          <w:snapToGrid w:val="0"/>
          <w:color w:val="000000"/>
          <w:szCs w:val="24"/>
          <w:lang w:eastAsia="en-US"/>
        </w:rPr>
        <w:t>for the exclusion of information fro</w:t>
      </w:r>
      <w:r w:rsidRPr="00A2204D">
        <w:rPr>
          <w:rFonts w:ascii="Arial" w:hAnsi="Arial"/>
          <w:snapToGrid w:val="0"/>
          <w:color w:val="000000"/>
          <w:szCs w:val="24"/>
          <w:lang w:eastAsia="en-US"/>
        </w:rPr>
        <w:t xml:space="preserve">m the public register. </w:t>
      </w:r>
      <w:r w:rsidR="00E4346E">
        <w:rPr>
          <w:rFonts w:ascii="Arial" w:hAnsi="Arial"/>
          <w:snapToGrid w:val="0"/>
          <w:color w:val="000000"/>
          <w:szCs w:val="24"/>
          <w:lang w:eastAsia="en-US"/>
        </w:rPr>
        <w:t xml:space="preserve">The objection was on the grounds </w:t>
      </w:r>
      <w:r w:rsidR="00C3022D">
        <w:rPr>
          <w:rFonts w:ascii="Arial" w:hAnsi="Arial"/>
          <w:snapToGrid w:val="0"/>
          <w:color w:val="000000"/>
          <w:szCs w:val="24"/>
          <w:lang w:eastAsia="en-US"/>
        </w:rPr>
        <w:t xml:space="preserve">of commercial or industrial confidentiality. </w:t>
      </w:r>
      <w:r w:rsidRPr="00A2204D">
        <w:rPr>
          <w:rFonts w:ascii="Arial" w:hAnsi="Arial"/>
          <w:snapToGrid w:val="0"/>
          <w:color w:val="000000"/>
          <w:szCs w:val="24"/>
          <w:lang w:eastAsia="en-US"/>
        </w:rPr>
        <w:t>We give notice of our decision as follows:</w:t>
      </w:r>
    </w:p>
    <w:p w14:paraId="5D39CDDD" w14:textId="77777777" w:rsidR="00A17334" w:rsidRPr="00A2204D" w:rsidRDefault="00A17334">
      <w:pPr>
        <w:rPr>
          <w:rStyle w:val="change"/>
          <w:rFonts w:ascii="Arial" w:hAnsi="Arial" w:cs="Arial"/>
          <w:szCs w:val="24"/>
        </w:rPr>
      </w:pPr>
    </w:p>
    <w:p w14:paraId="5D39CDE3" w14:textId="6789326E" w:rsidR="00421166" w:rsidRPr="00B30A98" w:rsidRDefault="00A17334" w:rsidP="001626AA">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0" w:lineRule="exact"/>
        <w:ind w:left="720" w:hanging="720"/>
        <w:rPr>
          <w:color w:val="auto"/>
          <w:w w:val="100"/>
          <w:sz w:val="24"/>
          <w:szCs w:val="24"/>
          <w:lang w:val="en-GB"/>
        </w:rPr>
      </w:pPr>
      <w:r w:rsidRPr="00B30A98">
        <w:rPr>
          <w:rFonts w:cs="Arial"/>
          <w:color w:val="auto"/>
          <w:sz w:val="24"/>
          <w:szCs w:val="24"/>
        </w:rPr>
        <w:t>All the information</w:t>
      </w:r>
      <w:r w:rsidR="00463D18" w:rsidRPr="00B30A98">
        <w:rPr>
          <w:rFonts w:cs="Arial"/>
          <w:color w:val="auto"/>
          <w:sz w:val="24"/>
          <w:szCs w:val="24"/>
        </w:rPr>
        <w:t xml:space="preserve"> in your notice is confidential, </w:t>
      </w:r>
      <w:r w:rsidRPr="00B30A98">
        <w:rPr>
          <w:rFonts w:cs="Arial"/>
          <w:color w:val="auto"/>
          <w:sz w:val="24"/>
          <w:szCs w:val="24"/>
        </w:rPr>
        <w:t xml:space="preserve">other than that detailed in the attached </w:t>
      </w:r>
      <w:r w:rsidR="009C7789" w:rsidRPr="00B30A98">
        <w:rPr>
          <w:rFonts w:cs="Arial"/>
          <w:color w:val="auto"/>
          <w:sz w:val="24"/>
          <w:szCs w:val="24"/>
        </w:rPr>
        <w:t>schedule</w:t>
      </w:r>
      <w:r w:rsidRPr="00B30A98">
        <w:rPr>
          <w:rFonts w:cs="Arial"/>
          <w:color w:val="auto"/>
          <w:sz w:val="24"/>
          <w:szCs w:val="24"/>
        </w:rPr>
        <w:t>.</w:t>
      </w:r>
      <w:r w:rsidR="00421166" w:rsidRPr="00B30A98">
        <w:rPr>
          <w:rFonts w:cs="Arial"/>
          <w:color w:val="auto"/>
          <w:sz w:val="24"/>
          <w:szCs w:val="24"/>
        </w:rPr>
        <w:t xml:space="preserve"> The reasons </w:t>
      </w:r>
      <w:r w:rsidR="00421166" w:rsidRPr="00B30A98">
        <w:rPr>
          <w:color w:val="auto"/>
          <w:w w:val="100"/>
          <w:sz w:val="24"/>
          <w:szCs w:val="24"/>
          <w:lang w:val="en-GB"/>
        </w:rPr>
        <w:t>for this decision are outlined in the attached schedule.</w:t>
      </w:r>
    </w:p>
    <w:p w14:paraId="5D39CDE4" w14:textId="77777777" w:rsidR="00A17334" w:rsidRPr="00881F09" w:rsidRDefault="00A17334">
      <w:pPr>
        <w:tabs>
          <w:tab w:val="left" w:pos="-1440"/>
          <w:tab w:val="left" w:pos="-720"/>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ED0000"/>
          <w:szCs w:val="24"/>
        </w:rPr>
      </w:pPr>
    </w:p>
    <w:p w14:paraId="5D39CDE5" w14:textId="77777777" w:rsidR="000D31D5" w:rsidRPr="00A2204D" w:rsidRDefault="000D31D5">
      <w:pPr>
        <w:rPr>
          <w:szCs w:val="24"/>
        </w:rPr>
      </w:pPr>
    </w:p>
    <w:p w14:paraId="5D39CDE6" w14:textId="46779B8B" w:rsidR="000D31D5" w:rsidRPr="00A2204D" w:rsidRDefault="000D31D5" w:rsidP="00391254">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0" w:lineRule="exact"/>
        <w:ind w:left="0" w:firstLine="0"/>
        <w:rPr>
          <w:color w:val="FF0000"/>
          <w:w w:val="100"/>
          <w:sz w:val="24"/>
          <w:szCs w:val="24"/>
          <w:lang w:val="en-GB"/>
        </w:rPr>
      </w:pPr>
      <w:r w:rsidRPr="000D1703">
        <w:rPr>
          <w:color w:val="auto"/>
          <w:w w:val="100"/>
          <w:sz w:val="24"/>
          <w:szCs w:val="24"/>
          <w:lang w:val="en-GB"/>
        </w:rPr>
        <w:t xml:space="preserve">The information determined to be confidential remains so until </w:t>
      </w:r>
      <w:r w:rsidR="009D5C9C" w:rsidRPr="009A3155">
        <w:rPr>
          <w:color w:val="000000" w:themeColor="text1"/>
          <w:w w:val="100"/>
          <w:sz w:val="24"/>
          <w:szCs w:val="24"/>
          <w:lang w:val="en-GB"/>
        </w:rPr>
        <w:t>1</w:t>
      </w:r>
      <w:r w:rsidR="00E01C77">
        <w:rPr>
          <w:color w:val="000000" w:themeColor="text1"/>
          <w:w w:val="100"/>
          <w:sz w:val="24"/>
          <w:szCs w:val="24"/>
          <w:lang w:val="en-GB"/>
        </w:rPr>
        <w:t>9</w:t>
      </w:r>
      <w:r w:rsidR="009D5C9C" w:rsidRPr="009A3155">
        <w:rPr>
          <w:color w:val="000000" w:themeColor="text1"/>
          <w:w w:val="100"/>
          <w:sz w:val="24"/>
          <w:szCs w:val="24"/>
          <w:lang w:val="en-GB"/>
        </w:rPr>
        <w:t>/03/2029.</w:t>
      </w:r>
    </w:p>
    <w:p w14:paraId="5D39CDE7" w14:textId="77777777" w:rsidR="000D31D5" w:rsidRPr="00A2204D" w:rsidRDefault="000D31D5">
      <w:pPr>
        <w:rPr>
          <w:szCs w:val="24"/>
        </w:rPr>
      </w:pPr>
    </w:p>
    <w:p w14:paraId="5D39CDE8" w14:textId="77777777" w:rsidR="005479E6" w:rsidRPr="00A2204D" w:rsidRDefault="005479E6">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0"/>
        <w:gridCol w:w="2437"/>
      </w:tblGrid>
      <w:tr w:rsidR="005479E6" w:rsidRPr="00A2204D" w14:paraId="5D39CDEB" w14:textId="77777777" w:rsidTr="005D673F">
        <w:trPr>
          <w:trHeight w:hRule="exact" w:val="393"/>
        </w:trPr>
        <w:tc>
          <w:tcPr>
            <w:tcW w:w="6210" w:type="dxa"/>
            <w:tcBorders>
              <w:top w:val="nil"/>
              <w:left w:val="nil"/>
              <w:right w:val="nil"/>
            </w:tcBorders>
          </w:tcPr>
          <w:p w14:paraId="5D39CDE9" w14:textId="77777777" w:rsidR="005479E6" w:rsidRPr="00A2204D" w:rsidRDefault="005479E6" w:rsidP="005D673F">
            <w:pPr>
              <w:pStyle w:val="Heading3nonum"/>
              <w:spacing w:before="0"/>
              <w:ind w:right="1701"/>
              <w:rPr>
                <w:rFonts w:cs="Arial"/>
                <w:sz w:val="24"/>
                <w:szCs w:val="24"/>
              </w:rPr>
            </w:pPr>
            <w:r w:rsidRPr="00A2204D">
              <w:rPr>
                <w:rFonts w:cs="Arial"/>
                <w:sz w:val="24"/>
                <w:szCs w:val="24"/>
              </w:rPr>
              <w:t>Name</w:t>
            </w:r>
          </w:p>
        </w:tc>
        <w:tc>
          <w:tcPr>
            <w:tcW w:w="2437" w:type="dxa"/>
            <w:tcBorders>
              <w:top w:val="nil"/>
              <w:left w:val="nil"/>
              <w:right w:val="nil"/>
            </w:tcBorders>
          </w:tcPr>
          <w:p w14:paraId="5D39CDEA" w14:textId="77777777" w:rsidR="005479E6" w:rsidRPr="00A2204D" w:rsidRDefault="005479E6" w:rsidP="005D673F">
            <w:pPr>
              <w:pStyle w:val="Heading3nonum"/>
              <w:spacing w:before="0"/>
              <w:ind w:right="1701"/>
              <w:rPr>
                <w:rFonts w:cs="Arial"/>
                <w:sz w:val="24"/>
                <w:szCs w:val="24"/>
              </w:rPr>
            </w:pPr>
            <w:r w:rsidRPr="00A2204D">
              <w:rPr>
                <w:rFonts w:cs="Arial"/>
                <w:sz w:val="24"/>
                <w:szCs w:val="24"/>
              </w:rPr>
              <w:t>Date</w:t>
            </w:r>
          </w:p>
        </w:tc>
      </w:tr>
      <w:tr w:rsidR="005479E6" w:rsidRPr="00A2204D" w14:paraId="5D39CDEF" w14:textId="77777777" w:rsidTr="005D673F">
        <w:trPr>
          <w:trHeight w:hRule="exact" w:val="960"/>
        </w:trPr>
        <w:tc>
          <w:tcPr>
            <w:tcW w:w="6210" w:type="dxa"/>
            <w:vAlign w:val="center"/>
          </w:tcPr>
          <w:p w14:paraId="5D39CDED" w14:textId="6BAC0A2F" w:rsidR="005479E6" w:rsidRPr="00E01C77" w:rsidRDefault="000F2582" w:rsidP="005D673F">
            <w:pPr>
              <w:pStyle w:val="Heading3nonum"/>
              <w:spacing w:before="0"/>
              <w:rPr>
                <w:rFonts w:cs="Arial"/>
                <w:b/>
                <w:sz w:val="24"/>
                <w:szCs w:val="24"/>
              </w:rPr>
            </w:pPr>
            <w:r w:rsidRPr="00E01C77">
              <w:rPr>
                <w:rFonts w:cs="Arial"/>
                <w:b/>
                <w:sz w:val="24"/>
                <w:szCs w:val="24"/>
              </w:rPr>
              <w:t>James Lidgett</w:t>
            </w:r>
          </w:p>
        </w:tc>
        <w:tc>
          <w:tcPr>
            <w:tcW w:w="2437" w:type="dxa"/>
            <w:vAlign w:val="center"/>
          </w:tcPr>
          <w:p w14:paraId="5D39CDEE" w14:textId="28494148" w:rsidR="005479E6" w:rsidRPr="00E01C77" w:rsidRDefault="002D304C" w:rsidP="00272BDC">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0" w:lineRule="exact"/>
              <w:ind w:left="720" w:hanging="720"/>
              <w:rPr>
                <w:rFonts w:cs="Arial"/>
                <w:b/>
                <w:bCs/>
                <w:color w:val="auto"/>
                <w:sz w:val="24"/>
                <w:szCs w:val="24"/>
              </w:rPr>
            </w:pPr>
            <w:r w:rsidRPr="00E01C77">
              <w:rPr>
                <w:rFonts w:cs="Arial"/>
                <w:b/>
                <w:bCs/>
                <w:color w:val="auto"/>
                <w:sz w:val="24"/>
                <w:szCs w:val="24"/>
              </w:rPr>
              <w:t>1</w:t>
            </w:r>
            <w:r w:rsidR="00E01C77" w:rsidRPr="00E01C77">
              <w:rPr>
                <w:rFonts w:cs="Arial"/>
                <w:b/>
                <w:bCs/>
                <w:color w:val="auto"/>
                <w:sz w:val="24"/>
                <w:szCs w:val="24"/>
              </w:rPr>
              <w:t>9</w:t>
            </w:r>
            <w:r w:rsidRPr="00E01C77">
              <w:rPr>
                <w:rFonts w:cs="Arial"/>
                <w:b/>
                <w:bCs/>
                <w:color w:val="auto"/>
                <w:sz w:val="24"/>
                <w:szCs w:val="24"/>
              </w:rPr>
              <w:t>/03/2025</w:t>
            </w:r>
          </w:p>
        </w:tc>
      </w:tr>
    </w:tbl>
    <w:p w14:paraId="4ED9656C" w14:textId="77777777" w:rsidR="00A711E4" w:rsidRDefault="00A711E4" w:rsidP="00AB6F53"/>
    <w:p w14:paraId="5D39CDF1" w14:textId="53AA7F10" w:rsidR="005479E6" w:rsidRPr="00AB6F53" w:rsidRDefault="005479E6" w:rsidP="00AB6F53">
      <w:pPr>
        <w:rPr>
          <w:rFonts w:ascii="Arial" w:hAnsi="Arial"/>
        </w:rPr>
      </w:pPr>
      <w:r w:rsidRPr="00AB6F53">
        <w:rPr>
          <w:rFonts w:ascii="Arial" w:hAnsi="Arial"/>
        </w:rPr>
        <w:t>Authorised on behalf of the Environment Agency</w:t>
      </w:r>
    </w:p>
    <w:p w14:paraId="5D39CDF2" w14:textId="77777777" w:rsidR="003A2AEC" w:rsidRDefault="003A2AEC" w:rsidP="00AB6F53">
      <w:pPr>
        <w:rPr>
          <w:rFonts w:ascii="Arial" w:hAnsi="Arial"/>
          <w:b/>
        </w:rPr>
        <w:sectPr w:rsidR="003A2AEC" w:rsidSect="00AB6F53">
          <w:pgSz w:w="11906" w:h="16838" w:code="9"/>
          <w:pgMar w:top="1134" w:right="992" w:bottom="1134" w:left="992" w:header="289" w:footer="289" w:gutter="567"/>
          <w:cols w:space="720"/>
          <w:noEndnote/>
          <w:titlePg/>
          <w:docGrid w:linePitch="326"/>
        </w:sectPr>
      </w:pPr>
    </w:p>
    <w:p w14:paraId="5D39CDF3" w14:textId="77777777" w:rsidR="00A17334" w:rsidRPr="00A2204D" w:rsidRDefault="00A17334">
      <w:pPr>
        <w:rPr>
          <w:rFonts w:ascii="Arial" w:hAnsi="Arial" w:cs="Arial"/>
          <w:b/>
          <w:szCs w:val="24"/>
        </w:rPr>
      </w:pPr>
      <w:r w:rsidRPr="00A2204D">
        <w:rPr>
          <w:rFonts w:ascii="Arial" w:hAnsi="Arial" w:cs="Arial"/>
          <w:b/>
          <w:szCs w:val="24"/>
        </w:rPr>
        <w:lastRenderedPageBreak/>
        <w:t>What the law says</w:t>
      </w:r>
    </w:p>
    <w:p w14:paraId="5D39CDF4" w14:textId="77777777" w:rsidR="00A17334" w:rsidRPr="00A2204D" w:rsidRDefault="00A17334">
      <w:pPr>
        <w:rPr>
          <w:rFonts w:ascii="Arial" w:hAnsi="Arial" w:cs="Arial"/>
          <w:b/>
          <w:szCs w:val="24"/>
        </w:rPr>
      </w:pPr>
    </w:p>
    <w:p w14:paraId="5D39CDF5" w14:textId="77777777" w:rsidR="00A17334" w:rsidRPr="00A2204D" w:rsidRDefault="009C7789" w:rsidP="00BC0705">
      <w:pPr>
        <w:jc w:val="left"/>
        <w:rPr>
          <w:rFonts w:ascii="Arial" w:hAnsi="Arial" w:cs="Arial"/>
          <w:szCs w:val="24"/>
        </w:rPr>
      </w:pPr>
      <w:r w:rsidRPr="00A2204D">
        <w:rPr>
          <w:rFonts w:ascii="Arial" w:hAnsi="Arial" w:cs="Arial"/>
          <w:szCs w:val="24"/>
        </w:rPr>
        <w:t xml:space="preserve">The Environmental Permitting (England and Wales) Regulations </w:t>
      </w:r>
      <w:proofErr w:type="gramStart"/>
      <w:r w:rsidR="00E96D6B" w:rsidRPr="00A2204D">
        <w:rPr>
          <w:rFonts w:ascii="Arial" w:hAnsi="Arial" w:cs="Arial"/>
          <w:szCs w:val="24"/>
        </w:rPr>
        <w:t>201</w:t>
      </w:r>
      <w:r w:rsidR="00F12DC5" w:rsidRPr="00A2204D">
        <w:rPr>
          <w:rFonts w:ascii="Arial" w:hAnsi="Arial" w:cs="Arial"/>
          <w:szCs w:val="24"/>
        </w:rPr>
        <w:t>6</w:t>
      </w:r>
      <w:r w:rsidRPr="00A2204D">
        <w:rPr>
          <w:rFonts w:ascii="Arial" w:hAnsi="Arial" w:cs="Arial"/>
          <w:szCs w:val="24"/>
        </w:rPr>
        <w:t>.(</w:t>
      </w:r>
      <w:proofErr w:type="gramEnd"/>
      <w:r w:rsidRPr="00A2204D">
        <w:rPr>
          <w:rFonts w:ascii="Arial" w:hAnsi="Arial" w:cs="Arial"/>
          <w:szCs w:val="24"/>
        </w:rPr>
        <w:t>S.I.</w:t>
      </w:r>
      <w:r w:rsidR="00E96D6B" w:rsidRPr="00A2204D">
        <w:rPr>
          <w:rFonts w:ascii="Arial" w:hAnsi="Arial" w:cs="Arial"/>
          <w:szCs w:val="24"/>
        </w:rPr>
        <w:t>201</w:t>
      </w:r>
      <w:r w:rsidR="00F12DC5" w:rsidRPr="00A2204D">
        <w:rPr>
          <w:rFonts w:ascii="Arial" w:hAnsi="Arial" w:cs="Arial"/>
          <w:szCs w:val="24"/>
        </w:rPr>
        <w:t>6</w:t>
      </w:r>
      <w:r w:rsidRPr="00A2204D">
        <w:rPr>
          <w:rFonts w:ascii="Arial" w:hAnsi="Arial" w:cs="Arial"/>
          <w:szCs w:val="24"/>
        </w:rPr>
        <w:t xml:space="preserve"> No.</w:t>
      </w:r>
      <w:r w:rsidR="00F12DC5" w:rsidRPr="00A2204D">
        <w:rPr>
          <w:rFonts w:ascii="Arial" w:hAnsi="Arial" w:cs="Arial"/>
          <w:szCs w:val="24"/>
        </w:rPr>
        <w:t>1154</w:t>
      </w:r>
      <w:r w:rsidRPr="00A2204D">
        <w:rPr>
          <w:rFonts w:ascii="Arial" w:hAnsi="Arial" w:cs="Arial"/>
          <w:szCs w:val="24"/>
        </w:rPr>
        <w:t xml:space="preserve">) </w:t>
      </w:r>
      <w:r w:rsidR="00A17334" w:rsidRPr="00A2204D">
        <w:rPr>
          <w:rFonts w:ascii="Arial" w:hAnsi="Arial" w:cs="Arial"/>
          <w:szCs w:val="24"/>
        </w:rPr>
        <w:t xml:space="preserve">say - </w:t>
      </w:r>
    </w:p>
    <w:p w14:paraId="5D39CDF6" w14:textId="77777777" w:rsidR="00A17334" w:rsidRPr="00A2204D" w:rsidRDefault="00A17334" w:rsidP="00BC0705">
      <w:pPr>
        <w:jc w:val="left"/>
        <w:rPr>
          <w:rFonts w:ascii="Arial" w:hAnsi="Arial" w:cs="Arial"/>
          <w:szCs w:val="24"/>
        </w:rPr>
      </w:pPr>
    </w:p>
    <w:p w14:paraId="5D39CDF7" w14:textId="77777777" w:rsidR="00A17334" w:rsidRPr="00A2204D" w:rsidRDefault="00A17334" w:rsidP="00BC0705">
      <w:pPr>
        <w:jc w:val="left"/>
        <w:rPr>
          <w:rFonts w:ascii="Arial" w:hAnsi="Arial" w:cs="Arial"/>
          <w:b/>
          <w:szCs w:val="24"/>
        </w:rPr>
      </w:pPr>
      <w:r w:rsidRPr="00A2204D">
        <w:rPr>
          <w:rFonts w:ascii="Arial" w:hAnsi="Arial" w:cs="Arial"/>
          <w:b/>
          <w:szCs w:val="24"/>
        </w:rPr>
        <w:t xml:space="preserve">Regulation </w:t>
      </w:r>
      <w:r w:rsidR="004F513E" w:rsidRPr="00A2204D">
        <w:rPr>
          <w:rFonts w:ascii="Arial" w:hAnsi="Arial" w:cs="Arial"/>
          <w:b/>
          <w:szCs w:val="24"/>
        </w:rPr>
        <w:t>48</w:t>
      </w:r>
    </w:p>
    <w:p w14:paraId="5D39CDF8" w14:textId="77777777" w:rsidR="002B559A" w:rsidRPr="00A2204D" w:rsidRDefault="004F513E" w:rsidP="00BC0705">
      <w:pPr>
        <w:pStyle w:val="BodyTextIndent"/>
        <w:tabs>
          <w:tab w:val="clear" w:pos="720"/>
        </w:tabs>
        <w:ind w:firstLine="0"/>
        <w:jc w:val="left"/>
        <w:rPr>
          <w:rFonts w:ascii="Arial" w:hAnsi="Arial" w:cs="Arial"/>
          <w:szCs w:val="24"/>
        </w:rPr>
      </w:pPr>
      <w:r w:rsidRPr="00A2204D">
        <w:rPr>
          <w:rFonts w:ascii="Arial" w:hAnsi="Arial" w:cs="Arial"/>
          <w:szCs w:val="24"/>
        </w:rPr>
        <w:t xml:space="preserve">The regulator must exclude information from a public register if it considers that the information may be confidential </w:t>
      </w:r>
      <w:proofErr w:type="gramStart"/>
      <w:r w:rsidRPr="00A2204D">
        <w:rPr>
          <w:rFonts w:ascii="Arial" w:hAnsi="Arial" w:cs="Arial"/>
          <w:szCs w:val="24"/>
        </w:rPr>
        <w:t>information, or</w:t>
      </w:r>
      <w:proofErr w:type="gramEnd"/>
      <w:r w:rsidRPr="00A2204D">
        <w:rPr>
          <w:rFonts w:ascii="Arial" w:hAnsi="Arial" w:cs="Arial"/>
          <w:szCs w:val="24"/>
        </w:rPr>
        <w:t xml:space="preserve"> receives notice that you consider the information to be confidential</w:t>
      </w:r>
      <w:r w:rsidR="00DB5763" w:rsidRPr="00A2204D">
        <w:rPr>
          <w:rFonts w:ascii="Arial" w:hAnsi="Arial" w:cs="Arial"/>
          <w:szCs w:val="24"/>
        </w:rPr>
        <w:t xml:space="preserve"> and you have provided reasons for that view. </w:t>
      </w:r>
      <w:r w:rsidR="002B559A" w:rsidRPr="00A2204D">
        <w:rPr>
          <w:rFonts w:ascii="Arial" w:hAnsi="Arial" w:cs="Arial"/>
          <w:szCs w:val="24"/>
        </w:rPr>
        <w:t xml:space="preserve">This is the case unless </w:t>
      </w:r>
      <w:r w:rsidRPr="00A2204D">
        <w:rPr>
          <w:rFonts w:ascii="Arial" w:hAnsi="Arial" w:cs="Arial"/>
          <w:szCs w:val="24"/>
        </w:rPr>
        <w:t>it has been determined that the information should be included on the register.</w:t>
      </w:r>
      <w:r w:rsidR="00A17334" w:rsidRPr="00A2204D">
        <w:rPr>
          <w:rFonts w:ascii="Arial" w:hAnsi="Arial" w:cs="Arial"/>
          <w:szCs w:val="24"/>
        </w:rPr>
        <w:t xml:space="preserve"> </w:t>
      </w:r>
    </w:p>
    <w:p w14:paraId="5D39CDF9" w14:textId="77777777" w:rsidR="002B559A" w:rsidRPr="00A2204D" w:rsidRDefault="002B559A" w:rsidP="00BC0705">
      <w:pPr>
        <w:pStyle w:val="BodyTextIndent"/>
        <w:tabs>
          <w:tab w:val="clear" w:pos="720"/>
        </w:tabs>
        <w:ind w:firstLine="0"/>
        <w:jc w:val="left"/>
        <w:rPr>
          <w:rFonts w:ascii="Arial" w:hAnsi="Arial" w:cs="Arial"/>
          <w:szCs w:val="24"/>
        </w:rPr>
      </w:pPr>
    </w:p>
    <w:p w14:paraId="5D39CDFA" w14:textId="77777777" w:rsidR="00A17334" w:rsidRPr="00A2204D" w:rsidRDefault="00A17334" w:rsidP="00BC0705">
      <w:pPr>
        <w:pStyle w:val="BodyTextIndent"/>
        <w:tabs>
          <w:tab w:val="clear" w:pos="720"/>
        </w:tabs>
        <w:ind w:firstLine="0"/>
        <w:jc w:val="left"/>
        <w:rPr>
          <w:rFonts w:ascii="Arial" w:hAnsi="Arial" w:cs="Arial"/>
          <w:szCs w:val="24"/>
        </w:rPr>
      </w:pPr>
      <w:r w:rsidRPr="00A2204D">
        <w:rPr>
          <w:rFonts w:ascii="Arial" w:hAnsi="Arial" w:cs="Arial"/>
          <w:szCs w:val="24"/>
        </w:rPr>
        <w:t xml:space="preserve">Note that the Secretary of State can give direction as to information which </w:t>
      </w:r>
      <w:r w:rsidR="00DB5763" w:rsidRPr="00A2204D">
        <w:rPr>
          <w:rFonts w:ascii="Arial" w:hAnsi="Arial" w:cs="Arial"/>
          <w:szCs w:val="24"/>
        </w:rPr>
        <w:t>must be included in the public r</w:t>
      </w:r>
      <w:r w:rsidRPr="00A2204D">
        <w:rPr>
          <w:rFonts w:ascii="Arial" w:hAnsi="Arial" w:cs="Arial"/>
          <w:szCs w:val="24"/>
        </w:rPr>
        <w:t xml:space="preserve">egister even if it may be confidential. </w:t>
      </w:r>
    </w:p>
    <w:p w14:paraId="5D39CDFB" w14:textId="77777777" w:rsidR="00A17334" w:rsidRPr="00A2204D" w:rsidRDefault="00A17334" w:rsidP="00BC0705">
      <w:pPr>
        <w:pStyle w:val="BodyTextIndent"/>
        <w:tabs>
          <w:tab w:val="clear" w:pos="720"/>
        </w:tabs>
        <w:ind w:firstLine="0"/>
        <w:jc w:val="left"/>
        <w:rPr>
          <w:rFonts w:ascii="Arial" w:hAnsi="Arial" w:cs="Arial"/>
          <w:szCs w:val="24"/>
        </w:rPr>
      </w:pPr>
    </w:p>
    <w:p w14:paraId="5D39CDFC" w14:textId="77777777" w:rsidR="00A17334" w:rsidRPr="00A2204D" w:rsidRDefault="00DB5763" w:rsidP="00BC0705">
      <w:pPr>
        <w:jc w:val="left"/>
        <w:rPr>
          <w:rFonts w:ascii="Arial" w:hAnsi="Arial" w:cs="Arial"/>
          <w:b/>
          <w:szCs w:val="24"/>
        </w:rPr>
      </w:pPr>
      <w:r w:rsidRPr="00A2204D">
        <w:rPr>
          <w:rFonts w:ascii="Arial" w:hAnsi="Arial" w:cs="Arial"/>
          <w:b/>
          <w:szCs w:val="24"/>
        </w:rPr>
        <w:t>Regulation 49</w:t>
      </w:r>
    </w:p>
    <w:p w14:paraId="5D39CDFD" w14:textId="77777777" w:rsidR="00DB5763" w:rsidRPr="00A2204D" w:rsidRDefault="002F143C" w:rsidP="00BC0705">
      <w:pPr>
        <w:pStyle w:val="BodyTextIndent"/>
        <w:ind w:firstLine="0"/>
        <w:jc w:val="left"/>
        <w:rPr>
          <w:rFonts w:ascii="Arial" w:hAnsi="Arial" w:cs="Arial"/>
          <w:szCs w:val="24"/>
        </w:rPr>
      </w:pPr>
      <w:r w:rsidRPr="00A2204D">
        <w:rPr>
          <w:rFonts w:ascii="Arial" w:hAnsi="Arial" w:cs="Arial"/>
          <w:szCs w:val="24"/>
        </w:rPr>
        <w:t>Where the regulator receives information that</w:t>
      </w:r>
      <w:r w:rsidR="009B52F2" w:rsidRPr="00A2204D">
        <w:rPr>
          <w:rFonts w:ascii="Arial" w:hAnsi="Arial" w:cs="Arial"/>
          <w:szCs w:val="24"/>
        </w:rPr>
        <w:t xml:space="preserve"> it considers</w:t>
      </w:r>
      <w:r w:rsidRPr="00A2204D">
        <w:rPr>
          <w:rFonts w:ascii="Arial" w:hAnsi="Arial" w:cs="Arial"/>
          <w:szCs w:val="24"/>
        </w:rPr>
        <w:t xml:space="preserve"> may be confidential</w:t>
      </w:r>
      <w:r w:rsidR="009B52F2" w:rsidRPr="00A2204D">
        <w:rPr>
          <w:rFonts w:ascii="Arial" w:hAnsi="Arial" w:cs="Arial"/>
          <w:szCs w:val="24"/>
        </w:rPr>
        <w:t>, it must give notice of that view to the person the information is about. This person is known as the information subject. The information subject may within 15 working days give notice consenting or objecting to the inclusion of the information on the register. If an objection is made you must give the reasons for this view.</w:t>
      </w:r>
    </w:p>
    <w:p w14:paraId="5D39CDFE" w14:textId="77777777" w:rsidR="0016657C" w:rsidRPr="00A2204D" w:rsidRDefault="0016657C" w:rsidP="00BC0705">
      <w:pPr>
        <w:pStyle w:val="BodyTextIndent"/>
        <w:ind w:firstLine="0"/>
        <w:jc w:val="left"/>
        <w:rPr>
          <w:rFonts w:ascii="Arial" w:hAnsi="Arial" w:cs="Arial"/>
          <w:szCs w:val="24"/>
        </w:rPr>
      </w:pPr>
    </w:p>
    <w:p w14:paraId="5D39CDFF" w14:textId="77777777" w:rsidR="0016657C" w:rsidRPr="00A2204D" w:rsidRDefault="0016657C" w:rsidP="00BC0705">
      <w:pPr>
        <w:pStyle w:val="BodyTextIndent"/>
        <w:ind w:firstLine="0"/>
        <w:jc w:val="left"/>
        <w:rPr>
          <w:rFonts w:ascii="Arial" w:hAnsi="Arial" w:cs="Arial"/>
          <w:szCs w:val="24"/>
        </w:rPr>
      </w:pPr>
      <w:r w:rsidRPr="00A2204D">
        <w:rPr>
          <w:rFonts w:ascii="Arial" w:hAnsi="Arial" w:cs="Arial"/>
          <w:b/>
          <w:szCs w:val="24"/>
        </w:rPr>
        <w:t>Regulations 51</w:t>
      </w:r>
    </w:p>
    <w:p w14:paraId="5D39CE00" w14:textId="77777777" w:rsidR="00DB5763" w:rsidRPr="00A2204D" w:rsidRDefault="0016657C" w:rsidP="00BC0705">
      <w:pPr>
        <w:jc w:val="left"/>
        <w:rPr>
          <w:rFonts w:ascii="Arial" w:hAnsi="Arial" w:cs="Arial"/>
          <w:szCs w:val="24"/>
        </w:rPr>
      </w:pPr>
      <w:r w:rsidRPr="00A2204D">
        <w:rPr>
          <w:rStyle w:val="BodyTextIndentChar"/>
          <w:rFonts w:ascii="Arial" w:hAnsi="Arial" w:cs="Arial"/>
          <w:szCs w:val="24"/>
        </w:rPr>
        <w:t>When making a confidentiality determination</w:t>
      </w:r>
      <w:r w:rsidRPr="00A2204D">
        <w:rPr>
          <w:rFonts w:ascii="Arial" w:hAnsi="Arial" w:cs="Arial"/>
          <w:szCs w:val="24"/>
        </w:rPr>
        <w:t xml:space="preserve"> the regulator must comply with the conditions detailed in this regulation. </w:t>
      </w:r>
      <w:proofErr w:type="gramStart"/>
      <w:r w:rsidR="00420875" w:rsidRPr="00A2204D">
        <w:rPr>
          <w:rFonts w:ascii="Arial" w:hAnsi="Arial" w:cs="Arial"/>
          <w:szCs w:val="24"/>
        </w:rPr>
        <w:t>In particular the</w:t>
      </w:r>
      <w:proofErr w:type="gramEnd"/>
      <w:r w:rsidR="00420875" w:rsidRPr="00A2204D">
        <w:rPr>
          <w:rFonts w:ascii="Arial" w:hAnsi="Arial" w:cs="Arial"/>
          <w:szCs w:val="24"/>
        </w:rPr>
        <w:t xml:space="preserve"> regulator must determine to exclude information from the public register if it considers that the information is commercial or industrial information, confid</w:t>
      </w:r>
      <w:r w:rsidR="00E07204" w:rsidRPr="00A2204D">
        <w:rPr>
          <w:rFonts w:ascii="Arial" w:hAnsi="Arial" w:cs="Arial"/>
          <w:szCs w:val="24"/>
        </w:rPr>
        <w:t>entiality is provided by law to</w:t>
      </w:r>
      <w:r w:rsidR="00420875" w:rsidRPr="00A2204D">
        <w:rPr>
          <w:rFonts w:ascii="Arial" w:hAnsi="Arial" w:cs="Arial"/>
          <w:szCs w:val="24"/>
        </w:rPr>
        <w:t xml:space="preserve"> protect a legitimate economic interest, and the public interest in maintaining its confidentiality outweighs the public interest in including it on the register.</w:t>
      </w:r>
    </w:p>
    <w:p w14:paraId="5D39CE01" w14:textId="77777777" w:rsidR="0016657C" w:rsidRPr="00A2204D" w:rsidRDefault="0016657C" w:rsidP="00BC0705">
      <w:pPr>
        <w:jc w:val="left"/>
        <w:rPr>
          <w:rFonts w:ascii="Arial" w:hAnsi="Arial" w:cs="Arial"/>
          <w:b/>
          <w:szCs w:val="24"/>
        </w:rPr>
      </w:pPr>
    </w:p>
    <w:p w14:paraId="5D39CE02" w14:textId="77777777" w:rsidR="00A17334" w:rsidRPr="00A2204D" w:rsidRDefault="00BF6B94" w:rsidP="00BC0705">
      <w:pPr>
        <w:jc w:val="left"/>
        <w:rPr>
          <w:rFonts w:ascii="Arial" w:hAnsi="Arial" w:cs="Arial"/>
          <w:b/>
          <w:szCs w:val="24"/>
        </w:rPr>
      </w:pPr>
      <w:r w:rsidRPr="00A2204D">
        <w:rPr>
          <w:rFonts w:ascii="Arial" w:hAnsi="Arial" w:cs="Arial"/>
          <w:b/>
          <w:szCs w:val="24"/>
        </w:rPr>
        <w:t>Regulation</w:t>
      </w:r>
      <w:r w:rsidR="00A17334" w:rsidRPr="00A2204D">
        <w:rPr>
          <w:rFonts w:ascii="Arial" w:hAnsi="Arial" w:cs="Arial"/>
          <w:b/>
          <w:szCs w:val="24"/>
        </w:rPr>
        <w:t xml:space="preserve"> </w:t>
      </w:r>
      <w:r w:rsidR="00DB5763" w:rsidRPr="00A2204D">
        <w:rPr>
          <w:rFonts w:ascii="Arial" w:hAnsi="Arial" w:cs="Arial"/>
          <w:b/>
          <w:szCs w:val="24"/>
        </w:rPr>
        <w:t>52</w:t>
      </w:r>
    </w:p>
    <w:p w14:paraId="5D39CE03" w14:textId="77777777" w:rsidR="00A17334" w:rsidRPr="00A2204D" w:rsidRDefault="00A17334" w:rsidP="00BC0705">
      <w:pPr>
        <w:pStyle w:val="BodyTextIndent"/>
        <w:ind w:firstLine="0"/>
        <w:jc w:val="left"/>
        <w:rPr>
          <w:rFonts w:ascii="Arial" w:hAnsi="Arial" w:cs="Arial"/>
          <w:szCs w:val="24"/>
        </w:rPr>
      </w:pPr>
      <w:r w:rsidRPr="00A2204D">
        <w:rPr>
          <w:rFonts w:ascii="Arial" w:hAnsi="Arial" w:cs="Arial"/>
          <w:szCs w:val="24"/>
        </w:rPr>
        <w:t xml:space="preserve">The </w:t>
      </w:r>
      <w:r w:rsidR="00DB5763" w:rsidRPr="00A2204D">
        <w:rPr>
          <w:rFonts w:ascii="Arial" w:hAnsi="Arial" w:cs="Arial"/>
          <w:szCs w:val="24"/>
        </w:rPr>
        <w:t>regulator has 20 working</w:t>
      </w:r>
      <w:r w:rsidRPr="00A2204D">
        <w:rPr>
          <w:rFonts w:ascii="Arial" w:hAnsi="Arial" w:cs="Arial"/>
          <w:szCs w:val="24"/>
        </w:rPr>
        <w:t xml:space="preserve"> days, or any such longer period that may be agreed with you, to give you notice of its determination. If </w:t>
      </w:r>
      <w:r w:rsidR="00DB5763" w:rsidRPr="00A2204D">
        <w:rPr>
          <w:rFonts w:ascii="Arial" w:hAnsi="Arial" w:cs="Arial"/>
          <w:szCs w:val="24"/>
        </w:rPr>
        <w:t>we fail</w:t>
      </w:r>
      <w:r w:rsidRPr="00A2204D">
        <w:rPr>
          <w:rFonts w:ascii="Arial" w:hAnsi="Arial" w:cs="Arial"/>
          <w:szCs w:val="24"/>
        </w:rPr>
        <w:t xml:space="preserve"> to give notice within </w:t>
      </w:r>
      <w:r w:rsidR="00DB5763" w:rsidRPr="00A2204D">
        <w:rPr>
          <w:rFonts w:ascii="Arial" w:hAnsi="Arial" w:cs="Arial"/>
          <w:szCs w:val="24"/>
        </w:rPr>
        <w:t>20 working days</w:t>
      </w:r>
      <w:r w:rsidRPr="00A2204D">
        <w:rPr>
          <w:rFonts w:ascii="Arial" w:hAnsi="Arial" w:cs="Arial"/>
          <w:szCs w:val="24"/>
        </w:rPr>
        <w:t xml:space="preserve"> (or other agreed period), you </w:t>
      </w:r>
      <w:r w:rsidR="00DB5763" w:rsidRPr="00A2204D">
        <w:rPr>
          <w:rFonts w:ascii="Arial" w:hAnsi="Arial" w:cs="Arial"/>
          <w:szCs w:val="24"/>
        </w:rPr>
        <w:t>can notify us in writing that we are deemed to have determined that the information must be included on the public register. You then have the right of appeal.</w:t>
      </w:r>
    </w:p>
    <w:p w14:paraId="5D39CE04" w14:textId="77777777" w:rsidR="0016657C" w:rsidRPr="00A2204D" w:rsidRDefault="0016657C" w:rsidP="00BC0705">
      <w:pPr>
        <w:pStyle w:val="BodyTextIndent"/>
        <w:ind w:firstLine="0"/>
        <w:jc w:val="left"/>
        <w:rPr>
          <w:rFonts w:ascii="Arial" w:hAnsi="Arial" w:cs="Arial"/>
          <w:szCs w:val="24"/>
        </w:rPr>
      </w:pPr>
    </w:p>
    <w:p w14:paraId="5D39CE05" w14:textId="77777777" w:rsidR="0016657C" w:rsidRPr="00A2204D" w:rsidRDefault="00BF6B94" w:rsidP="00BC0705">
      <w:pPr>
        <w:jc w:val="left"/>
        <w:rPr>
          <w:rFonts w:ascii="Arial" w:hAnsi="Arial" w:cs="Arial"/>
          <w:b/>
          <w:szCs w:val="24"/>
        </w:rPr>
      </w:pPr>
      <w:r w:rsidRPr="00A2204D">
        <w:rPr>
          <w:rFonts w:ascii="Arial" w:hAnsi="Arial" w:cs="Arial"/>
          <w:b/>
          <w:szCs w:val="24"/>
        </w:rPr>
        <w:t>Regulation</w:t>
      </w:r>
      <w:r w:rsidR="0016657C" w:rsidRPr="00A2204D">
        <w:rPr>
          <w:rFonts w:ascii="Arial" w:hAnsi="Arial" w:cs="Arial"/>
          <w:b/>
          <w:szCs w:val="24"/>
        </w:rPr>
        <w:t xml:space="preserve"> 5</w:t>
      </w:r>
      <w:r w:rsidRPr="00A2204D">
        <w:rPr>
          <w:rFonts w:ascii="Arial" w:hAnsi="Arial" w:cs="Arial"/>
          <w:b/>
          <w:szCs w:val="24"/>
        </w:rPr>
        <w:t>3</w:t>
      </w:r>
    </w:p>
    <w:p w14:paraId="5D39CE06" w14:textId="77777777" w:rsidR="0016657C" w:rsidRPr="00A2204D" w:rsidRDefault="00BF6B94" w:rsidP="00BC0705">
      <w:pPr>
        <w:pStyle w:val="BodyTextIndent"/>
        <w:ind w:firstLine="0"/>
        <w:jc w:val="left"/>
        <w:rPr>
          <w:rFonts w:ascii="Arial" w:hAnsi="Arial" w:cs="Arial"/>
          <w:szCs w:val="24"/>
        </w:rPr>
      </w:pPr>
      <w:r w:rsidRPr="00A2204D">
        <w:rPr>
          <w:rFonts w:ascii="Arial" w:hAnsi="Arial" w:cs="Arial"/>
          <w:szCs w:val="24"/>
        </w:rPr>
        <w:t xml:space="preserve">You may give notice of appeal to the Secretary of State within 15 working days after the regulator has </w:t>
      </w:r>
      <w:proofErr w:type="gramStart"/>
      <w:r w:rsidRPr="00A2204D">
        <w:rPr>
          <w:rFonts w:ascii="Arial" w:hAnsi="Arial" w:cs="Arial"/>
          <w:szCs w:val="24"/>
        </w:rPr>
        <w:t>made a determination</w:t>
      </w:r>
      <w:proofErr w:type="gramEnd"/>
      <w:r w:rsidRPr="00A2204D">
        <w:rPr>
          <w:rFonts w:ascii="Arial" w:hAnsi="Arial" w:cs="Arial"/>
          <w:szCs w:val="24"/>
        </w:rPr>
        <w:t xml:space="preserve"> under regulation 5</w:t>
      </w:r>
      <w:r w:rsidR="002B559A" w:rsidRPr="00A2204D">
        <w:rPr>
          <w:rFonts w:ascii="Arial" w:hAnsi="Arial" w:cs="Arial"/>
          <w:szCs w:val="24"/>
        </w:rPr>
        <w:t>0</w:t>
      </w:r>
      <w:r w:rsidRPr="00A2204D">
        <w:rPr>
          <w:rFonts w:ascii="Arial" w:hAnsi="Arial" w:cs="Arial"/>
          <w:szCs w:val="24"/>
        </w:rPr>
        <w:t>.</w:t>
      </w:r>
    </w:p>
    <w:p w14:paraId="5D39CE07" w14:textId="77777777" w:rsidR="00A17334" w:rsidRPr="00A2204D" w:rsidRDefault="00A17334" w:rsidP="00BC0705">
      <w:pPr>
        <w:jc w:val="left"/>
        <w:rPr>
          <w:rFonts w:ascii="Arial" w:hAnsi="Arial" w:cs="Arial"/>
          <w:szCs w:val="24"/>
        </w:rPr>
      </w:pPr>
    </w:p>
    <w:p w14:paraId="5D39CE08" w14:textId="77777777" w:rsidR="00A17334" w:rsidRPr="00A2204D" w:rsidRDefault="009B52F2" w:rsidP="00BC0705">
      <w:pPr>
        <w:jc w:val="left"/>
        <w:rPr>
          <w:rFonts w:ascii="Arial" w:hAnsi="Arial" w:cs="Arial"/>
          <w:b/>
          <w:szCs w:val="24"/>
        </w:rPr>
      </w:pPr>
      <w:r w:rsidRPr="00A2204D">
        <w:rPr>
          <w:rFonts w:ascii="Arial" w:hAnsi="Arial" w:cs="Arial"/>
          <w:b/>
          <w:szCs w:val="24"/>
        </w:rPr>
        <w:t>Regulation 55</w:t>
      </w:r>
    </w:p>
    <w:p w14:paraId="5D39CE09" w14:textId="77777777" w:rsidR="00A17334" w:rsidRPr="00A2204D" w:rsidRDefault="00A17334" w:rsidP="00BC0705">
      <w:pPr>
        <w:pStyle w:val="BodyTextIndent"/>
        <w:ind w:firstLine="0"/>
        <w:jc w:val="left"/>
        <w:rPr>
          <w:rFonts w:ascii="Arial" w:hAnsi="Arial" w:cs="Arial"/>
          <w:szCs w:val="24"/>
        </w:rPr>
      </w:pPr>
      <w:r w:rsidRPr="00A2204D">
        <w:rPr>
          <w:rFonts w:ascii="Arial" w:hAnsi="Arial" w:cs="Arial"/>
          <w:szCs w:val="24"/>
        </w:rPr>
        <w:t>Any information that is determined to be confidential remains so for a period of 4 years</w:t>
      </w:r>
      <w:r w:rsidR="009B52F2" w:rsidRPr="00A2204D">
        <w:rPr>
          <w:rFonts w:ascii="Arial" w:hAnsi="Arial" w:cs="Arial"/>
          <w:szCs w:val="24"/>
        </w:rPr>
        <w:t xml:space="preserve"> or any shorter period specified in the decision</w:t>
      </w:r>
      <w:r w:rsidRPr="00A2204D">
        <w:rPr>
          <w:rFonts w:ascii="Arial" w:hAnsi="Arial" w:cs="Arial"/>
          <w:szCs w:val="24"/>
        </w:rPr>
        <w:t xml:space="preserve">. You must make a further application at that time, if you </w:t>
      </w:r>
      <w:r w:rsidR="009B52F2" w:rsidRPr="00A2204D">
        <w:rPr>
          <w:rFonts w:ascii="Arial" w:hAnsi="Arial" w:cs="Arial"/>
          <w:szCs w:val="24"/>
        </w:rPr>
        <w:t>believe the</w:t>
      </w:r>
      <w:r w:rsidRPr="00A2204D">
        <w:rPr>
          <w:rFonts w:ascii="Arial" w:hAnsi="Arial" w:cs="Arial"/>
          <w:szCs w:val="24"/>
        </w:rPr>
        <w:t xml:space="preserve"> information</w:t>
      </w:r>
      <w:r w:rsidR="009B52F2" w:rsidRPr="00A2204D">
        <w:rPr>
          <w:rFonts w:ascii="Arial" w:hAnsi="Arial" w:cs="Arial"/>
          <w:szCs w:val="24"/>
        </w:rPr>
        <w:t xml:space="preserve"> remains confidential information and should </w:t>
      </w:r>
      <w:r w:rsidR="0016657C" w:rsidRPr="00A2204D">
        <w:rPr>
          <w:rFonts w:ascii="Arial" w:hAnsi="Arial" w:cs="Arial"/>
          <w:szCs w:val="24"/>
        </w:rPr>
        <w:t xml:space="preserve">be </w:t>
      </w:r>
      <w:r w:rsidRPr="00A2204D">
        <w:rPr>
          <w:rFonts w:ascii="Arial" w:hAnsi="Arial" w:cs="Arial"/>
          <w:szCs w:val="24"/>
        </w:rPr>
        <w:t>withheld from the public registers.</w:t>
      </w:r>
    </w:p>
    <w:p w14:paraId="5D39CE0A" w14:textId="77777777" w:rsidR="00A17334" w:rsidRPr="00A2204D" w:rsidRDefault="00A17334" w:rsidP="00BC0705">
      <w:pPr>
        <w:jc w:val="left"/>
        <w:rPr>
          <w:rFonts w:ascii="Arial" w:hAnsi="Arial" w:cs="Arial"/>
          <w:szCs w:val="24"/>
        </w:rPr>
      </w:pPr>
    </w:p>
    <w:p w14:paraId="5D39CE0B" w14:textId="77777777" w:rsidR="00391FC4" w:rsidRPr="00A2204D" w:rsidRDefault="00391FC4" w:rsidP="00BC0705">
      <w:pPr>
        <w:jc w:val="left"/>
        <w:rPr>
          <w:rFonts w:ascii="Arial" w:hAnsi="Arial" w:cs="Arial"/>
          <w:szCs w:val="24"/>
        </w:rPr>
      </w:pPr>
    </w:p>
    <w:p w14:paraId="608178DF" w14:textId="77777777" w:rsidR="00A2204D" w:rsidRDefault="00A2204D" w:rsidP="00E704C8">
      <w:pPr>
        <w:rPr>
          <w:rFonts w:ascii="Arial" w:hAnsi="Arial" w:cs="Arial"/>
          <w:b/>
          <w:szCs w:val="24"/>
        </w:rPr>
      </w:pPr>
    </w:p>
    <w:p w14:paraId="5D39CE0C" w14:textId="56D26535" w:rsidR="00A0361D" w:rsidRPr="00A2204D" w:rsidRDefault="00A0361D" w:rsidP="00E704C8">
      <w:pPr>
        <w:rPr>
          <w:rFonts w:ascii="Arial" w:hAnsi="Arial" w:cs="Arial"/>
          <w:b/>
          <w:szCs w:val="24"/>
        </w:rPr>
      </w:pPr>
      <w:r w:rsidRPr="00A2204D">
        <w:rPr>
          <w:rFonts w:ascii="Arial" w:hAnsi="Arial" w:cs="Arial"/>
          <w:b/>
          <w:szCs w:val="24"/>
        </w:rPr>
        <w:lastRenderedPageBreak/>
        <w:t>Rights of appeal</w:t>
      </w:r>
    </w:p>
    <w:p w14:paraId="27F706BB" w14:textId="77777777" w:rsidR="00157792" w:rsidRPr="00A2204D" w:rsidRDefault="00E704C8" w:rsidP="00A0361D">
      <w:pPr>
        <w:spacing w:after="120"/>
        <w:jc w:val="left"/>
        <w:rPr>
          <w:rFonts w:ascii="Arial" w:hAnsi="Arial" w:cs="Arial"/>
          <w:szCs w:val="24"/>
        </w:rPr>
      </w:pPr>
      <w:r w:rsidRPr="00A2204D">
        <w:rPr>
          <w:rFonts w:ascii="Arial" w:hAnsi="Arial" w:cs="Arial"/>
          <w:szCs w:val="24"/>
        </w:rPr>
        <w:t xml:space="preserve">You have a right to appeal against this decision to </w:t>
      </w:r>
      <w:r w:rsidR="00A0361D" w:rsidRPr="00A2204D">
        <w:rPr>
          <w:rFonts w:ascii="Arial" w:hAnsi="Arial" w:cs="Arial"/>
          <w:szCs w:val="24"/>
        </w:rPr>
        <w:t>the Secretary of State. You must make your appeal</w:t>
      </w:r>
      <w:r w:rsidRPr="00A2204D">
        <w:rPr>
          <w:rFonts w:ascii="Arial" w:hAnsi="Arial" w:cs="Arial"/>
          <w:szCs w:val="24"/>
        </w:rPr>
        <w:t xml:space="preserve"> within 15 working days of the date of this notice. </w:t>
      </w:r>
    </w:p>
    <w:p w14:paraId="5D39CE0E" w14:textId="47B28DCF" w:rsidR="00A0361D" w:rsidRPr="00A2204D" w:rsidRDefault="00E704C8" w:rsidP="00A0361D">
      <w:pPr>
        <w:spacing w:after="120"/>
        <w:jc w:val="left"/>
        <w:rPr>
          <w:rFonts w:ascii="Arial" w:hAnsi="Arial" w:cs="Arial"/>
          <w:szCs w:val="24"/>
        </w:rPr>
      </w:pPr>
      <w:r w:rsidRPr="00A2204D">
        <w:rPr>
          <w:rFonts w:ascii="Arial" w:hAnsi="Arial" w:cs="Arial"/>
          <w:szCs w:val="24"/>
        </w:rPr>
        <w:t>Fu</w:t>
      </w:r>
      <w:r w:rsidR="00A0361D" w:rsidRPr="00A2204D">
        <w:rPr>
          <w:rFonts w:ascii="Arial" w:hAnsi="Arial" w:cs="Arial"/>
          <w:szCs w:val="24"/>
        </w:rPr>
        <w:t xml:space="preserve">rther information about making an appeal and the forms you will need are available from the </w:t>
      </w:r>
      <w:hyperlink r:id="rId11" w:tooltip="Planning Inspectorate Pages website" w:history="1">
        <w:r w:rsidR="00BE1356" w:rsidRPr="00A2204D">
          <w:rPr>
            <w:rStyle w:val="Hyperlink"/>
            <w:rFonts w:ascii="Arial" w:hAnsi="Arial" w:cs="Arial"/>
            <w:szCs w:val="24"/>
          </w:rPr>
          <w:t xml:space="preserve">Planning Inspectorate pages </w:t>
        </w:r>
        <w:r w:rsidR="00157792" w:rsidRPr="00A2204D">
          <w:rPr>
            <w:rStyle w:val="Hyperlink"/>
            <w:rFonts w:ascii="Arial" w:hAnsi="Arial" w:cs="Arial"/>
            <w:szCs w:val="24"/>
          </w:rPr>
          <w:t>website</w:t>
        </w:r>
      </w:hyperlink>
      <w:r w:rsidR="00157792" w:rsidRPr="00A2204D">
        <w:rPr>
          <w:rFonts w:ascii="Arial" w:hAnsi="Arial" w:cs="Arial"/>
          <w:szCs w:val="24"/>
        </w:rPr>
        <w:t>.</w:t>
      </w:r>
    </w:p>
    <w:p w14:paraId="5B4C39D1" w14:textId="1C5632F5" w:rsidR="00157792" w:rsidRPr="00A2204D" w:rsidRDefault="00157792" w:rsidP="00A0361D">
      <w:pPr>
        <w:spacing w:after="120"/>
        <w:jc w:val="left"/>
        <w:rPr>
          <w:rFonts w:ascii="Arial" w:hAnsi="Arial" w:cs="Arial"/>
          <w:szCs w:val="24"/>
        </w:rPr>
      </w:pPr>
      <w:r w:rsidRPr="00A2204D">
        <w:rPr>
          <w:rFonts w:ascii="Arial" w:hAnsi="Arial" w:cs="Arial"/>
          <w:szCs w:val="24"/>
        </w:rPr>
        <w:t xml:space="preserve">You will need to provide the documents listed below to the Secretary of State at the Planning Inspectorate. </w:t>
      </w:r>
    </w:p>
    <w:p w14:paraId="64598715" w14:textId="77777777" w:rsidR="00157792" w:rsidRPr="00A2204D" w:rsidRDefault="00157792" w:rsidP="00157792">
      <w:pPr>
        <w:tabs>
          <w:tab w:val="left" w:pos="7938"/>
        </w:tabs>
        <w:spacing w:after="120"/>
        <w:jc w:val="left"/>
        <w:rPr>
          <w:rFonts w:ascii="Arial" w:hAnsi="Arial" w:cs="Arial"/>
          <w:szCs w:val="24"/>
        </w:rPr>
      </w:pPr>
      <w:r w:rsidRPr="00A2204D">
        <w:rPr>
          <w:rFonts w:ascii="Arial" w:hAnsi="Arial" w:cs="Arial"/>
          <w:szCs w:val="24"/>
        </w:rPr>
        <w:t>The documents are:</w:t>
      </w:r>
    </w:p>
    <w:p w14:paraId="59A0291D" w14:textId="77777777" w:rsidR="00157792" w:rsidRPr="00A2204D" w:rsidRDefault="00157792" w:rsidP="00157792">
      <w:pPr>
        <w:numPr>
          <w:ilvl w:val="0"/>
          <w:numId w:val="4"/>
        </w:numPr>
        <w:tabs>
          <w:tab w:val="left" w:pos="7938"/>
        </w:tabs>
        <w:spacing w:after="120"/>
        <w:jc w:val="left"/>
        <w:rPr>
          <w:rFonts w:ascii="Arial" w:hAnsi="Arial" w:cs="Arial"/>
          <w:szCs w:val="24"/>
        </w:rPr>
      </w:pPr>
      <w:r w:rsidRPr="00A2204D">
        <w:rPr>
          <w:rFonts w:ascii="Arial" w:hAnsi="Arial" w:cs="Arial"/>
          <w:szCs w:val="24"/>
        </w:rPr>
        <w:t>a statement of the grounds of appeal; and</w:t>
      </w:r>
    </w:p>
    <w:p w14:paraId="70561A5E" w14:textId="77777777" w:rsidR="00157792" w:rsidRPr="00A2204D" w:rsidRDefault="00157792" w:rsidP="00157792">
      <w:pPr>
        <w:numPr>
          <w:ilvl w:val="0"/>
          <w:numId w:val="4"/>
        </w:numPr>
        <w:tabs>
          <w:tab w:val="left" w:pos="7938"/>
        </w:tabs>
        <w:spacing w:after="120"/>
        <w:jc w:val="left"/>
        <w:rPr>
          <w:rFonts w:ascii="Arial" w:hAnsi="Arial" w:cs="Arial"/>
          <w:szCs w:val="24"/>
        </w:rPr>
      </w:pPr>
      <w:r w:rsidRPr="00A2204D">
        <w:rPr>
          <w:rFonts w:ascii="Arial" w:hAnsi="Arial" w:cs="Arial"/>
          <w:szCs w:val="24"/>
        </w:rPr>
        <w:t>a statement indicating whether you wish the appeal to be in the form of a hearing or dealt with by way of written representations.</w:t>
      </w:r>
    </w:p>
    <w:p w14:paraId="31ED9BAD" w14:textId="6EEAC232" w:rsidR="00157792" w:rsidRPr="00A2204D" w:rsidRDefault="00157792" w:rsidP="00A0361D">
      <w:pPr>
        <w:spacing w:after="120"/>
        <w:jc w:val="left"/>
        <w:rPr>
          <w:rFonts w:ascii="Arial" w:hAnsi="Arial" w:cs="Arial"/>
          <w:szCs w:val="24"/>
        </w:rPr>
      </w:pPr>
      <w:r w:rsidRPr="00A2204D">
        <w:rPr>
          <w:rFonts w:ascii="Arial" w:hAnsi="Arial" w:cs="Arial"/>
          <w:szCs w:val="24"/>
        </w:rPr>
        <w:t xml:space="preserve">At the same time, you must send us a copy of the notice and documents to </w:t>
      </w:r>
    </w:p>
    <w:p w14:paraId="642BDE87" w14:textId="77777777" w:rsidR="00157792" w:rsidRPr="00A2204D" w:rsidRDefault="00157792" w:rsidP="00157792">
      <w:pPr>
        <w:spacing w:after="120"/>
        <w:jc w:val="left"/>
        <w:rPr>
          <w:rFonts w:ascii="Arial" w:hAnsi="Arial" w:cs="Arial"/>
          <w:b/>
          <w:szCs w:val="24"/>
        </w:rPr>
      </w:pPr>
      <w:r w:rsidRPr="00A2204D">
        <w:rPr>
          <w:rFonts w:ascii="Arial" w:hAnsi="Arial" w:cs="Arial"/>
          <w:b/>
          <w:szCs w:val="24"/>
        </w:rPr>
        <w:t xml:space="preserve">Appeals Co-ordinator – Appeals, Environment Agency, National Permitting Service, Knutsford Road, Latchford, Warrington, WA4 1HT. </w:t>
      </w:r>
    </w:p>
    <w:p w14:paraId="0204D004" w14:textId="2F8169C5" w:rsidR="00157792" w:rsidRPr="00A2204D" w:rsidRDefault="00157792" w:rsidP="00157792">
      <w:pPr>
        <w:jc w:val="left"/>
        <w:rPr>
          <w:rFonts w:ascii="Arial" w:hAnsi="Arial" w:cs="Arial"/>
          <w:b/>
          <w:szCs w:val="24"/>
        </w:rPr>
      </w:pPr>
      <w:r w:rsidRPr="00A2204D">
        <w:rPr>
          <w:rFonts w:ascii="Arial" w:hAnsi="Arial" w:cs="Arial"/>
          <w:b/>
          <w:szCs w:val="24"/>
        </w:rPr>
        <w:t xml:space="preserve">Telephone: 0203 0250662 </w:t>
      </w:r>
    </w:p>
    <w:p w14:paraId="0DACDD4F" w14:textId="77777777" w:rsidR="00157792" w:rsidRPr="00A2204D" w:rsidRDefault="00157792" w:rsidP="00157792">
      <w:pPr>
        <w:spacing w:after="120"/>
        <w:jc w:val="left"/>
        <w:rPr>
          <w:rFonts w:ascii="Arial" w:hAnsi="Arial" w:cs="Arial"/>
          <w:b/>
          <w:szCs w:val="24"/>
        </w:rPr>
      </w:pPr>
      <w:r w:rsidRPr="00A2204D">
        <w:rPr>
          <w:rFonts w:ascii="Arial" w:hAnsi="Arial" w:cs="Arial"/>
          <w:b/>
          <w:szCs w:val="24"/>
        </w:rPr>
        <w:t xml:space="preserve">Email : </w:t>
      </w:r>
      <w:hyperlink r:id="rId12" w:tooltip="NPS Centralised Services Team" w:history="1">
        <w:r w:rsidRPr="00A2204D">
          <w:rPr>
            <w:rFonts w:ascii="Arial" w:hAnsi="Arial" w:cs="Arial"/>
            <w:b/>
            <w:color w:val="0000FF"/>
            <w:szCs w:val="24"/>
            <w:u w:val="single"/>
          </w:rPr>
          <w:t>NPSCentralisedServicesTeam@environment-agency.gov.uk</w:t>
        </w:r>
      </w:hyperlink>
      <w:r w:rsidRPr="00A2204D">
        <w:rPr>
          <w:rFonts w:ascii="Arial" w:hAnsi="Arial" w:cs="Arial"/>
          <w:b/>
          <w:szCs w:val="24"/>
        </w:rPr>
        <w:t xml:space="preserve">  </w:t>
      </w:r>
    </w:p>
    <w:p w14:paraId="5D39CE1B" w14:textId="77777777" w:rsidR="00A0361D" w:rsidRPr="00A2204D" w:rsidRDefault="00A0361D" w:rsidP="00A0361D">
      <w:pPr>
        <w:tabs>
          <w:tab w:val="left" w:pos="7938"/>
        </w:tabs>
        <w:spacing w:after="120"/>
        <w:jc w:val="left"/>
        <w:rPr>
          <w:rFonts w:ascii="Arial" w:hAnsi="Arial" w:cs="Arial"/>
          <w:szCs w:val="24"/>
        </w:rPr>
      </w:pPr>
      <w:r w:rsidRPr="00A2204D">
        <w:rPr>
          <w:rFonts w:ascii="Arial" w:hAnsi="Arial" w:cs="Arial"/>
          <w:szCs w:val="24"/>
        </w:rPr>
        <w:t>You may withdraw an appeal by notifying the Secretary of State in writing and sending a copy of that notification to us.</w:t>
      </w:r>
    </w:p>
    <w:p w14:paraId="380594D0" w14:textId="77777777" w:rsidR="00A711E4" w:rsidRDefault="00472F5B" w:rsidP="00DC245E">
      <w:pPr>
        <w:pStyle w:val="Heading4"/>
      </w:pPr>
      <w:r>
        <w:br w:type="page"/>
      </w:r>
    </w:p>
    <w:p w14:paraId="13205E18" w14:textId="77777777" w:rsidR="00B941F1" w:rsidRDefault="00B941F1" w:rsidP="00853838">
      <w:pPr>
        <w:pStyle w:val="AgencyStdParagraph"/>
      </w:pPr>
    </w:p>
    <w:p w14:paraId="5D39CE20" w14:textId="4C4CDE8A" w:rsidR="00DC245E" w:rsidRDefault="00CA6A27" w:rsidP="00853838">
      <w:pPr>
        <w:pStyle w:val="AgencyStdParagraph"/>
      </w:pPr>
      <w:r w:rsidRPr="00853838">
        <w:t>All the information</w:t>
      </w:r>
      <w:r w:rsidR="00826957" w:rsidRPr="00853838">
        <w:t xml:space="preserve"> in your confidentiality notice is </w:t>
      </w:r>
      <w:r w:rsidR="007E291B" w:rsidRPr="00853838">
        <w:t>confidential</w:t>
      </w:r>
      <w:r w:rsidRPr="00853838">
        <w:t>, other than that detailed below</w:t>
      </w:r>
      <w:r w:rsidR="00853838" w:rsidRPr="00853838">
        <w:t>:</w:t>
      </w:r>
    </w:p>
    <w:p w14:paraId="41088AB9" w14:textId="77777777" w:rsidR="000F187A" w:rsidRDefault="000F187A" w:rsidP="00853838">
      <w:pPr>
        <w:pStyle w:val="AgencyStdParagraph"/>
      </w:pPr>
    </w:p>
    <w:p w14:paraId="50F82D42" w14:textId="6EF4BC6C" w:rsidR="000F187A" w:rsidRDefault="000F187A" w:rsidP="00853838">
      <w:pPr>
        <w:pStyle w:val="AgencyStdParagraph"/>
      </w:pPr>
      <w:r>
        <w:t xml:space="preserve">On review of the identified documents </w:t>
      </w:r>
      <w:r w:rsidR="00E577A3">
        <w:t xml:space="preserve">we have identified that </w:t>
      </w:r>
      <w:proofErr w:type="gramStart"/>
      <w:r w:rsidR="00E577A3">
        <w:t>the majority of</w:t>
      </w:r>
      <w:proofErr w:type="gramEnd"/>
      <w:r w:rsidR="00E577A3">
        <w:t xml:space="preserve"> the information provided within th</w:t>
      </w:r>
      <w:r w:rsidR="003659DE">
        <w:t>e</w:t>
      </w:r>
      <w:r w:rsidR="00E577A3">
        <w:t xml:space="preserve"> documents </w:t>
      </w:r>
      <w:r w:rsidR="00EF15EA">
        <w:t xml:space="preserve">is </w:t>
      </w:r>
      <w:r w:rsidR="001C2083">
        <w:t xml:space="preserve">information relating to the application and </w:t>
      </w:r>
      <w:r w:rsidR="00381195">
        <w:t xml:space="preserve">required for the </w:t>
      </w:r>
      <w:r w:rsidR="001C2083">
        <w:t xml:space="preserve">consideration of emission risks </w:t>
      </w:r>
      <w:r w:rsidR="00381195">
        <w:t>and</w:t>
      </w:r>
      <w:r w:rsidR="001C2083">
        <w:t xml:space="preserve"> </w:t>
      </w:r>
      <w:r w:rsidR="00F47CF0">
        <w:t xml:space="preserve">does not </w:t>
      </w:r>
      <w:r w:rsidR="0080200F">
        <w:t xml:space="preserve">contain information that </w:t>
      </w:r>
      <w:r w:rsidR="00616FCE">
        <w:t>relates to process specific</w:t>
      </w:r>
      <w:r w:rsidR="0080200F">
        <w:t xml:space="preserve"> </w:t>
      </w:r>
      <w:r w:rsidR="0080200F" w:rsidRPr="0080200F">
        <w:t>procedure and sequence developed</w:t>
      </w:r>
      <w:r w:rsidR="00616FCE">
        <w:t xml:space="preserve"> by </w:t>
      </w:r>
      <w:proofErr w:type="spellStart"/>
      <w:r w:rsidR="00616FCE">
        <w:t>Seloxium</w:t>
      </w:r>
      <w:proofErr w:type="spellEnd"/>
      <w:r w:rsidR="00616FCE">
        <w:t xml:space="preserve">. </w:t>
      </w:r>
      <w:r w:rsidR="00F7247A">
        <w:t xml:space="preserve">In </w:t>
      </w:r>
      <w:r w:rsidR="007D0D9A">
        <w:t>addition,</w:t>
      </w:r>
      <w:r w:rsidR="00232EC7">
        <w:t xml:space="preserve"> the laboratory scale treatment of wastes </w:t>
      </w:r>
      <w:proofErr w:type="gramStart"/>
      <w:r w:rsidR="00016C1B">
        <w:t>have</w:t>
      </w:r>
      <w:proofErr w:type="gramEnd"/>
      <w:r w:rsidR="00016C1B">
        <w:t xml:space="preserve"> been outlines on the </w:t>
      </w:r>
      <w:proofErr w:type="spellStart"/>
      <w:r w:rsidR="00016C1B">
        <w:t>Se</w:t>
      </w:r>
      <w:r w:rsidR="00B07831">
        <w:t>l</w:t>
      </w:r>
      <w:r w:rsidR="00016C1B">
        <w:t>oxium</w:t>
      </w:r>
      <w:proofErr w:type="spellEnd"/>
      <w:r w:rsidR="00016C1B">
        <w:t xml:space="preserve"> webpage</w:t>
      </w:r>
      <w:r w:rsidR="00F20963">
        <w:t xml:space="preserve"> </w:t>
      </w:r>
      <w:r w:rsidR="00F20963" w:rsidRPr="00F20963">
        <w:t>www.seloxium.com</w:t>
      </w:r>
      <w:r w:rsidR="00016C1B">
        <w:t>.</w:t>
      </w:r>
      <w:r w:rsidR="00F20963">
        <w:t xml:space="preserve"> </w:t>
      </w:r>
      <w:r w:rsidR="00DB09BB">
        <w:t>Where specific process</w:t>
      </w:r>
      <w:r w:rsidR="0050003C">
        <w:t>es have been identified these have been redacted.</w:t>
      </w:r>
    </w:p>
    <w:p w14:paraId="78FE3872" w14:textId="77777777" w:rsidR="009C2947" w:rsidRDefault="009C2947" w:rsidP="00853838">
      <w:pPr>
        <w:pStyle w:val="AgencyStdParagraph"/>
      </w:pPr>
    </w:p>
    <w:p w14:paraId="61A0E979" w14:textId="40277345" w:rsidR="009C2947" w:rsidRDefault="00437E4A" w:rsidP="00853838">
      <w:pPr>
        <w:pStyle w:val="AgencyStdParagraph"/>
      </w:pPr>
      <w:r>
        <w:t xml:space="preserve">The following </w:t>
      </w:r>
      <w:r w:rsidR="009714A3">
        <w:t>information has been redacted</w:t>
      </w:r>
      <w:r w:rsidR="000F187A">
        <w:t xml:space="preserve"> in the following identified documents</w:t>
      </w:r>
      <w:r w:rsidR="00291445">
        <w:t>.</w:t>
      </w:r>
    </w:p>
    <w:p w14:paraId="239D8F31" w14:textId="77777777" w:rsidR="000F187A" w:rsidRDefault="000F187A" w:rsidP="00853838">
      <w:pPr>
        <w:pStyle w:val="AgencyStdParagraph"/>
      </w:pPr>
    </w:p>
    <w:p w14:paraId="523A42C9" w14:textId="5A20E559" w:rsidR="000F187A" w:rsidRPr="00514C64" w:rsidRDefault="000F187A" w:rsidP="00514C64">
      <w:pPr>
        <w:pStyle w:val="AgencyStdParagraph"/>
      </w:pPr>
      <w:r w:rsidRPr="00514C64">
        <w:t xml:space="preserve">Document </w:t>
      </w:r>
      <w:r w:rsidRPr="00547259">
        <w:t>SLXDOC-04-EA-B2-6</w:t>
      </w:r>
      <w:r w:rsidRPr="00514C64">
        <w:t xml:space="preserve">: Environmental Risk Assessment redaction of Section 5 a. and b. as these identify process specific details of the treatment process. </w:t>
      </w:r>
    </w:p>
    <w:p w14:paraId="2021042B" w14:textId="77777777" w:rsidR="000F187A" w:rsidRPr="00514C64" w:rsidRDefault="000F187A" w:rsidP="00514C64">
      <w:pPr>
        <w:pStyle w:val="AgencyStdParagraph"/>
      </w:pPr>
    </w:p>
    <w:p w14:paraId="2DA9B5B9" w14:textId="77777777" w:rsidR="000F187A" w:rsidRPr="00514C64" w:rsidRDefault="000F187A" w:rsidP="00514C64">
      <w:pPr>
        <w:pStyle w:val="AgencyStdParagraph"/>
      </w:pPr>
      <w:r w:rsidRPr="00514C64">
        <w:t xml:space="preserve">Document SLXDOC-04-EA-PD-01: Summary of Waste Processing redaction of Section 5 a and b and Figure 1-2: </w:t>
      </w:r>
      <w:proofErr w:type="spellStart"/>
      <w:r w:rsidRPr="00514C64">
        <w:t>Seloxium</w:t>
      </w:r>
      <w:proofErr w:type="spellEnd"/>
      <w:r w:rsidRPr="00514C64">
        <w:t xml:space="preserve"> processing flow diagram as these identify process specific details of the treatment process.</w:t>
      </w:r>
    </w:p>
    <w:p w14:paraId="62AD3459" w14:textId="77777777" w:rsidR="000F187A" w:rsidRPr="00514C64" w:rsidRDefault="000F187A" w:rsidP="00514C64">
      <w:pPr>
        <w:pStyle w:val="AgencyStdParagraph"/>
      </w:pPr>
    </w:p>
    <w:p w14:paraId="29BE38BD" w14:textId="77777777" w:rsidR="000F187A" w:rsidRPr="00514C64" w:rsidRDefault="000F187A" w:rsidP="00514C64">
      <w:pPr>
        <w:pStyle w:val="AgencyStdParagraph"/>
      </w:pPr>
      <w:r w:rsidRPr="00514C64">
        <w:t xml:space="preserve">Document </w:t>
      </w:r>
      <w:r w:rsidRPr="0096740D">
        <w:t>SLXDOC-04-EA-PFD</w:t>
      </w:r>
      <w:r>
        <w:t xml:space="preserve">: </w:t>
      </w:r>
      <w:r w:rsidRPr="00A0364A">
        <w:t>Typical Batch CSTR Processing</w:t>
      </w:r>
      <w:r>
        <w:t xml:space="preserve"> redaction of the process flow diagram </w:t>
      </w:r>
      <w:r w:rsidRPr="00514C64">
        <w:t>as this identifies process specific details of the treatment process.</w:t>
      </w:r>
    </w:p>
    <w:p w14:paraId="687456FE" w14:textId="77777777" w:rsidR="000F187A" w:rsidRDefault="000F187A" w:rsidP="00853838">
      <w:pPr>
        <w:pStyle w:val="AgencyStdParagraph"/>
      </w:pPr>
    </w:p>
    <w:p w14:paraId="74CA7E54" w14:textId="77777777" w:rsidR="00B37BDF" w:rsidRPr="00514C64" w:rsidRDefault="00B37BDF" w:rsidP="00514C64">
      <w:pPr>
        <w:pStyle w:val="AgencyStdParagraph"/>
      </w:pPr>
    </w:p>
    <w:p w14:paraId="201DD76E" w14:textId="3D4E0B2E" w:rsidR="00B37BDF" w:rsidRPr="00514C64" w:rsidRDefault="00B23471" w:rsidP="00514C64">
      <w:pPr>
        <w:pStyle w:val="AgencyStdParagraph"/>
      </w:pPr>
      <w:r>
        <w:t xml:space="preserve">Outside of the </w:t>
      </w:r>
      <w:r w:rsidR="004D6421">
        <w:t xml:space="preserve">information that is </w:t>
      </w:r>
      <w:r>
        <w:t>commercially and industrial</w:t>
      </w:r>
      <w:r w:rsidR="007A2B85">
        <w:t>ly</w:t>
      </w:r>
      <w:r>
        <w:t xml:space="preserve"> confidential </w:t>
      </w:r>
      <w:r w:rsidR="00C97468">
        <w:t xml:space="preserve">the </w:t>
      </w:r>
      <w:r w:rsidR="00C00105">
        <w:t xml:space="preserve">following </w:t>
      </w:r>
      <w:r w:rsidR="00E577E9">
        <w:t>personal</w:t>
      </w:r>
      <w:r w:rsidR="00C97468">
        <w:t xml:space="preserve"> information </w:t>
      </w:r>
      <w:r w:rsidR="00E577E9">
        <w:t xml:space="preserve">including </w:t>
      </w:r>
      <w:r w:rsidR="004D6421">
        <w:t>d</w:t>
      </w:r>
      <w:r w:rsidR="00E577E9" w:rsidRPr="00514C64">
        <w:t xml:space="preserve">ate of </w:t>
      </w:r>
      <w:r w:rsidR="004D6421">
        <w:t>b</w:t>
      </w:r>
      <w:r w:rsidR="00E577E9" w:rsidRPr="00514C64">
        <w:t>irth, home addresses and personal phone numbers</w:t>
      </w:r>
      <w:r w:rsidR="00E577E9">
        <w:t xml:space="preserve"> w</w:t>
      </w:r>
      <w:r w:rsidR="00B37BDF" w:rsidRPr="00514C64">
        <w:t>ithin the documents WAMITAB Registration SLXDOC-04-EA-B2-3 and Competent Managers SLXDOC-04-EA-M-01, have been redacted.</w:t>
      </w:r>
    </w:p>
    <w:p w14:paraId="2B3C3336" w14:textId="77777777" w:rsidR="00853838" w:rsidRPr="00853838" w:rsidRDefault="00853838" w:rsidP="00853838">
      <w:pPr>
        <w:pStyle w:val="AgencyStdParagraph"/>
        <w:rPr>
          <w:b/>
          <w:bCs/>
        </w:rPr>
      </w:pPr>
    </w:p>
    <w:p w14:paraId="463D27C8" w14:textId="77777777" w:rsidR="00246DCC" w:rsidRDefault="00246DCC" w:rsidP="00246DCC">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Cs w:val="24"/>
        </w:rPr>
      </w:pPr>
    </w:p>
    <w:p w14:paraId="24AA537A" w14:textId="3447EA70" w:rsidR="00246DCC" w:rsidRPr="00014291" w:rsidRDefault="00246DCC" w:rsidP="00853838">
      <w:pPr>
        <w:pStyle w:val="AgencyStdParagraph"/>
      </w:pPr>
    </w:p>
    <w:p w14:paraId="480FE3FE" w14:textId="77777777" w:rsidR="00246DCC" w:rsidRPr="00E513A7" w:rsidRDefault="00246DCC" w:rsidP="00853838">
      <w:pPr>
        <w:pStyle w:val="AgencyStdParagraph"/>
      </w:pPr>
    </w:p>
    <w:p w14:paraId="5D39CE21" w14:textId="77777777" w:rsidR="00A17334" w:rsidRPr="009C7789" w:rsidRDefault="00A17334" w:rsidP="003215E6">
      <w:pPr>
        <w:jc w:val="left"/>
        <w:rPr>
          <w:rFonts w:ascii="Arial" w:hAnsi="Arial" w:cs="Arial"/>
          <w:sz w:val="20"/>
        </w:rPr>
      </w:pPr>
    </w:p>
    <w:sectPr w:rsidR="00A17334" w:rsidRPr="009C7789" w:rsidSect="00BC0705">
      <w:pgSz w:w="11906" w:h="16838" w:code="9"/>
      <w:pgMar w:top="1418" w:right="1274" w:bottom="1701" w:left="1247" w:header="289" w:footer="289" w:gutter="56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11E71" w14:textId="77777777" w:rsidR="00D433DC" w:rsidRDefault="00D433DC" w:rsidP="00A17334">
      <w:r>
        <w:separator/>
      </w:r>
    </w:p>
  </w:endnote>
  <w:endnote w:type="continuationSeparator" w:id="0">
    <w:p w14:paraId="1C8D836E" w14:textId="77777777" w:rsidR="00D433DC" w:rsidRDefault="00D433DC" w:rsidP="00A1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E6E44" w14:textId="77777777" w:rsidR="00D433DC" w:rsidRDefault="00D433DC" w:rsidP="00A17334">
      <w:r>
        <w:separator/>
      </w:r>
    </w:p>
  </w:footnote>
  <w:footnote w:type="continuationSeparator" w:id="0">
    <w:p w14:paraId="742CB6C6" w14:textId="77777777" w:rsidR="00D433DC" w:rsidRDefault="00D433DC" w:rsidP="00A17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032CF5"/>
    <w:multiLevelType w:val="singleLevel"/>
    <w:tmpl w:val="C8226122"/>
    <w:lvl w:ilvl="0">
      <w:start w:val="1"/>
      <w:numFmt w:val="decimal"/>
      <w:lvlText w:val="%1"/>
      <w:lvlJc w:val="left"/>
      <w:pPr>
        <w:tabs>
          <w:tab w:val="num" w:pos="1440"/>
        </w:tabs>
        <w:ind w:left="1440" w:hanging="720"/>
      </w:pPr>
      <w:rPr>
        <w:rFonts w:hint="default"/>
      </w:rPr>
    </w:lvl>
  </w:abstractNum>
  <w:abstractNum w:abstractNumId="2" w15:restartNumberingAfterBreak="0">
    <w:nsid w:val="1F8D1A31"/>
    <w:multiLevelType w:val="hybridMultilevel"/>
    <w:tmpl w:val="DAD81E4C"/>
    <w:lvl w:ilvl="0" w:tplc="AA6EC9E0">
      <w:start w:val="1"/>
      <w:numFmt w:val="bullet"/>
      <w:lvlText w:val=""/>
      <w:lvlJc w:val="left"/>
      <w:pPr>
        <w:tabs>
          <w:tab w:val="num" w:pos="720"/>
        </w:tabs>
        <w:ind w:left="720" w:hanging="360"/>
      </w:pPr>
      <w:rPr>
        <w:rFonts w:ascii="Wingdings" w:hAnsi="Wingdings" w:hint="default"/>
        <w:color w:val="8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A0079D"/>
    <w:multiLevelType w:val="hybridMultilevel"/>
    <w:tmpl w:val="9E0837CA"/>
    <w:lvl w:ilvl="0" w:tplc="08C4CAA8">
      <w:numFmt w:val="bullet"/>
      <w:lvlText w:val="-"/>
      <w:lvlJc w:val="left"/>
      <w:pPr>
        <w:tabs>
          <w:tab w:val="num" w:pos="720"/>
        </w:tabs>
        <w:ind w:left="720" w:hanging="360"/>
      </w:pPr>
      <w:rPr>
        <w:rFonts w:hint="default"/>
        <w:color w:val="8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99643111">
    <w:abstractNumId w:val="1"/>
  </w:num>
  <w:num w:numId="2" w16cid:durableId="1775400327">
    <w:abstractNumId w:val="0"/>
    <w:lvlOverride w:ilvl="0">
      <w:lvl w:ilvl="0">
        <w:start w:val="1"/>
        <w:numFmt w:val="bullet"/>
        <w:lvlText w:val="• "/>
        <w:legacy w:legacy="1" w:legacySpace="0" w:legacyIndent="0"/>
        <w:lvlJc w:val="left"/>
        <w:pPr>
          <w:ind w:left="0" w:firstLine="0"/>
        </w:pPr>
        <w:rPr>
          <w:rFonts w:ascii="Arial" w:hAnsi="Arial" w:hint="default"/>
          <w:b w:val="0"/>
          <w:i w:val="0"/>
          <w:strike w:val="0"/>
          <w:sz w:val="20"/>
          <w:u w:val="none"/>
        </w:rPr>
      </w:lvl>
    </w:lvlOverride>
  </w:num>
  <w:num w:numId="3" w16cid:durableId="765997470">
    <w:abstractNumId w:val="2"/>
  </w:num>
  <w:num w:numId="4" w16cid:durableId="1485513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34"/>
    <w:rsid w:val="000103C5"/>
    <w:rsid w:val="00010800"/>
    <w:rsid w:val="00014291"/>
    <w:rsid w:val="00016C1B"/>
    <w:rsid w:val="00044343"/>
    <w:rsid w:val="000814CA"/>
    <w:rsid w:val="00085F3B"/>
    <w:rsid w:val="000900D8"/>
    <w:rsid w:val="00090803"/>
    <w:rsid w:val="000A2FC7"/>
    <w:rsid w:val="000C47A7"/>
    <w:rsid w:val="000D1703"/>
    <w:rsid w:val="000D2677"/>
    <w:rsid w:val="000D31D5"/>
    <w:rsid w:val="000F187A"/>
    <w:rsid w:val="000F2582"/>
    <w:rsid w:val="001007F2"/>
    <w:rsid w:val="00110896"/>
    <w:rsid w:val="00110B7F"/>
    <w:rsid w:val="00157792"/>
    <w:rsid w:val="001626AA"/>
    <w:rsid w:val="00165AE2"/>
    <w:rsid w:val="0016657C"/>
    <w:rsid w:val="00171A97"/>
    <w:rsid w:val="00176631"/>
    <w:rsid w:val="001946E3"/>
    <w:rsid w:val="001C2083"/>
    <w:rsid w:val="001C743E"/>
    <w:rsid w:val="00203CBA"/>
    <w:rsid w:val="00204E33"/>
    <w:rsid w:val="00222A6C"/>
    <w:rsid w:val="00224539"/>
    <w:rsid w:val="00232EC7"/>
    <w:rsid w:val="00246DCC"/>
    <w:rsid w:val="00272BDC"/>
    <w:rsid w:val="00287EEC"/>
    <w:rsid w:val="00291445"/>
    <w:rsid w:val="0029337E"/>
    <w:rsid w:val="00294887"/>
    <w:rsid w:val="00295AB7"/>
    <w:rsid w:val="002A47ED"/>
    <w:rsid w:val="002B559A"/>
    <w:rsid w:val="002C1DF8"/>
    <w:rsid w:val="002C220F"/>
    <w:rsid w:val="002D304C"/>
    <w:rsid w:val="002F143C"/>
    <w:rsid w:val="002F2172"/>
    <w:rsid w:val="002F221C"/>
    <w:rsid w:val="00310F15"/>
    <w:rsid w:val="00312555"/>
    <w:rsid w:val="00312987"/>
    <w:rsid w:val="0031374F"/>
    <w:rsid w:val="003215E6"/>
    <w:rsid w:val="003345D1"/>
    <w:rsid w:val="00353FB9"/>
    <w:rsid w:val="003659DE"/>
    <w:rsid w:val="00366F6E"/>
    <w:rsid w:val="003716C6"/>
    <w:rsid w:val="00381195"/>
    <w:rsid w:val="00391254"/>
    <w:rsid w:val="00391FC4"/>
    <w:rsid w:val="003955A0"/>
    <w:rsid w:val="003A2AEC"/>
    <w:rsid w:val="00401405"/>
    <w:rsid w:val="0041094B"/>
    <w:rsid w:val="00412B55"/>
    <w:rsid w:val="00420875"/>
    <w:rsid w:val="00421166"/>
    <w:rsid w:val="00437E4A"/>
    <w:rsid w:val="0045523E"/>
    <w:rsid w:val="00463D18"/>
    <w:rsid w:val="004640DF"/>
    <w:rsid w:val="00472F5B"/>
    <w:rsid w:val="0049167F"/>
    <w:rsid w:val="004A0EC7"/>
    <w:rsid w:val="004B4406"/>
    <w:rsid w:val="004C277A"/>
    <w:rsid w:val="004D6421"/>
    <w:rsid w:val="004F513E"/>
    <w:rsid w:val="0050003C"/>
    <w:rsid w:val="00505CAC"/>
    <w:rsid w:val="00514C64"/>
    <w:rsid w:val="00522C5E"/>
    <w:rsid w:val="00530DFF"/>
    <w:rsid w:val="00537693"/>
    <w:rsid w:val="00540CC4"/>
    <w:rsid w:val="00541E8D"/>
    <w:rsid w:val="005479E6"/>
    <w:rsid w:val="0055588D"/>
    <w:rsid w:val="005C3C73"/>
    <w:rsid w:val="005C3C8A"/>
    <w:rsid w:val="005D673F"/>
    <w:rsid w:val="00616FCE"/>
    <w:rsid w:val="0066489D"/>
    <w:rsid w:val="006658A4"/>
    <w:rsid w:val="00670EAB"/>
    <w:rsid w:val="00673CE8"/>
    <w:rsid w:val="0068359A"/>
    <w:rsid w:val="006A7DE8"/>
    <w:rsid w:val="006C4E43"/>
    <w:rsid w:val="006E2C75"/>
    <w:rsid w:val="006E7819"/>
    <w:rsid w:val="00700835"/>
    <w:rsid w:val="007034AD"/>
    <w:rsid w:val="00706E83"/>
    <w:rsid w:val="00712F5B"/>
    <w:rsid w:val="00713BDA"/>
    <w:rsid w:val="007178E0"/>
    <w:rsid w:val="0072357E"/>
    <w:rsid w:val="00770BA0"/>
    <w:rsid w:val="00775A7C"/>
    <w:rsid w:val="007A2B85"/>
    <w:rsid w:val="007B604C"/>
    <w:rsid w:val="007C7674"/>
    <w:rsid w:val="007D0D9A"/>
    <w:rsid w:val="007D7647"/>
    <w:rsid w:val="007E291B"/>
    <w:rsid w:val="007E2C6D"/>
    <w:rsid w:val="007F1BBB"/>
    <w:rsid w:val="007F1F1F"/>
    <w:rsid w:val="007F215D"/>
    <w:rsid w:val="007F591C"/>
    <w:rsid w:val="008008CA"/>
    <w:rsid w:val="00800ED2"/>
    <w:rsid w:val="008013C5"/>
    <w:rsid w:val="0080200F"/>
    <w:rsid w:val="008224FB"/>
    <w:rsid w:val="00826957"/>
    <w:rsid w:val="00831EBA"/>
    <w:rsid w:val="00853838"/>
    <w:rsid w:val="00870759"/>
    <w:rsid w:val="00876C67"/>
    <w:rsid w:val="00881F09"/>
    <w:rsid w:val="0089036C"/>
    <w:rsid w:val="008A529C"/>
    <w:rsid w:val="008B7ECB"/>
    <w:rsid w:val="008C65F8"/>
    <w:rsid w:val="00912E2F"/>
    <w:rsid w:val="00925BEF"/>
    <w:rsid w:val="00944BF1"/>
    <w:rsid w:val="009714A3"/>
    <w:rsid w:val="0098463D"/>
    <w:rsid w:val="009910C8"/>
    <w:rsid w:val="009A0F59"/>
    <w:rsid w:val="009A3155"/>
    <w:rsid w:val="009B0E98"/>
    <w:rsid w:val="009B2F88"/>
    <w:rsid w:val="009B52F2"/>
    <w:rsid w:val="009C2947"/>
    <w:rsid w:val="009C7789"/>
    <w:rsid w:val="009D0C76"/>
    <w:rsid w:val="009D5C9C"/>
    <w:rsid w:val="009F36E1"/>
    <w:rsid w:val="00A0361D"/>
    <w:rsid w:val="00A109B5"/>
    <w:rsid w:val="00A153D0"/>
    <w:rsid w:val="00A17334"/>
    <w:rsid w:val="00A2204D"/>
    <w:rsid w:val="00A230E5"/>
    <w:rsid w:val="00A27F95"/>
    <w:rsid w:val="00A32285"/>
    <w:rsid w:val="00A628A2"/>
    <w:rsid w:val="00A711E4"/>
    <w:rsid w:val="00A751BC"/>
    <w:rsid w:val="00AA2926"/>
    <w:rsid w:val="00AB6F53"/>
    <w:rsid w:val="00AE0C88"/>
    <w:rsid w:val="00AE6510"/>
    <w:rsid w:val="00AE67F7"/>
    <w:rsid w:val="00B03EBB"/>
    <w:rsid w:val="00B07831"/>
    <w:rsid w:val="00B23471"/>
    <w:rsid w:val="00B300BF"/>
    <w:rsid w:val="00B30A98"/>
    <w:rsid w:val="00B37BDF"/>
    <w:rsid w:val="00B50C5D"/>
    <w:rsid w:val="00B7421F"/>
    <w:rsid w:val="00B941F1"/>
    <w:rsid w:val="00BA7160"/>
    <w:rsid w:val="00BB505E"/>
    <w:rsid w:val="00BC0705"/>
    <w:rsid w:val="00BD7432"/>
    <w:rsid w:val="00BE1356"/>
    <w:rsid w:val="00BE2E16"/>
    <w:rsid w:val="00BF6B94"/>
    <w:rsid w:val="00C00105"/>
    <w:rsid w:val="00C05C45"/>
    <w:rsid w:val="00C06BC0"/>
    <w:rsid w:val="00C24B26"/>
    <w:rsid w:val="00C3022D"/>
    <w:rsid w:val="00C36261"/>
    <w:rsid w:val="00C97468"/>
    <w:rsid w:val="00CA6A27"/>
    <w:rsid w:val="00CB057F"/>
    <w:rsid w:val="00D02327"/>
    <w:rsid w:val="00D02341"/>
    <w:rsid w:val="00D17834"/>
    <w:rsid w:val="00D26D1C"/>
    <w:rsid w:val="00D433DC"/>
    <w:rsid w:val="00D47A89"/>
    <w:rsid w:val="00D60750"/>
    <w:rsid w:val="00D619B7"/>
    <w:rsid w:val="00D709C5"/>
    <w:rsid w:val="00D75EF5"/>
    <w:rsid w:val="00DA3DAA"/>
    <w:rsid w:val="00DB09BB"/>
    <w:rsid w:val="00DB5763"/>
    <w:rsid w:val="00DC179D"/>
    <w:rsid w:val="00DC245E"/>
    <w:rsid w:val="00DF1854"/>
    <w:rsid w:val="00E01C77"/>
    <w:rsid w:val="00E044BF"/>
    <w:rsid w:val="00E07204"/>
    <w:rsid w:val="00E10E06"/>
    <w:rsid w:val="00E175B6"/>
    <w:rsid w:val="00E20F98"/>
    <w:rsid w:val="00E2454F"/>
    <w:rsid w:val="00E25B03"/>
    <w:rsid w:val="00E34913"/>
    <w:rsid w:val="00E4346E"/>
    <w:rsid w:val="00E513A7"/>
    <w:rsid w:val="00E577A3"/>
    <w:rsid w:val="00E577E9"/>
    <w:rsid w:val="00E61AEA"/>
    <w:rsid w:val="00E63C6C"/>
    <w:rsid w:val="00E704C8"/>
    <w:rsid w:val="00E96D6B"/>
    <w:rsid w:val="00E971FB"/>
    <w:rsid w:val="00ED276B"/>
    <w:rsid w:val="00EF15EA"/>
    <w:rsid w:val="00F004F5"/>
    <w:rsid w:val="00F03F8D"/>
    <w:rsid w:val="00F12DC5"/>
    <w:rsid w:val="00F20963"/>
    <w:rsid w:val="00F319FA"/>
    <w:rsid w:val="00F47CF0"/>
    <w:rsid w:val="00F7247A"/>
    <w:rsid w:val="00F74C44"/>
    <w:rsid w:val="00F75B87"/>
    <w:rsid w:val="00F93CB4"/>
    <w:rsid w:val="00FA119E"/>
    <w:rsid w:val="00FF2FD2"/>
    <w:rsid w:val="636B76D1"/>
    <w:rsid w:val="6A07B5D7"/>
    <w:rsid w:val="73A40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9CD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paragraph"/>
    <w:next w:val="Normal"/>
    <w:link w:val="Heading1Char"/>
    <w:qFormat/>
    <w:rsid w:val="00AB6F53"/>
    <w:pPr>
      <w:spacing w:before="0" w:beforeAutospacing="0" w:after="0" w:afterAutospacing="0"/>
      <w:textAlignment w:val="baseline"/>
      <w:outlineLvl w:val="0"/>
    </w:pPr>
    <w:rPr>
      <w:rFonts w:ascii="Arial" w:hAnsi="Arial" w:cs="Arial"/>
      <w:b/>
      <w:bCs/>
      <w:color w:val="1C1C1C"/>
      <w:sz w:val="48"/>
      <w:szCs w:val="48"/>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link w:val="Heading4Char"/>
    <w:semiHidden/>
    <w:unhideWhenUsed/>
    <w:qFormat/>
    <w:rsid w:val="00DC245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customStyle="1" w:styleId="Invisible">
    <w:name w:val="Invisible"/>
    <w:basedOn w:val="Normal"/>
    <w:autoRedefine/>
    <w:rPr>
      <w:color w:val="FF00FF"/>
    </w:rPr>
  </w:style>
  <w:style w:type="paragraph" w:customStyle="1" w:styleId="AgencyStdParagraph">
    <w:name w:val="Agency Std Paragraph"/>
    <w:autoRedefine/>
    <w:rsid w:val="00853838"/>
    <w:rPr>
      <w:rFonts w:ascii="Arial" w:hAnsi="Arial" w:cs="Arial"/>
      <w:sz w:val="24"/>
      <w:szCs w:val="24"/>
    </w:rPr>
  </w:style>
  <w:style w:type="paragraph" w:customStyle="1" w:styleId="AgencyMainHeading">
    <w:name w:val="Agency Main Heading"/>
    <w:autoRedefine/>
    <w:pPr>
      <w:jc w:val="both"/>
    </w:pPr>
    <w:rPr>
      <w:b/>
      <w:caps/>
      <w:noProof/>
      <w:sz w:val="24"/>
      <w:u w:val="single"/>
    </w:rPr>
  </w:style>
  <w:style w:type="paragraph" w:customStyle="1" w:styleId="AgencySideHeadings">
    <w:name w:val="Agency Side Headings"/>
    <w:autoRedefine/>
    <w:pPr>
      <w:jc w:val="both"/>
    </w:pPr>
    <w:rPr>
      <w:b/>
      <w:caps/>
      <w:noProof/>
      <w:sz w:val="24"/>
    </w:rPr>
  </w:style>
  <w:style w:type="paragraph" w:customStyle="1" w:styleId="AgencySubHeadings">
    <w:name w:val="Agency Sub Headings"/>
    <w:autoRedefine/>
    <w:pPr>
      <w:jc w:val="both"/>
    </w:pPr>
    <w:rPr>
      <w:b/>
      <w:sz w:val="24"/>
    </w:rPr>
  </w:style>
  <w:style w:type="paragraph" w:customStyle="1" w:styleId="AgencySubSubHeadings">
    <w:name w:val="Agency Sub Sub Headings"/>
    <w:autoRedefine/>
    <w:pPr>
      <w:jc w:val="both"/>
    </w:pPr>
    <w:rPr>
      <w:sz w:val="24"/>
      <w:u w:val="single"/>
    </w:rPr>
  </w:style>
  <w:style w:type="paragraph" w:styleId="Footer">
    <w:name w:val="footer"/>
    <w:basedOn w:val="Normal"/>
    <w:pPr>
      <w:tabs>
        <w:tab w:val="center" w:pos="4153"/>
        <w:tab w:val="right" w:pos="8306"/>
      </w:tabs>
    </w:pPr>
  </w:style>
  <w:style w:type="paragraph" w:customStyle="1" w:styleId="Filename">
    <w:name w:val="Filename"/>
  </w:style>
  <w:style w:type="paragraph" w:customStyle="1" w:styleId="Box">
    <w:name w:val="Box"/>
    <w:basedOn w:val="Normal"/>
    <w:autoRedefine/>
    <w:pPr>
      <w:pBdr>
        <w:top w:val="single" w:sz="4" w:space="1" w:color="auto"/>
        <w:left w:val="single" w:sz="4" w:space="4" w:color="auto"/>
        <w:bottom w:val="single" w:sz="4" w:space="1" w:color="auto"/>
        <w:right w:val="single" w:sz="4" w:space="4" w:color="auto"/>
      </w:pBdr>
      <w:ind w:left="1440" w:right="720"/>
    </w:pPr>
  </w:style>
  <w:style w:type="paragraph" w:styleId="BodyTextIndent">
    <w:name w:val="Body Text Indent"/>
    <w:basedOn w:val="Normal"/>
    <w:link w:val="BodyTextIndent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Pr>
      <w:snapToGrid w:val="0"/>
      <w:lang w:eastAsia="en-US"/>
    </w:rPr>
  </w:style>
  <w:style w:type="paragraph" w:customStyle="1" w:styleId="Heading3nonum">
    <w:name w:val="Heading 3 nonum"/>
    <w:basedOn w:val="Heading3"/>
    <w:link w:val="Heading3nonumChar"/>
    <w:pPr>
      <w:keepNext w:val="0"/>
      <w:keepLines/>
      <w:spacing w:before="120" w:after="0" w:line="270" w:lineRule="exact"/>
      <w:jc w:val="left"/>
    </w:pPr>
    <w:rPr>
      <w:sz w:val="20"/>
      <w:lang w:eastAsia="en-US"/>
    </w:rPr>
  </w:style>
  <w:style w:type="character" w:customStyle="1" w:styleId="change">
    <w:name w:val="change"/>
    <w:rPr>
      <w:color w:val="FF0000"/>
    </w:rPr>
  </w:style>
  <w:style w:type="paragraph" w:customStyle="1" w:styleId="certificateHeading">
    <w:name w:val="certificateHeading"/>
    <w:pPr>
      <w:pageBreakBefore/>
      <w:spacing w:line="200" w:lineRule="exact"/>
    </w:pPr>
    <w:rPr>
      <w:rFonts w:ascii="Arial Black" w:hAnsi="Arial Black"/>
      <w:sz w:val="18"/>
      <w:lang w:eastAsia="en-US"/>
    </w:rPr>
  </w:style>
  <w:style w:type="paragraph" w:customStyle="1" w:styleId="Act">
    <w:name w:val="Act"/>
    <w:pPr>
      <w:spacing w:before="80" w:line="200" w:lineRule="exact"/>
      <w:ind w:right="3402"/>
    </w:pPr>
    <w:rPr>
      <w:rFonts w:ascii="Arial" w:hAnsi="Arial"/>
      <w:lang w:eastAsia="en-US"/>
    </w:rPr>
  </w:style>
  <w:style w:type="paragraph" w:customStyle="1" w:styleId="certificateTitle">
    <w:name w:val="certificateTitle"/>
    <w:basedOn w:val="Normal"/>
    <w:pPr>
      <w:keepLines/>
      <w:spacing w:before="1120" w:line="440" w:lineRule="exact"/>
      <w:jc w:val="left"/>
      <w:outlineLvl w:val="0"/>
    </w:pPr>
    <w:rPr>
      <w:spacing w:val="-4"/>
      <w:sz w:val="48"/>
      <w:lang w:eastAsia="en-US"/>
    </w:rPr>
  </w:style>
  <w:style w:type="paragraph" w:customStyle="1" w:styleId="address">
    <w:name w:val="address"/>
    <w:basedOn w:val="Heading3nonum"/>
    <w:pPr>
      <w:spacing w:before="0"/>
    </w:pPr>
  </w:style>
  <w:style w:type="paragraph" w:customStyle="1" w:styleId="Bulleted">
    <w:name w:val="Bulleted"/>
    <w:rsid w:val="00472F5B"/>
    <w:pPr>
      <w:tabs>
        <w:tab w:val="left" w:pos="360"/>
      </w:tabs>
      <w:spacing w:line="240" w:lineRule="atLeast"/>
      <w:ind w:left="360" w:hanging="360"/>
    </w:pPr>
    <w:rPr>
      <w:rFonts w:ascii="Arial" w:hAnsi="Arial"/>
      <w:snapToGrid w:val="0"/>
      <w:color w:val="000000"/>
      <w:w w:val="0"/>
      <w:lang w:val="en-US" w:eastAsia="en-US"/>
    </w:rPr>
  </w:style>
  <w:style w:type="paragraph" w:customStyle="1" w:styleId="HeadingRunIn">
    <w:name w:val="HeadingRunIn"/>
    <w:rsid w:val="00472F5B"/>
    <w:pPr>
      <w:keepNext/>
      <w:spacing w:before="120" w:line="280" w:lineRule="atLeast"/>
    </w:pPr>
    <w:rPr>
      <w:b/>
      <w:snapToGrid w:val="0"/>
      <w:color w:val="000000"/>
      <w:w w:val="0"/>
      <w:sz w:val="24"/>
      <w:lang w:val="en-US" w:eastAsia="en-US"/>
    </w:rPr>
  </w:style>
  <w:style w:type="character" w:customStyle="1" w:styleId="BodyTextIndentChar">
    <w:name w:val="Body Text Indent Char"/>
    <w:link w:val="BodyTextIndent"/>
    <w:rsid w:val="0016657C"/>
    <w:rPr>
      <w:snapToGrid w:val="0"/>
      <w:sz w:val="24"/>
      <w:lang w:val="en-GB" w:eastAsia="en-US" w:bidi="ar-SA"/>
    </w:rPr>
  </w:style>
  <w:style w:type="paragraph" w:styleId="BalloonText">
    <w:name w:val="Balloon Text"/>
    <w:basedOn w:val="Normal"/>
    <w:link w:val="BalloonTextChar"/>
    <w:rsid w:val="00110896"/>
    <w:rPr>
      <w:rFonts w:ascii="Segoe UI" w:hAnsi="Segoe UI" w:cs="Segoe UI"/>
      <w:sz w:val="18"/>
      <w:szCs w:val="18"/>
    </w:rPr>
  </w:style>
  <w:style w:type="character" w:customStyle="1" w:styleId="BalloonTextChar">
    <w:name w:val="Balloon Text Char"/>
    <w:link w:val="BalloonText"/>
    <w:rsid w:val="00110896"/>
    <w:rPr>
      <w:rFonts w:ascii="Segoe UI" w:hAnsi="Segoe UI" w:cs="Segoe UI"/>
      <w:sz w:val="18"/>
      <w:szCs w:val="18"/>
    </w:rPr>
  </w:style>
  <w:style w:type="character" w:styleId="CommentReference">
    <w:name w:val="annotation reference"/>
    <w:rsid w:val="00176631"/>
    <w:rPr>
      <w:sz w:val="16"/>
      <w:szCs w:val="16"/>
    </w:rPr>
  </w:style>
  <w:style w:type="paragraph" w:styleId="CommentText">
    <w:name w:val="annotation text"/>
    <w:basedOn w:val="Normal"/>
    <w:link w:val="CommentTextChar"/>
    <w:rsid w:val="00176631"/>
    <w:rPr>
      <w:sz w:val="20"/>
    </w:rPr>
  </w:style>
  <w:style w:type="character" w:customStyle="1" w:styleId="CommentTextChar">
    <w:name w:val="Comment Text Char"/>
    <w:basedOn w:val="DefaultParagraphFont"/>
    <w:link w:val="CommentText"/>
    <w:rsid w:val="00176631"/>
  </w:style>
  <w:style w:type="paragraph" w:styleId="CommentSubject">
    <w:name w:val="annotation subject"/>
    <w:basedOn w:val="CommentText"/>
    <w:next w:val="CommentText"/>
    <w:link w:val="CommentSubjectChar"/>
    <w:rsid w:val="00176631"/>
    <w:rPr>
      <w:b/>
      <w:bCs/>
    </w:rPr>
  </w:style>
  <w:style w:type="character" w:customStyle="1" w:styleId="CommentSubjectChar">
    <w:name w:val="Comment Subject Char"/>
    <w:link w:val="CommentSubject"/>
    <w:rsid w:val="00176631"/>
    <w:rPr>
      <w:b/>
      <w:bCs/>
    </w:rPr>
  </w:style>
  <w:style w:type="character" w:customStyle="1" w:styleId="HeaderChar">
    <w:name w:val="Header Char"/>
    <w:link w:val="Header"/>
    <w:locked/>
    <w:rsid w:val="00D02341"/>
    <w:rPr>
      <w:sz w:val="24"/>
    </w:rPr>
  </w:style>
  <w:style w:type="paragraph" w:customStyle="1" w:styleId="coverTitle">
    <w:name w:val="coverTitle"/>
    <w:basedOn w:val="Normal"/>
    <w:rsid w:val="00D02341"/>
    <w:pPr>
      <w:keepNext/>
      <w:keepLines/>
      <w:widowControl w:val="0"/>
      <w:spacing w:before="360" w:after="240" w:line="520" w:lineRule="exact"/>
      <w:jc w:val="left"/>
      <w:outlineLvl w:val="0"/>
    </w:pPr>
    <w:rPr>
      <w:rFonts w:ascii="Arial" w:hAnsi="Arial"/>
      <w:b/>
      <w:noProof/>
      <w:spacing w:val="-4"/>
      <w:sz w:val="44"/>
      <w:lang w:eastAsia="en-US"/>
    </w:rPr>
  </w:style>
  <w:style w:type="paragraph" w:styleId="Revision">
    <w:name w:val="Revision"/>
    <w:hidden/>
    <w:uiPriority w:val="99"/>
    <w:semiHidden/>
    <w:rsid w:val="000D31D5"/>
    <w:rPr>
      <w:sz w:val="24"/>
    </w:rPr>
  </w:style>
  <w:style w:type="character" w:customStyle="1" w:styleId="Heading3nonumChar">
    <w:name w:val="Heading 3 nonum Char"/>
    <w:link w:val="Heading3nonum"/>
    <w:locked/>
    <w:rsid w:val="005479E6"/>
    <w:rPr>
      <w:rFonts w:ascii="Arial" w:hAnsi="Arial"/>
      <w:lang w:eastAsia="en-US"/>
    </w:rPr>
  </w:style>
  <w:style w:type="character" w:customStyle="1" w:styleId="Heading4Char">
    <w:name w:val="Heading 4 Char"/>
    <w:link w:val="Heading4"/>
    <w:semiHidden/>
    <w:rsid w:val="00DC245E"/>
    <w:rPr>
      <w:rFonts w:ascii="Calibri" w:eastAsia="Times New Roman" w:hAnsi="Calibri" w:cs="Times New Roman"/>
      <w:b/>
      <w:bCs/>
      <w:sz w:val="28"/>
      <w:szCs w:val="28"/>
    </w:rPr>
  </w:style>
  <w:style w:type="character" w:styleId="Hyperlink">
    <w:name w:val="Hyperlink"/>
    <w:rsid w:val="008C65F8"/>
    <w:rPr>
      <w:color w:val="0563C1"/>
      <w:u w:val="single"/>
    </w:rPr>
  </w:style>
  <w:style w:type="character" w:styleId="FollowedHyperlink">
    <w:name w:val="FollowedHyperlink"/>
    <w:rsid w:val="008C65F8"/>
    <w:rPr>
      <w:color w:val="954F72"/>
      <w:u w:val="single"/>
    </w:rPr>
  </w:style>
  <w:style w:type="character" w:styleId="UnresolvedMention">
    <w:name w:val="Unresolved Mention"/>
    <w:basedOn w:val="DefaultParagraphFont"/>
    <w:uiPriority w:val="99"/>
    <w:semiHidden/>
    <w:unhideWhenUsed/>
    <w:rsid w:val="00157792"/>
    <w:rPr>
      <w:color w:val="605E5C"/>
      <w:shd w:val="clear" w:color="auto" w:fill="E1DFDD"/>
    </w:rPr>
  </w:style>
  <w:style w:type="paragraph" w:customStyle="1" w:styleId="paragraph">
    <w:name w:val="paragraph"/>
    <w:basedOn w:val="Normal"/>
    <w:rsid w:val="002C1DF8"/>
    <w:pPr>
      <w:spacing w:before="100" w:beforeAutospacing="1" w:after="100" w:afterAutospacing="1"/>
      <w:jc w:val="left"/>
    </w:pPr>
    <w:rPr>
      <w:szCs w:val="24"/>
    </w:rPr>
  </w:style>
  <w:style w:type="character" w:customStyle="1" w:styleId="normaltextrun">
    <w:name w:val="normaltextrun"/>
    <w:basedOn w:val="DefaultParagraphFont"/>
    <w:rsid w:val="002C1DF8"/>
  </w:style>
  <w:style w:type="character" w:customStyle="1" w:styleId="eop">
    <w:name w:val="eop"/>
    <w:basedOn w:val="DefaultParagraphFont"/>
    <w:rsid w:val="002C1DF8"/>
  </w:style>
  <w:style w:type="character" w:customStyle="1" w:styleId="Heading1Char">
    <w:name w:val="Heading 1 Char"/>
    <w:basedOn w:val="DefaultParagraphFont"/>
    <w:link w:val="Heading1"/>
    <w:rsid w:val="00AB6F53"/>
    <w:rPr>
      <w:rFonts w:ascii="Arial" w:hAnsi="Arial" w:cs="Arial"/>
      <w:b/>
      <w:bCs/>
      <w:color w:val="1C1C1C"/>
      <w:sz w:val="48"/>
      <w:szCs w:val="48"/>
    </w:rPr>
  </w:style>
  <w:style w:type="paragraph" w:customStyle="1" w:styleId="Blocksubheading">
    <w:name w:val="Block sub heading"/>
    <w:basedOn w:val="Normal"/>
    <w:link w:val="BlocksubheadingChar"/>
    <w:qFormat/>
    <w:rsid w:val="00B37BDF"/>
    <w:pPr>
      <w:spacing w:before="60"/>
      <w:jc w:val="left"/>
      <w:outlineLvl w:val="2"/>
    </w:pPr>
    <w:rPr>
      <w:rFonts w:ascii="Arial Bold" w:hAnsi="Arial Bold"/>
      <w:b/>
      <w:bCs/>
      <w:color w:val="00AF41"/>
      <w:sz w:val="22"/>
      <w:szCs w:val="22"/>
      <w:lang w:eastAsia="en-US"/>
    </w:rPr>
  </w:style>
  <w:style w:type="character" w:customStyle="1" w:styleId="BlocksubheadingChar">
    <w:name w:val="Block sub heading Char"/>
    <w:link w:val="Blocksubheading"/>
    <w:rsid w:val="00B37BDF"/>
    <w:rPr>
      <w:rFonts w:ascii="Arial Bold" w:hAnsi="Arial Bold"/>
      <w:b/>
      <w:bCs/>
      <w:color w:val="00AF41"/>
      <w:sz w:val="22"/>
      <w:szCs w:val="22"/>
      <w:lang w:eastAsia="en-US"/>
    </w:rPr>
  </w:style>
  <w:style w:type="character" w:customStyle="1" w:styleId="BlockText1">
    <w:name w:val="Block Text1"/>
    <w:qFormat/>
    <w:rsid w:val="00B37BDF"/>
    <w:rPr>
      <w:rFonts w:ascii="Arial" w:hAnsi="Arial" w:cs="Arial"/>
      <w:b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6543">
      <w:bodyDiv w:val="1"/>
      <w:marLeft w:val="0"/>
      <w:marRight w:val="0"/>
      <w:marTop w:val="0"/>
      <w:marBottom w:val="0"/>
      <w:divBdr>
        <w:top w:val="none" w:sz="0" w:space="0" w:color="auto"/>
        <w:left w:val="none" w:sz="0" w:space="0" w:color="auto"/>
        <w:bottom w:val="none" w:sz="0" w:space="0" w:color="auto"/>
        <w:right w:val="none" w:sz="0" w:space="0" w:color="auto"/>
      </w:divBdr>
    </w:div>
    <w:div w:id="1674991747">
      <w:bodyDiv w:val="1"/>
      <w:marLeft w:val="0"/>
      <w:marRight w:val="0"/>
      <w:marTop w:val="0"/>
      <w:marBottom w:val="0"/>
      <w:divBdr>
        <w:top w:val="none" w:sz="0" w:space="0" w:color="auto"/>
        <w:left w:val="none" w:sz="0" w:space="0" w:color="auto"/>
        <w:bottom w:val="none" w:sz="0" w:space="0" w:color="auto"/>
        <w:right w:val="none" w:sz="0" w:space="0" w:color="auto"/>
      </w:divBdr>
    </w:div>
    <w:div w:id="1693921349">
      <w:bodyDiv w:val="1"/>
      <w:marLeft w:val="0"/>
      <w:marRight w:val="0"/>
      <w:marTop w:val="0"/>
      <w:marBottom w:val="0"/>
      <w:divBdr>
        <w:top w:val="none" w:sz="0" w:space="0" w:color="auto"/>
        <w:left w:val="none" w:sz="0" w:space="0" w:color="auto"/>
        <w:bottom w:val="none" w:sz="0" w:space="0" w:color="auto"/>
        <w:right w:val="none" w:sz="0" w:space="0" w:color="auto"/>
      </w:divBdr>
    </w:div>
    <w:div w:id="1709138613">
      <w:bodyDiv w:val="1"/>
      <w:marLeft w:val="0"/>
      <w:marRight w:val="0"/>
      <w:marTop w:val="0"/>
      <w:marBottom w:val="0"/>
      <w:divBdr>
        <w:top w:val="none" w:sz="0" w:space="0" w:color="auto"/>
        <w:left w:val="none" w:sz="0" w:space="0" w:color="auto"/>
        <w:bottom w:val="none" w:sz="0" w:space="0" w:color="auto"/>
        <w:right w:val="none" w:sz="0" w:space="0" w:color="auto"/>
      </w:divBdr>
      <w:divsChild>
        <w:div w:id="364718178">
          <w:marLeft w:val="0"/>
          <w:marRight w:val="0"/>
          <w:marTop w:val="0"/>
          <w:marBottom w:val="0"/>
          <w:divBdr>
            <w:top w:val="none" w:sz="0" w:space="0" w:color="auto"/>
            <w:left w:val="none" w:sz="0" w:space="0" w:color="auto"/>
            <w:bottom w:val="none" w:sz="0" w:space="0" w:color="auto"/>
            <w:right w:val="none" w:sz="0" w:space="0" w:color="auto"/>
          </w:divBdr>
        </w:div>
        <w:div w:id="1452430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PSCentralisedServicesTeam@environment-agenc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planning-inspectorate/services-information"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40</Value>
      <Value>11</Value>
      <Value>32</Value>
      <Value>14</Value>
    </TaxCatchAll>
    <lcf76f155ced4ddcb4097134ff3c332f xmlns="0a6acde7-f8d2-45c7-a1f6-65f49a3b67d5">
      <Terms xmlns="http://schemas.microsoft.com/office/infopath/2007/PartnerControls"/>
    </lcf76f155ced4ddcb4097134ff3c332f>
    <EAReceivedDate xmlns="eebef177-55b5-4448-a5fb-28ea454417ee">2025-03-19T00:00:00+00:00</EAReceivedDate>
    <ga477587807b4e8dbd9d142e03c014fa xmlns="dbe221e7-66db-4bdb-a92c-aa517c005f15">
      <Terms xmlns="http://schemas.microsoft.com/office/infopath/2007/PartnerControls"/>
    </ga477587807b4e8dbd9d142e03c014fa>
    <PermitNumber xmlns="eebef177-55b5-4448-a5fb-28ea454417ee">EPR-WE7029AC</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EPR/WE7029AC</OtherReference>
    <EventLink xmlns="5ffd8e36-f429-4edc-ab50-c5be84842779" xsi:nil="true"/>
    <Customer_x002f_OperatorName xmlns="eebef177-55b5-4448-a5fb-28ea454417ee">Seloxium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2025-03-19T00:00:00+00:00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EPR/WE7029AC</EPRNumber>
    <FacilityAddressPostcode xmlns="eebef177-55b5-4448-a5fb-28ea454417ee">TS10 4RF</FacilityAddressPostcode>
    <ed3cfd1978f244c4af5dc9d642a18018 xmlns="dbe221e7-66db-4bdb-a92c-aa517c005f15">
      <Terms xmlns="http://schemas.microsoft.com/office/infopath/2007/PartnerControls"/>
    </ed3cfd1978f244c4af5dc9d642a18018>
    <ExternalAuthor xmlns="eebef177-55b5-4448-a5fb-28ea454417ee">James Lidgett</ExternalAuthor>
    <SiteName xmlns="eebef177-55b5-4448-a5fb-28ea454417ee">Seloxium Ltd Wilton</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The Wilton Centre, WIlton, Redcar, TS10 4RF</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3.xml><?xml version="1.0" encoding="utf-8"?>
<ct:contentTypeSchema xmlns:ct="http://schemas.microsoft.com/office/2006/metadata/contentType" xmlns:ma="http://schemas.microsoft.com/office/2006/metadata/properties/metaAttributes" ct:_="" ma:_="" ma:contentTypeName="Permit File" ma:contentTypeID="0x0101000E9AD557692E154F9D2697C8C6432F76003AABF5B2DBBC844D96D8DDC7C5B45685" ma:contentTypeVersion="42" ma:contentTypeDescription="Create a new document." ma:contentTypeScope="" ma:versionID="14bac054064c6d926aee930d5be5f61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0a6acde7-f8d2-45c7-a1f6-65f49a3b67d5" targetNamespace="http://schemas.microsoft.com/office/2006/metadata/properties" ma:root="true" ma:fieldsID="84e570788729566fc0b58d58509e45e9" ns2:_="" ns3:_="" ns4:_="" ns5:_="" ns6:_="">
    <xsd:import namespace="dbe221e7-66db-4bdb-a92c-aa517c005f15"/>
    <xsd:import namespace="662745e8-e224-48e8-a2e3-254862b8c2f5"/>
    <xsd:import namespace="eebef177-55b5-4448-a5fb-28ea454417ee"/>
    <xsd:import namespace="5ffd8e36-f429-4edc-ab50-c5be84842779"/>
    <xsd:import namespace="0a6acde7-f8d2-45c7-a1f6-65f49a3b67d5"/>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acde7-f8d2-45c7-a1f6-65f49a3b67d5"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MediaLengthInSeconds" ma:index="5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F4885-0DA9-439C-9BB2-0F8ADBD0F4EF}">
  <ds:schemaRefs>
    <ds:schemaRef ds:uri="http://schemas.microsoft.com/sharepoint/v3/contenttype/forms"/>
  </ds:schemaRefs>
</ds:datastoreItem>
</file>

<file path=customXml/itemProps2.xml><?xml version="1.0" encoding="utf-8"?>
<ds:datastoreItem xmlns:ds="http://schemas.openxmlformats.org/officeDocument/2006/customXml" ds:itemID="{B0D98A49-81E0-40F0-B525-0200144889C0}">
  <ds:schemaRefs>
    <ds:schemaRef ds:uri="http://schemas.microsoft.com/office/2006/documentManagement/types"/>
    <ds:schemaRef ds:uri="http://purl.org/dc/terms/"/>
    <ds:schemaRef ds:uri="http://purl.org/dc/elements/1.1/"/>
    <ds:schemaRef ds:uri="662745e8-e224-48e8-a2e3-254862b8c2f5"/>
    <ds:schemaRef ds:uri="0a6acde7-f8d2-45c7-a1f6-65f49a3b67d5"/>
    <ds:schemaRef ds:uri="http://www.w3.org/XML/1998/namespace"/>
    <ds:schemaRef ds:uri="http://schemas.microsoft.com/office/infopath/2007/PartnerControls"/>
    <ds:schemaRef ds:uri="http://schemas.openxmlformats.org/package/2006/metadata/core-properties"/>
    <ds:schemaRef ds:uri="5ffd8e36-f429-4edc-ab50-c5be84842779"/>
    <ds:schemaRef ds:uri="eebef177-55b5-4448-a5fb-28ea454417ee"/>
    <ds:schemaRef ds:uri="dbe221e7-66db-4bdb-a92c-aa517c005f1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849F872-E649-40F4-B3E5-4FDAE6198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221e7-66db-4bdb-a92c-aa517c005f15"/>
    <ds:schemaRef ds:uri="662745e8-e224-48e8-a2e3-254862b8c2f5"/>
    <ds:schemaRef ds:uri="eebef177-55b5-4448-a5fb-28ea454417ee"/>
    <ds:schemaRef ds:uri="5ffd8e36-f429-4edc-ab50-c5be84842779"/>
    <ds:schemaRef ds:uri="0a6acde7-f8d2-45c7-a1f6-65f49a3b6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Notice of confidentiality determination</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confidentiality determination</dc:title>
  <dc:subject/>
  <dc:creator/>
  <cp:keywords/>
  <dc:description/>
  <cp:lastModifiedBy/>
  <cp:revision>1</cp:revision>
  <dcterms:created xsi:type="dcterms:W3CDTF">2025-04-15T11:13:00Z</dcterms:created>
  <dcterms:modified xsi:type="dcterms:W3CDTF">2025-04-15T11:13:00Z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0x0101000E9AD557692E154F9D2697C8C6432F76003AABF5B2DBBC844D96D8DDC7C5B45685</vt:lpwstr>
  </property>
  <property fmtid="{D5CDD505-2E9C-101B-9397-08002B2CF9AE}" pid="3" name="_dlc_DocIdItemGuid">
    <vt:lpwstr>71c4412f-f016-4c49-9dca-bf7b2e0941a2</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ediaServiceImageTags">
    <vt:lpwstr/>
  </property>
  <property fmtid="{D5CDD505-2E9C-101B-9397-08002B2CF9AE}" pid="7" name="InformationType">
    <vt:lpwstr/>
  </property>
  <property fmtid="{D5CDD505-2E9C-101B-9397-08002B2CF9AE}" pid="8" name="Distribution">
    <vt:lpwstr>9;#Internal EA|b77da37e-7166-4741-8c12-4679faab22d9</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OrganisationalUnit">
    <vt:lpwstr>8;#EA|d5f78ddb-b1b6-4328-9877-d7e3ed06fdac</vt:lpwstr>
  </property>
  <property fmtid="{D5CDD505-2E9C-101B-9397-08002B2CF9AE}" pid="12" name="HOSiteType">
    <vt:lpwstr>10;#Team|ff0485df-0575-416f-802f-e999165821b7</vt:lpwstr>
  </property>
  <property fmtid="{D5CDD505-2E9C-101B-9397-08002B2CF9AE}" pid="13" name="PermitDocumentType">
    <vt:lpwstr/>
  </property>
  <property fmtid="{D5CDD505-2E9C-101B-9397-08002B2CF9AE}" pid="14" name="TypeofPermit">
    <vt:lpwstr>32;#Bespoke|743fbb82-64b4-442a-8bac-afa632175399</vt:lpwstr>
  </property>
  <property fmtid="{D5CDD505-2E9C-101B-9397-08002B2CF9AE}" pid="15" name="DisclosureStatus">
    <vt:lpwstr>41;#Public Register|f1fcf6a6-5d97-4f1d-964e-a2f916eb1f18</vt:lpwstr>
  </property>
  <property fmtid="{D5CDD505-2E9C-101B-9397-08002B2CF9AE}" pid="16" name="ActivityGrouping">
    <vt:lpwstr>14;#Application ＆ Associated Docs|5eadfd3c-6deb-44e1-b7e1-16accd427bec</vt:lpwstr>
  </property>
  <property fmtid="{D5CDD505-2E9C-101B-9397-08002B2CF9AE}" pid="17" name="Catchment">
    <vt:lpwstr/>
  </property>
  <property fmtid="{D5CDD505-2E9C-101B-9397-08002B2CF9AE}" pid="18" name="MajorProjectID">
    <vt:lpwstr/>
  </property>
  <property fmtid="{D5CDD505-2E9C-101B-9397-08002B2CF9AE}" pid="19" name="StandardRulesID">
    <vt:lpwstr/>
  </property>
  <property fmtid="{D5CDD505-2E9C-101B-9397-08002B2CF9AE}" pid="20" name="CessationStatus">
    <vt:lpwstr/>
  </property>
  <property fmtid="{D5CDD505-2E9C-101B-9397-08002B2CF9AE}" pid="21" name="Regime">
    <vt:lpwstr>11;#EPR|0e5af97d-1a8c-4d8f-a20b-528a11cab1f6</vt:lpwstr>
  </property>
  <property fmtid="{D5CDD505-2E9C-101B-9397-08002B2CF9AE}" pid="22" name="RegulatedActivitySub_x002d_Class">
    <vt:lpwstr/>
  </property>
  <property fmtid="{D5CDD505-2E9C-101B-9397-08002B2CF9AE}" pid="23" name="RegulatedActivitySub-Class">
    <vt:lpwstr/>
  </property>
  <property fmtid="{D5CDD505-2E9C-101B-9397-08002B2CF9AE}" pid="24" name="EventType1">
    <vt:lpwstr/>
  </property>
  <property fmtid="{D5CDD505-2E9C-101B-9397-08002B2CF9AE}" pid="25" name="RegulatedActivityClass">
    <vt:lpwstr>40;#Waste Operations|dc63c9b7-da6e-463c-b2cf-265b08d49156</vt:lpwstr>
  </property>
</Properties>
</file>