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8491" w14:textId="3A964E89" w:rsidR="00CD0E83" w:rsidRPr="001C70E8" w:rsidRDefault="001C70E8" w:rsidP="001C70E8">
      <w:pPr>
        <w:jc w:val="center"/>
        <w:rPr>
          <w:rFonts w:ascii="Arial" w:hAnsi="Arial" w:cs="Arial"/>
          <w:b/>
          <w:bCs/>
        </w:rPr>
      </w:pPr>
      <w:r w:rsidRPr="001C70E8">
        <w:rPr>
          <w:rFonts w:ascii="Arial" w:hAnsi="Arial" w:cs="Arial"/>
          <w:b/>
          <w:bCs/>
        </w:rPr>
        <w:t>ENVIRONMENTAL IMPACT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70E8" w:rsidRPr="00C140D0" w14:paraId="2D8BC375" w14:textId="77777777" w:rsidTr="00C140D0">
        <w:trPr>
          <w:jc w:val="center"/>
        </w:trPr>
        <w:tc>
          <w:tcPr>
            <w:tcW w:w="2254" w:type="dxa"/>
            <w:vAlign w:val="center"/>
          </w:tcPr>
          <w:p w14:paraId="71F4BC59" w14:textId="667F6624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762" w:type="dxa"/>
            <w:gridSpan w:val="3"/>
          </w:tcPr>
          <w:p w14:paraId="6E78DB8E" w14:textId="1331F8EF" w:rsidR="00C140D0" w:rsidRPr="005A1140" w:rsidRDefault="00AA380A" w:rsidP="002B5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Chemicals</w:t>
            </w:r>
          </w:p>
        </w:tc>
      </w:tr>
      <w:tr w:rsidR="001C70E8" w:rsidRPr="00C140D0" w14:paraId="106B8F8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5D6367E" w14:textId="414F6AD5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Aspect</w:t>
            </w:r>
          </w:p>
        </w:tc>
        <w:tc>
          <w:tcPr>
            <w:tcW w:w="6762" w:type="dxa"/>
            <w:gridSpan w:val="3"/>
          </w:tcPr>
          <w:p w14:paraId="5840EA84" w14:textId="77777777" w:rsidR="00FB33C9" w:rsidRDefault="00FB33C9" w:rsidP="005A1140">
            <w:pPr>
              <w:rPr>
                <w:rFonts w:ascii="Arial" w:hAnsi="Arial" w:cs="Arial"/>
              </w:rPr>
            </w:pPr>
          </w:p>
          <w:p w14:paraId="61A46F5E" w14:textId="7C515BEF" w:rsidR="00C140D0" w:rsidRDefault="00FB33C9" w:rsidP="005A1140">
            <w:pPr>
              <w:rPr>
                <w:rFonts w:ascii="Arial" w:hAnsi="Arial" w:cs="Arial"/>
              </w:rPr>
            </w:pPr>
            <w:r w:rsidRPr="00FB33C9">
              <w:rPr>
                <w:rFonts w:ascii="Arial" w:hAnsi="Arial" w:cs="Arial"/>
              </w:rPr>
              <w:t>A range of chemicals are used for the sanitary requirements of the site. A full list of these can be found in H</w:t>
            </w:r>
            <w:r>
              <w:rPr>
                <w:rFonts w:ascii="Arial" w:hAnsi="Arial" w:cs="Arial"/>
              </w:rPr>
              <w:t xml:space="preserve">&amp;S COSHH </w:t>
            </w:r>
            <w:r w:rsidRPr="00FB33C9">
              <w:rPr>
                <w:rFonts w:ascii="Arial" w:hAnsi="Arial" w:cs="Arial"/>
              </w:rPr>
              <w:t xml:space="preserve">Chemical </w:t>
            </w:r>
            <w:r>
              <w:rPr>
                <w:rFonts w:ascii="Arial" w:hAnsi="Arial" w:cs="Arial"/>
              </w:rPr>
              <w:t xml:space="preserve">Material </w:t>
            </w:r>
            <w:r w:rsidRPr="00FB33C9">
              <w:rPr>
                <w:rFonts w:ascii="Arial" w:hAnsi="Arial" w:cs="Arial"/>
              </w:rPr>
              <w:t>Safety Data Sheets.</w:t>
            </w:r>
          </w:p>
          <w:p w14:paraId="165D329E" w14:textId="5238A1CF" w:rsidR="00FB33C9" w:rsidRPr="005A1140" w:rsidRDefault="00FB33C9" w:rsidP="005A1140">
            <w:pPr>
              <w:rPr>
                <w:rFonts w:ascii="Arial" w:hAnsi="Arial" w:cs="Arial"/>
              </w:rPr>
            </w:pPr>
          </w:p>
        </w:tc>
      </w:tr>
      <w:tr w:rsidR="001C70E8" w:rsidRPr="00C140D0" w14:paraId="57EC3AA7" w14:textId="77777777" w:rsidTr="00C140D0">
        <w:trPr>
          <w:jc w:val="center"/>
        </w:trPr>
        <w:tc>
          <w:tcPr>
            <w:tcW w:w="2254" w:type="dxa"/>
            <w:vAlign w:val="center"/>
          </w:tcPr>
          <w:p w14:paraId="096DBD08" w14:textId="5DE08DF2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Environmental Impact</w:t>
            </w:r>
          </w:p>
        </w:tc>
        <w:tc>
          <w:tcPr>
            <w:tcW w:w="6762" w:type="dxa"/>
            <w:gridSpan w:val="3"/>
          </w:tcPr>
          <w:p w14:paraId="4FBF9B6E" w14:textId="083CD38B" w:rsidR="00FB33C9" w:rsidRPr="00FB33C9" w:rsidRDefault="00FB33C9" w:rsidP="00FB33C9">
            <w:pPr>
              <w:rPr>
                <w:rFonts w:ascii="Arial" w:hAnsi="Arial" w:cs="Arial"/>
              </w:rPr>
            </w:pPr>
            <w:r w:rsidRPr="00FB33C9">
              <w:rPr>
                <w:rFonts w:ascii="Arial" w:hAnsi="Arial" w:cs="Arial"/>
              </w:rPr>
              <w:t>Chemical production produces air and water pollutants.</w:t>
            </w:r>
          </w:p>
          <w:p w14:paraId="33F4F874" w14:textId="6CA85151" w:rsidR="00C140D0" w:rsidRPr="005A1140" w:rsidRDefault="00FB33C9" w:rsidP="00FB33C9">
            <w:pPr>
              <w:rPr>
                <w:rFonts w:ascii="Arial" w:hAnsi="Arial" w:cs="Arial"/>
              </w:rPr>
            </w:pPr>
            <w:r w:rsidRPr="00FB33C9">
              <w:rPr>
                <w:rFonts w:ascii="Arial" w:hAnsi="Arial" w:cs="Arial"/>
              </w:rPr>
              <w:t xml:space="preserve">Spillages of chemicals should be treated in the same way as any other spill. </w:t>
            </w:r>
            <w:r w:rsidRPr="00FB33C9">
              <w:rPr>
                <w:rFonts w:ascii="Arial" w:hAnsi="Arial" w:cs="Arial"/>
              </w:rPr>
              <w:t>Discharges</w:t>
            </w:r>
            <w:r w:rsidRPr="00FB33C9">
              <w:rPr>
                <w:rFonts w:ascii="Arial" w:hAnsi="Arial" w:cs="Arial"/>
              </w:rPr>
              <w:t xml:space="preserve"> to water sources can have severe environmental impact depending on the chemical. However, alterations to the chemical &amp; biological oxygen demand are likely causing chronic damage to the ecosystem.</w:t>
            </w:r>
          </w:p>
        </w:tc>
      </w:tr>
      <w:tr w:rsidR="001C70E8" w:rsidRPr="00C140D0" w14:paraId="0967B201" w14:textId="77777777" w:rsidTr="00C140D0">
        <w:trPr>
          <w:jc w:val="center"/>
        </w:trPr>
        <w:tc>
          <w:tcPr>
            <w:tcW w:w="2254" w:type="dxa"/>
            <w:vAlign w:val="center"/>
          </w:tcPr>
          <w:p w14:paraId="1C930192" w14:textId="242A5AF1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Controls Measures</w:t>
            </w:r>
          </w:p>
        </w:tc>
        <w:tc>
          <w:tcPr>
            <w:tcW w:w="6762" w:type="dxa"/>
            <w:gridSpan w:val="3"/>
          </w:tcPr>
          <w:p w14:paraId="4FBB350A" w14:textId="77777777" w:rsidR="00C140D0" w:rsidRDefault="00FB33C9" w:rsidP="005A1140">
            <w:pPr>
              <w:rPr>
                <w:rFonts w:ascii="Arial" w:hAnsi="Arial" w:cs="Arial"/>
              </w:rPr>
            </w:pPr>
            <w:r w:rsidRPr="00FB33C9">
              <w:rPr>
                <w:rFonts w:ascii="Arial" w:hAnsi="Arial" w:cs="Arial"/>
              </w:rPr>
              <w:t xml:space="preserve">Chemicals are mainly stored in </w:t>
            </w:r>
            <w:r>
              <w:rPr>
                <w:rFonts w:ascii="Arial" w:hAnsi="Arial" w:cs="Arial"/>
              </w:rPr>
              <w:t>designated areas to</w:t>
            </w:r>
            <w:r w:rsidRPr="00FB33C9">
              <w:rPr>
                <w:rFonts w:ascii="Arial" w:hAnsi="Arial" w:cs="Arial"/>
              </w:rPr>
              <w:t xml:space="preserve"> minimise transportation risks.</w:t>
            </w:r>
          </w:p>
          <w:p w14:paraId="429280E5" w14:textId="563D8B45" w:rsidR="00FB33C9" w:rsidRPr="00C140D0" w:rsidRDefault="00FB33C9" w:rsidP="005A1140">
            <w:pPr>
              <w:rPr>
                <w:rFonts w:ascii="Arial" w:hAnsi="Arial" w:cs="Arial"/>
              </w:rPr>
            </w:pPr>
            <w:r w:rsidRPr="00FB33C9">
              <w:rPr>
                <w:rFonts w:ascii="Arial" w:hAnsi="Arial" w:cs="Arial"/>
              </w:rPr>
              <w:t>Only designated trained staff are permitted to receive</w:t>
            </w:r>
            <w:r>
              <w:rPr>
                <w:rFonts w:ascii="Arial" w:hAnsi="Arial" w:cs="Arial"/>
              </w:rPr>
              <w:t>, transport</w:t>
            </w:r>
            <w:r w:rsidRPr="00FB33C9">
              <w:rPr>
                <w:rFonts w:ascii="Arial" w:hAnsi="Arial" w:cs="Arial"/>
              </w:rPr>
              <w:t xml:space="preserve"> and/or handle chemicals.</w:t>
            </w:r>
          </w:p>
        </w:tc>
      </w:tr>
      <w:tr w:rsidR="001C70E8" w:rsidRPr="00C140D0" w14:paraId="488579B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A24778C" w14:textId="1ED888F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Relevant Legislation</w:t>
            </w:r>
          </w:p>
        </w:tc>
        <w:tc>
          <w:tcPr>
            <w:tcW w:w="6762" w:type="dxa"/>
            <w:gridSpan w:val="3"/>
          </w:tcPr>
          <w:p w14:paraId="14AB2A5A" w14:textId="77777777" w:rsidR="001C70E8" w:rsidRDefault="001C70E8" w:rsidP="001C70E8">
            <w:pPr>
              <w:jc w:val="center"/>
              <w:rPr>
                <w:rFonts w:ascii="Arial" w:hAnsi="Arial" w:cs="Arial"/>
              </w:rPr>
            </w:pPr>
          </w:p>
          <w:p w14:paraId="48C029C1" w14:textId="1D4E1E74" w:rsidR="00C140D0" w:rsidRPr="005A1140" w:rsidRDefault="005A1140" w:rsidP="005A1140">
            <w:pPr>
              <w:rPr>
                <w:rFonts w:ascii="Arial" w:hAnsi="Arial" w:cs="Arial"/>
                <w:szCs w:val="18"/>
              </w:rPr>
            </w:pPr>
            <w:r w:rsidRPr="00343CBF">
              <w:rPr>
                <w:rFonts w:ascii="Arial" w:hAnsi="Arial" w:cs="Arial"/>
                <w:szCs w:val="18"/>
              </w:rPr>
              <w:t>See Register of Relevant Legislation</w:t>
            </w:r>
          </w:p>
          <w:p w14:paraId="1135658D" w14:textId="05848A74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1C70E8" w:rsidRPr="00C140D0" w14:paraId="21E85EB1" w14:textId="77777777" w:rsidTr="00C140D0">
        <w:trPr>
          <w:jc w:val="center"/>
        </w:trPr>
        <w:tc>
          <w:tcPr>
            <w:tcW w:w="2254" w:type="dxa"/>
            <w:vAlign w:val="center"/>
          </w:tcPr>
          <w:p w14:paraId="439B0A64" w14:textId="5037EFC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Significance</w:t>
            </w:r>
          </w:p>
        </w:tc>
        <w:tc>
          <w:tcPr>
            <w:tcW w:w="2254" w:type="dxa"/>
          </w:tcPr>
          <w:p w14:paraId="0AC88594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Frequency</w:t>
            </w:r>
          </w:p>
          <w:p w14:paraId="2DEA7EEA" w14:textId="6CDDB392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12316FB6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</w:t>
            </w:r>
          </w:p>
          <w:p w14:paraId="18138FA8" w14:textId="30B25EE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  <w:color w:val="FF0000"/>
              </w:rPr>
              <w:t>(S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0D9C7822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Impact</w:t>
            </w:r>
          </w:p>
          <w:p w14:paraId="417ADFCC" w14:textId="4377D8B5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I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C70E8" w:rsidRPr="00C140D0" w14:paraId="30806946" w14:textId="77777777" w:rsidTr="005A1140">
        <w:trPr>
          <w:jc w:val="center"/>
        </w:trPr>
        <w:tc>
          <w:tcPr>
            <w:tcW w:w="2254" w:type="dxa"/>
            <w:vAlign w:val="center"/>
          </w:tcPr>
          <w:p w14:paraId="4A394F02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1A3BB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Normal</w:t>
            </w:r>
          </w:p>
          <w:p w14:paraId="6A856E03" w14:textId="1398EABA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BDA4E65" w14:textId="1214B501" w:rsidR="001C70E8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14:paraId="20FE4259" w14:textId="167F38EC" w:rsidR="001C70E8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14:paraId="55441903" w14:textId="4B5648B2" w:rsidR="001C70E8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C140D0" w:rsidRPr="00C140D0" w14:paraId="69CEABF3" w14:textId="77777777" w:rsidTr="005A1140">
        <w:trPr>
          <w:jc w:val="center"/>
        </w:trPr>
        <w:tc>
          <w:tcPr>
            <w:tcW w:w="2254" w:type="dxa"/>
            <w:vAlign w:val="center"/>
          </w:tcPr>
          <w:p w14:paraId="33E98204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38899A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Abnormal</w:t>
            </w:r>
          </w:p>
          <w:p w14:paraId="08574689" w14:textId="202DAC52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739A713" w14:textId="29B77833" w:rsidR="00C140D0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14:paraId="19CB4B50" w14:textId="7E8AF46C" w:rsidR="00C140D0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14:paraId="2714F383" w14:textId="482FB3BF" w:rsidR="00C140D0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1C70E8" w:rsidRPr="00C140D0" w14:paraId="410B032C" w14:textId="77777777" w:rsidTr="005A1140">
        <w:trPr>
          <w:jc w:val="center"/>
        </w:trPr>
        <w:tc>
          <w:tcPr>
            <w:tcW w:w="2254" w:type="dxa"/>
            <w:vAlign w:val="center"/>
          </w:tcPr>
          <w:p w14:paraId="5465236E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B3F186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Emergency</w:t>
            </w:r>
          </w:p>
          <w:p w14:paraId="49536C75" w14:textId="470D0635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2074B007" w14:textId="33CFC068" w:rsidR="001C70E8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14:paraId="3791C91F" w14:textId="79D10F73" w:rsidR="001C70E8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54" w:type="dxa"/>
            <w:vAlign w:val="center"/>
          </w:tcPr>
          <w:p w14:paraId="6EDD7629" w14:textId="1599C182" w:rsidR="001C70E8" w:rsidRPr="00FB33C9" w:rsidRDefault="00FB33C9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B33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C140D0" w:rsidRPr="00C140D0" w14:paraId="41691516" w14:textId="77777777" w:rsidTr="00C140D0">
        <w:trPr>
          <w:jc w:val="center"/>
        </w:trPr>
        <w:tc>
          <w:tcPr>
            <w:tcW w:w="4508" w:type="dxa"/>
            <w:gridSpan w:val="2"/>
          </w:tcPr>
          <w:p w14:paraId="7B58DAE7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A3EDAA0" w14:textId="186BD1B5" w:rsidR="00C140D0" w:rsidRPr="005A114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140">
              <w:rPr>
                <w:rFonts w:ascii="Arial" w:hAnsi="Arial" w:cs="Arial"/>
                <w:b/>
                <w:bCs/>
              </w:rPr>
              <w:t>Frequency (</w:t>
            </w:r>
            <w:r w:rsidRPr="005A114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5A1140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1855EE97" w14:textId="77777777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3AECEC1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Unlikely (annual)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543E88EB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Common (monthly)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7E17922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 xml:space="preserve">Frequent (daily/weekly) 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323C51B1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15F4B6D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73B47" w14:textId="1AD2BB1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 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  <w:p w14:paraId="0489F0D5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Minimal Environmental Impact</w:t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3AE8CD4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Low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10181BF3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Moderate Environmental Impact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07F4F61F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High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6</w:t>
            </w:r>
          </w:p>
          <w:p w14:paraId="5B92C99E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Severe Environmental Impact</w:t>
            </w:r>
            <w:r w:rsidRPr="00C140D0">
              <w:rPr>
                <w:rFonts w:ascii="Arial" w:hAnsi="Arial" w:cs="Arial"/>
              </w:rPr>
              <w:tab/>
              <w:t>= 10</w:t>
            </w:r>
          </w:p>
          <w:p w14:paraId="370B23CC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C140D0" w:rsidRPr="00C140D0" w14:paraId="1A6D32CF" w14:textId="77777777" w:rsidTr="00C140D0">
        <w:trPr>
          <w:jc w:val="center"/>
        </w:trPr>
        <w:tc>
          <w:tcPr>
            <w:tcW w:w="9016" w:type="dxa"/>
            <w:gridSpan w:val="4"/>
          </w:tcPr>
          <w:p w14:paraId="05A9FBED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748A196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140D0">
              <w:rPr>
                <w:rFonts w:ascii="Arial" w:hAnsi="Arial" w:cs="Arial"/>
                <w:sz w:val="22"/>
                <w:szCs w:val="22"/>
              </w:rPr>
              <w:t>Environmental Impact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C140D0">
              <w:rPr>
                <w:rFonts w:ascii="Arial" w:hAnsi="Arial" w:cs="Arial"/>
                <w:sz w:val="22"/>
                <w:szCs w:val="22"/>
              </w:rPr>
              <w:t>) = Frequency of Occurrence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Pr="00C140D0">
              <w:rPr>
                <w:rFonts w:ascii="Arial" w:hAnsi="Arial" w:cs="Arial"/>
                <w:sz w:val="22"/>
                <w:szCs w:val="22"/>
              </w:rPr>
              <w:t>) X Severity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C140D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86F4E0" w14:textId="65325736" w:rsidR="00C140D0" w:rsidRP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0D0" w:rsidRPr="00C140D0" w14:paraId="3B752C49" w14:textId="77777777" w:rsidTr="00C140D0">
        <w:trPr>
          <w:jc w:val="center"/>
        </w:trPr>
        <w:tc>
          <w:tcPr>
            <w:tcW w:w="9016" w:type="dxa"/>
            <w:gridSpan w:val="4"/>
          </w:tcPr>
          <w:p w14:paraId="30B176AB" w14:textId="77777777" w:rsidR="005A1140" w:rsidRDefault="005A114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5F158AFC" w14:textId="738782CA" w:rsidR="00C140D0" w:rsidRPr="005A1140" w:rsidRDefault="00C140D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A1140">
              <w:rPr>
                <w:rFonts w:ascii="Arial" w:hAnsi="Arial" w:cs="Arial"/>
                <w:sz w:val="22"/>
                <w:szCs w:val="22"/>
                <w:u w:val="none"/>
              </w:rPr>
              <w:t>Comments / Actions / Further Investigations</w:t>
            </w:r>
          </w:p>
          <w:p w14:paraId="41CF5828" w14:textId="77777777" w:rsidR="00C140D0" w:rsidRDefault="00C140D0" w:rsidP="00C140D0">
            <w:pPr>
              <w:rPr>
                <w:rFonts w:ascii="Arial" w:hAnsi="Arial" w:cs="Arial"/>
              </w:rPr>
            </w:pPr>
          </w:p>
          <w:p w14:paraId="371290D8" w14:textId="6BAA8BCC" w:rsidR="00C140D0" w:rsidRDefault="00FB33C9" w:rsidP="007A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chemical usage and assess feasibility of moving main chemicals to bulk storage.</w:t>
            </w:r>
          </w:p>
          <w:p w14:paraId="45A08E05" w14:textId="46A15A50" w:rsidR="00FB33C9" w:rsidRPr="00C140D0" w:rsidRDefault="00FB33C9" w:rsidP="007A048E">
            <w:pPr>
              <w:rPr>
                <w:rFonts w:ascii="Arial" w:hAnsi="Arial" w:cs="Arial"/>
              </w:rPr>
            </w:pPr>
          </w:p>
        </w:tc>
      </w:tr>
    </w:tbl>
    <w:p w14:paraId="334FBE94" w14:textId="77777777" w:rsidR="001C70E8" w:rsidRDefault="001C70E8" w:rsidP="001C70E8">
      <w:pPr>
        <w:jc w:val="center"/>
      </w:pPr>
    </w:p>
    <w:sectPr w:rsidR="001C70E8" w:rsidSect="001C70E8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C365" w14:textId="77777777" w:rsidR="001C70E8" w:rsidRDefault="001C70E8" w:rsidP="001C70E8">
      <w:pPr>
        <w:spacing w:after="0" w:line="240" w:lineRule="auto"/>
      </w:pPr>
      <w:r>
        <w:separator/>
      </w:r>
    </w:p>
  </w:endnote>
  <w:endnote w:type="continuationSeparator" w:id="0">
    <w:p w14:paraId="4FF05121" w14:textId="77777777" w:rsidR="001C70E8" w:rsidRDefault="001C70E8" w:rsidP="001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11"/>
      <w:gridCol w:w="1912"/>
      <w:gridCol w:w="1911"/>
      <w:gridCol w:w="1912"/>
      <w:gridCol w:w="2002"/>
    </w:tblGrid>
    <w:tr w:rsidR="001C70E8" w:rsidRPr="00D744C0" w14:paraId="493E9301" w14:textId="77777777" w:rsidTr="001C70E8">
      <w:trPr>
        <w:trHeight w:val="260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BD5AF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Document Reference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8B058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Number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71F34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Superseded Date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8F371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Date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4286E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Page Number</w:t>
          </w:r>
        </w:p>
      </w:tc>
    </w:tr>
    <w:tr w:rsidR="001C70E8" w:rsidRPr="00D744C0" w14:paraId="7495CD18" w14:textId="77777777" w:rsidTr="001C70E8">
      <w:trPr>
        <w:trHeight w:val="369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585E73" w14:textId="1D233ABF" w:rsidR="00B230AD" w:rsidRDefault="001C70E8" w:rsidP="00B230AD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EIA00</w:t>
          </w:r>
          <w:r w:rsidR="00AA380A">
            <w:rPr>
              <w:rFonts w:ascii="Arial" w:hAnsi="Arial" w:cs="Arial"/>
              <w:sz w:val="18"/>
              <w:szCs w:val="18"/>
            </w:rPr>
            <w:t>7</w:t>
          </w:r>
        </w:p>
        <w:p w14:paraId="3C4580C8" w14:textId="6D9207BB" w:rsidR="001C70E8" w:rsidRPr="00D744C0" w:rsidRDefault="00AA380A" w:rsidP="00B230AD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Chemicals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6A5006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CD38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9C3B6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XX/XX/XXXX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A002BC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C70E8" w:rsidRPr="00D744C0" w14:paraId="7CF4CE83" w14:textId="77777777" w:rsidTr="001C70E8">
      <w:trPr>
        <w:trHeight w:val="440"/>
        <w:jc w:val="center"/>
      </w:trPr>
      <w:tc>
        <w:tcPr>
          <w:tcW w:w="96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A1A04" w14:textId="4C0EEC2E" w:rsidR="001C70E8" w:rsidRPr="00D744C0" w:rsidRDefault="005A1140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5A1140">
            <w:rPr>
              <w:rFonts w:ascii="Arial" w:hAnsi="Arial" w:cs="Arial"/>
              <w:b w:val="0"/>
              <w:bCs w:val="0"/>
              <w:sz w:val="18"/>
              <w:szCs w:val="18"/>
            </w:rPr>
            <w:t>Written By: Mark Bartlett – Waste Management Engineer</w:t>
          </w:r>
        </w:p>
      </w:tc>
    </w:tr>
  </w:tbl>
  <w:p w14:paraId="775435D6" w14:textId="77777777" w:rsidR="001C70E8" w:rsidRDefault="001C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61E8" w14:textId="77777777" w:rsidR="001C70E8" w:rsidRDefault="001C70E8" w:rsidP="001C70E8">
      <w:pPr>
        <w:spacing w:after="0" w:line="240" w:lineRule="auto"/>
      </w:pPr>
      <w:r>
        <w:separator/>
      </w:r>
    </w:p>
  </w:footnote>
  <w:footnote w:type="continuationSeparator" w:id="0">
    <w:p w14:paraId="0B10F157" w14:textId="77777777" w:rsidR="001C70E8" w:rsidRDefault="001C70E8" w:rsidP="001C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15B2" w14:textId="62C13C40" w:rsidR="001C70E8" w:rsidRDefault="001C70E8" w:rsidP="001C70E8">
    <w:pPr>
      <w:pStyle w:val="Header"/>
      <w:jc w:val="center"/>
    </w:pPr>
    <w:r>
      <w:rPr>
        <w:noProof/>
      </w:rPr>
      <w:drawing>
        <wp:inline distT="0" distB="0" distL="0" distR="0" wp14:anchorId="2846FC5E" wp14:editId="2A8C485F">
          <wp:extent cx="1190625" cy="9715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8"/>
    <w:rsid w:val="0001178C"/>
    <w:rsid w:val="001C70E8"/>
    <w:rsid w:val="002B5A5F"/>
    <w:rsid w:val="005A1140"/>
    <w:rsid w:val="007A048E"/>
    <w:rsid w:val="00AA380A"/>
    <w:rsid w:val="00B230AD"/>
    <w:rsid w:val="00C140D0"/>
    <w:rsid w:val="00CD0E83"/>
    <w:rsid w:val="00F0666E"/>
    <w:rsid w:val="00FB2489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74B31"/>
  <w15:chartTrackingRefBased/>
  <w15:docId w15:val="{C61DC273-AA9B-4E27-9F85-D13BB38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40D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E8"/>
  </w:style>
  <w:style w:type="paragraph" w:styleId="Footer">
    <w:name w:val="footer"/>
    <w:basedOn w:val="Normal"/>
    <w:link w:val="Foot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E8"/>
  </w:style>
  <w:style w:type="paragraph" w:styleId="BodyText">
    <w:name w:val="Body Text"/>
    <w:basedOn w:val="Normal"/>
    <w:link w:val="BodyTextChar"/>
    <w:rsid w:val="001C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70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1C70E8"/>
  </w:style>
  <w:style w:type="table" w:styleId="TableGrid">
    <w:name w:val="Table Grid"/>
    <w:basedOn w:val="TableNormal"/>
    <w:uiPriority w:val="39"/>
    <w:rsid w:val="001C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140D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5" ma:contentTypeDescription="Create a new document." ma:contentTypeScope="" ma:versionID="48893813b5760685f026db17dd94143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494ab0e14643d1f81467e0b8ad32d6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  <lcf76f155ced4ddcb4097134ff3c332f xmlns="80f5caf5-7450-4d58-83d0-abf759ca0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01E51E-D525-4D25-923A-B5399891D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E5D73-0DEE-402C-B3DE-E99DF798FC5D}"/>
</file>

<file path=customXml/itemProps3.xml><?xml version="1.0" encoding="utf-8"?>
<ds:datastoreItem xmlns:ds="http://schemas.openxmlformats.org/officeDocument/2006/customXml" ds:itemID="{3B0A2443-AF74-4C91-8EE8-07472AB57716}"/>
</file>

<file path=customXml/itemProps4.xml><?xml version="1.0" encoding="utf-8"?>
<ds:datastoreItem xmlns:ds="http://schemas.openxmlformats.org/officeDocument/2006/customXml" ds:itemID="{38FBD288-5E2F-4E94-B7FD-C2C18F26D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3</cp:revision>
  <dcterms:created xsi:type="dcterms:W3CDTF">2020-09-24T14:56:00Z</dcterms:created>
  <dcterms:modified xsi:type="dcterms:W3CDTF">2020-10-22T13:37:00Z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