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8559" w14:textId="214F4732"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D86886">
        <w:rPr>
          <w:rFonts w:ascii="Arial" w:hAnsi="Arial" w:cs="Arial"/>
          <w:sz w:val="24"/>
          <w:szCs w:val="24"/>
        </w:rPr>
        <w:t>Willoughbridge Lodge</w:t>
      </w:r>
      <w:r w:rsidR="00B96117">
        <w:rPr>
          <w:rFonts w:ascii="Arial" w:hAnsi="Arial" w:cs="Arial"/>
          <w:sz w:val="24"/>
          <w:szCs w:val="24"/>
        </w:rPr>
        <w:t xml:space="preserve"> Farm</w:t>
      </w:r>
      <w:r w:rsidR="007354A5">
        <w:rPr>
          <w:rFonts w:ascii="Arial" w:hAnsi="Arial" w:cs="Arial"/>
          <w:sz w:val="24"/>
          <w:szCs w:val="24"/>
        </w:rPr>
        <w:t xml:space="preserve"> Poultry Unit</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506FDD90" w:rsidR="00596A13" w:rsidRPr="00596A13" w:rsidRDefault="00596A13">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4641FCCF" w:rsidR="001B5B2B" w:rsidRDefault="001B5B2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4B58C0C2" w:rsidR="005C4BE2" w:rsidRDefault="005C4BE2"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58671B04" w:rsidR="00B04CAC" w:rsidRDefault="00B04CAC"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30DFEF73" w:rsidR="00B04CAC"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796B1EF5" w:rsidR="00A80ADB" w:rsidRDefault="00A80ADB">
            <w:pPr>
              <w:rPr>
                <w:rFonts w:ascii="Arial" w:hAnsi="Arial" w:cs="Arial"/>
                <w:sz w:val="20"/>
                <w:szCs w:val="20"/>
              </w:rPr>
            </w:pPr>
            <w:r>
              <w:rPr>
                <w:rFonts w:ascii="Arial" w:hAnsi="Arial" w:cs="Arial"/>
                <w:sz w:val="20"/>
                <w:szCs w:val="20"/>
              </w:rPr>
              <w:t>Alarm System/Standby Generator</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05418B52" w:rsidR="00A80ADB"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412256F3" w:rsidR="00D16DDF" w:rsidRPr="00596A13" w:rsidRDefault="00D16DDF"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62B49ECF" w:rsidR="00FE2723" w:rsidRPr="00596A13" w:rsidRDefault="00FE2723"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5E14FE6C" w:rsidR="00D16A3E" w:rsidRPr="00596A13" w:rsidRDefault="00D16A3E"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73CC2"/>
    <w:rsid w:val="000776DD"/>
    <w:rsid w:val="000F7797"/>
    <w:rsid w:val="00162274"/>
    <w:rsid w:val="001A3C79"/>
    <w:rsid w:val="001B5B2B"/>
    <w:rsid w:val="00250357"/>
    <w:rsid w:val="00263C58"/>
    <w:rsid w:val="00366B1E"/>
    <w:rsid w:val="003F0088"/>
    <w:rsid w:val="00496800"/>
    <w:rsid w:val="00513D84"/>
    <w:rsid w:val="00556848"/>
    <w:rsid w:val="00596A13"/>
    <w:rsid w:val="005C4BE2"/>
    <w:rsid w:val="00636D9E"/>
    <w:rsid w:val="006A217B"/>
    <w:rsid w:val="007354A5"/>
    <w:rsid w:val="007456AF"/>
    <w:rsid w:val="007E6E9B"/>
    <w:rsid w:val="00831386"/>
    <w:rsid w:val="008C7DA6"/>
    <w:rsid w:val="00910B16"/>
    <w:rsid w:val="0091652E"/>
    <w:rsid w:val="00971A3E"/>
    <w:rsid w:val="009766AD"/>
    <w:rsid w:val="00986BDB"/>
    <w:rsid w:val="00A04160"/>
    <w:rsid w:val="00A34C31"/>
    <w:rsid w:val="00A4062E"/>
    <w:rsid w:val="00A80ADB"/>
    <w:rsid w:val="00AF03D0"/>
    <w:rsid w:val="00B04CAC"/>
    <w:rsid w:val="00B25820"/>
    <w:rsid w:val="00B422AE"/>
    <w:rsid w:val="00B456FE"/>
    <w:rsid w:val="00B96117"/>
    <w:rsid w:val="00BA42B5"/>
    <w:rsid w:val="00C401E1"/>
    <w:rsid w:val="00C44C9F"/>
    <w:rsid w:val="00C45928"/>
    <w:rsid w:val="00D16A3E"/>
    <w:rsid w:val="00D16DDF"/>
    <w:rsid w:val="00D50256"/>
    <w:rsid w:val="00D86886"/>
    <w:rsid w:val="00D91BCB"/>
    <w:rsid w:val="00DC1BB6"/>
    <w:rsid w:val="00E64E43"/>
    <w:rsid w:val="00EC5BB6"/>
    <w:rsid w:val="00F46FA1"/>
    <w:rsid w:val="00F74F58"/>
    <w:rsid w:val="00FA374A"/>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2025-02-11T00:00:00+00:00</EAReceivedDate>
    <ga477587807b4e8dbd9d142e03c014fa xmlns="dbe221e7-66db-4bdb-a92c-aa517c005f15">
      <Terms xmlns="http://schemas.microsoft.com/office/infopath/2007/PartnerControls"/>
    </ga477587807b4e8dbd9d142e03c014fa>
    <PermitNumber xmlns="eebef177-55b5-4448-a5fb-28ea454417ee">EPR-DP3220LB</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EPR/DP3220LB</OtherReference>
    <EventLink xmlns="5ffd8e36-f429-4edc-ab50-c5be84842779" xsi:nil="true"/>
    <Customer_x002f_OperatorName xmlns="eebef177-55b5-4448-a5fb-28ea454417ee">Partons Poulets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2025-02-11T00:00:00+00:00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EPR/DP3220LB</EPRNumber>
    <FacilityAddressPostcode xmlns="eebef177-55b5-4448-a5fb-28ea454417ee">TF9 4JA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Partons Poulets Limited</ExternalAuthor>
    <SiteName xmlns="eebef177-55b5-4448-a5fb-28ea454417ee">Willoughbridge Lodge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Willoughbridge Lane, Winnington, Loggerheads, Mucklestone, TF9 4JA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A5DE761C-AFC1-47C7-8152-AD85AD1D464E}"/>
</file>

<file path=customXml/itemProps2.xml><?xml version="1.0" encoding="utf-8"?>
<ds:datastoreItem xmlns:ds="http://schemas.openxmlformats.org/officeDocument/2006/customXml" ds:itemID="{717EC060-6F7C-4BAB-BAD3-22F6F9CB1105}"/>
</file>

<file path=customXml/itemProps3.xml><?xml version="1.0" encoding="utf-8"?>
<ds:datastoreItem xmlns:ds="http://schemas.openxmlformats.org/officeDocument/2006/customXml" ds:itemID="{CA30EE55-493D-40EE-9E20-734BC0694779}"/>
</file>

<file path=docProps/app.xml><?xml version="1.0" encoding="utf-8"?>
<Properties xmlns="http://schemas.openxmlformats.org/officeDocument/2006/extended-properties" xmlns:vt="http://schemas.openxmlformats.org/officeDocument/2006/docPropsVTypes">
  <Template>Normal</Template>
  <TotalTime>166</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34</cp:revision>
  <cp:lastPrinted>2015-11-30T18:12:00Z</cp:lastPrinted>
  <dcterms:created xsi:type="dcterms:W3CDTF">2014-07-05T11:08:00Z</dcterms:created>
  <dcterms:modified xsi:type="dcterms:W3CDTF">2025-02-04T16:01:00Z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