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256A" w14:textId="614EDDD9" w:rsidR="008D4E41" w:rsidRDefault="00C54F71">
      <w:r>
        <w:rPr>
          <w:noProof/>
        </w:rPr>
        <w:drawing>
          <wp:anchor distT="0" distB="0" distL="114300" distR="114300" simplePos="0" relativeHeight="251674624" behindDoc="0" locked="0" layoutInCell="1" allowOverlap="1" wp14:anchorId="292F87A1" wp14:editId="6598CBB7">
            <wp:simplePos x="0" y="0"/>
            <wp:positionH relativeFrom="column">
              <wp:posOffset>30480</wp:posOffset>
            </wp:positionH>
            <wp:positionV relativeFrom="paragraph">
              <wp:posOffset>107950</wp:posOffset>
            </wp:positionV>
            <wp:extent cx="5731510" cy="1719580"/>
            <wp:effectExtent l="0" t="0" r="0" b="0"/>
            <wp:wrapNone/>
            <wp:docPr id="919563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63027" name="Picture 9195630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719580"/>
                    </a:xfrm>
                    <a:prstGeom prst="rect">
                      <a:avLst/>
                    </a:prstGeom>
                  </pic:spPr>
                </pic:pic>
              </a:graphicData>
            </a:graphic>
            <wp14:sizeRelH relativeFrom="page">
              <wp14:pctWidth>0</wp14:pctWidth>
            </wp14:sizeRelH>
            <wp14:sizeRelV relativeFrom="page">
              <wp14:pctHeight>0</wp14:pctHeight>
            </wp14:sizeRelV>
          </wp:anchor>
        </w:drawing>
      </w:r>
    </w:p>
    <w:p w14:paraId="3F061C56" w14:textId="604926C0" w:rsidR="00B341C8" w:rsidRDefault="00B341C8"/>
    <w:p w14:paraId="25D8F45B" w14:textId="1EAB5AEC" w:rsidR="00B341C8" w:rsidRDefault="00B341C8"/>
    <w:p w14:paraId="5183EB4C" w14:textId="523130B5" w:rsidR="00B341C8" w:rsidRDefault="00B341C8"/>
    <w:tbl>
      <w:tblPr>
        <w:tblStyle w:val="GridTable2-Accent1"/>
        <w:tblpPr w:leftFromText="187" w:rightFromText="187" w:vertAnchor="page" w:horzAnchor="margin" w:tblpXSpec="center" w:tblpY="3856"/>
        <w:tblW w:w="0" w:type="auto"/>
        <w:tblLook w:val="04A0" w:firstRow="1" w:lastRow="0" w:firstColumn="1" w:lastColumn="0" w:noHBand="0" w:noVBand="1"/>
      </w:tblPr>
      <w:tblGrid>
        <w:gridCol w:w="6663"/>
      </w:tblGrid>
      <w:tr w:rsidR="005318BB" w:rsidRPr="00CD6BDF" w14:paraId="3AB1FF6D" w14:textId="77777777" w:rsidTr="005318BB">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6663" w:type="dxa"/>
          </w:tcPr>
          <w:p w14:paraId="760BEC53" w14:textId="20F14895" w:rsidR="005318BB" w:rsidRDefault="005318BB" w:rsidP="005318BB">
            <w:pPr>
              <w:spacing w:before="200"/>
              <w:rPr>
                <w:rFonts w:ascii="Calibri" w:hAnsi="Calibri" w:cs="Calibri"/>
                <w:b w:val="0"/>
                <w:spacing w:val="5"/>
                <w:kern w:val="28"/>
              </w:rPr>
            </w:pPr>
          </w:p>
          <w:p w14:paraId="42761880" w14:textId="22B05237" w:rsidR="005318BB" w:rsidRDefault="005318BB" w:rsidP="005318BB">
            <w:pPr>
              <w:spacing w:before="200"/>
              <w:rPr>
                <w:rFonts w:ascii="Calibri" w:hAnsi="Calibri" w:cs="Calibri"/>
                <w:b w:val="0"/>
                <w:spacing w:val="5"/>
                <w:kern w:val="28"/>
              </w:rPr>
            </w:pPr>
          </w:p>
          <w:p w14:paraId="4796B327" w14:textId="77777777" w:rsidR="005318BB" w:rsidRDefault="005318BB" w:rsidP="005318BB">
            <w:pPr>
              <w:spacing w:before="200"/>
              <w:rPr>
                <w:rFonts w:ascii="Calibri" w:hAnsi="Calibri" w:cs="Calibri"/>
                <w:bCs w:val="0"/>
                <w:spacing w:val="5"/>
                <w:kern w:val="28"/>
              </w:rPr>
            </w:pPr>
          </w:p>
          <w:p w14:paraId="7B63B209" w14:textId="77777777" w:rsidR="005318BB" w:rsidRPr="00CD6BDF" w:rsidRDefault="005318BB" w:rsidP="005318BB">
            <w:pPr>
              <w:spacing w:before="200"/>
              <w:rPr>
                <w:rFonts w:ascii="Calibri" w:hAnsi="Calibri" w:cs="Calibri"/>
                <w:b w:val="0"/>
                <w:spacing w:val="5"/>
                <w:kern w:val="28"/>
              </w:rPr>
            </w:pPr>
          </w:p>
        </w:tc>
      </w:tr>
      <w:tr w:rsidR="005318BB" w:rsidRPr="006A0B1B" w14:paraId="0E753F5E" w14:textId="77777777" w:rsidTr="005318BB">
        <w:trPr>
          <w:cnfStyle w:val="000000100000" w:firstRow="0" w:lastRow="0" w:firstColumn="0" w:lastColumn="0" w:oddVBand="0" w:evenVBand="0" w:oddHBand="1"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6663" w:type="dxa"/>
          </w:tcPr>
          <w:p w14:paraId="59A0D1B0" w14:textId="249150FC" w:rsidR="005318BB" w:rsidRDefault="005318BB" w:rsidP="005318BB">
            <w:pPr>
              <w:pStyle w:val="NoSpacing"/>
              <w:rPr>
                <w:rFonts w:ascii="Calibri" w:hAnsi="Calibri"/>
                <w:b w:val="0"/>
                <w:color w:val="44546A" w:themeColor="text2"/>
                <w:sz w:val="48"/>
                <w:szCs w:val="48"/>
              </w:rPr>
            </w:pPr>
          </w:p>
          <w:p w14:paraId="099925A8" w14:textId="77777777" w:rsidR="005318BB" w:rsidRDefault="005318BB" w:rsidP="005318BB">
            <w:pPr>
              <w:pStyle w:val="NoSpacing"/>
              <w:jc w:val="center"/>
              <w:rPr>
                <w:rFonts w:ascii="Calibri" w:hAnsi="Calibri"/>
                <w:b w:val="0"/>
                <w:color w:val="44546A" w:themeColor="text2"/>
                <w:sz w:val="48"/>
                <w:szCs w:val="48"/>
              </w:rPr>
            </w:pPr>
            <w:r>
              <w:rPr>
                <w:rFonts w:ascii="Calibri" w:hAnsi="Calibri"/>
                <w:bCs w:val="0"/>
                <w:color w:val="44546A" w:themeColor="text2"/>
                <w:sz w:val="48"/>
                <w:szCs w:val="48"/>
              </w:rPr>
              <w:t>Non-Technical Summary</w:t>
            </w:r>
          </w:p>
          <w:p w14:paraId="534653E7" w14:textId="0E75CCC7" w:rsidR="005318BB" w:rsidRDefault="005318BB" w:rsidP="005318BB">
            <w:pPr>
              <w:pStyle w:val="NoSpacing"/>
              <w:jc w:val="center"/>
              <w:rPr>
                <w:rFonts w:ascii="Calibri" w:hAnsi="Calibri"/>
                <w:b w:val="0"/>
                <w:bCs w:val="0"/>
                <w:color w:val="44546A" w:themeColor="text2"/>
                <w:sz w:val="48"/>
                <w:szCs w:val="48"/>
              </w:rPr>
            </w:pPr>
          </w:p>
          <w:p w14:paraId="4C0DB5C2" w14:textId="0506AA36" w:rsidR="005318BB" w:rsidRDefault="005318BB" w:rsidP="005318BB">
            <w:pPr>
              <w:pStyle w:val="NoSpacing"/>
              <w:jc w:val="center"/>
              <w:rPr>
                <w:rFonts w:ascii="Calibri" w:hAnsi="Calibri"/>
                <w:b w:val="0"/>
                <w:bCs w:val="0"/>
                <w:color w:val="44546A" w:themeColor="text2"/>
                <w:sz w:val="48"/>
                <w:szCs w:val="48"/>
              </w:rPr>
            </w:pPr>
            <w:r>
              <w:rPr>
                <w:rFonts w:ascii="Calibri" w:hAnsi="Calibri"/>
                <w:color w:val="44546A" w:themeColor="text2"/>
                <w:sz w:val="48"/>
                <w:szCs w:val="48"/>
              </w:rPr>
              <w:t>Soil Recovery and Recycling Facility</w:t>
            </w:r>
          </w:p>
          <w:p w14:paraId="4502C272" w14:textId="0978C31E" w:rsidR="005318BB" w:rsidRPr="00784187" w:rsidRDefault="005318BB" w:rsidP="005318BB">
            <w:pPr>
              <w:pStyle w:val="NoSpacing"/>
              <w:jc w:val="center"/>
              <w:rPr>
                <w:rFonts w:ascii="Calibri" w:hAnsi="Calibri"/>
                <w:b w:val="0"/>
                <w:bCs w:val="0"/>
                <w:color w:val="44546A" w:themeColor="text2"/>
                <w:sz w:val="48"/>
                <w:szCs w:val="48"/>
              </w:rPr>
            </w:pPr>
            <w:r>
              <w:rPr>
                <w:rFonts w:ascii="Calibri" w:hAnsi="Calibri"/>
                <w:b w:val="0"/>
                <w:bCs w:val="0"/>
                <w:color w:val="44546A" w:themeColor="text2"/>
                <w:sz w:val="48"/>
                <w:szCs w:val="48"/>
              </w:rPr>
              <w:t>Towens of Weston</w:t>
            </w:r>
            <w:r w:rsidRPr="00784187">
              <w:rPr>
                <w:rFonts w:ascii="Calibri" w:hAnsi="Calibri"/>
                <w:b w:val="0"/>
                <w:bCs w:val="0"/>
                <w:color w:val="44546A" w:themeColor="text2"/>
                <w:sz w:val="48"/>
                <w:szCs w:val="48"/>
              </w:rPr>
              <w:t xml:space="preserve"> Ltd</w:t>
            </w:r>
          </w:p>
          <w:p w14:paraId="15EA69A1" w14:textId="77777777" w:rsidR="005318BB" w:rsidRPr="001F463D" w:rsidRDefault="005318BB" w:rsidP="005318BB">
            <w:pPr>
              <w:pStyle w:val="NoSpacing"/>
              <w:rPr>
                <w:rFonts w:ascii="Calibri" w:hAnsi="Calibri"/>
                <w:b w:val="0"/>
                <w:color w:val="44546A" w:themeColor="text2"/>
                <w:sz w:val="48"/>
                <w:szCs w:val="48"/>
              </w:rPr>
            </w:pPr>
          </w:p>
          <w:p w14:paraId="5CE313A3" w14:textId="77777777" w:rsidR="005318BB" w:rsidRPr="006A0B1B" w:rsidRDefault="005318BB" w:rsidP="005318BB">
            <w:pPr>
              <w:pStyle w:val="NoSpacing"/>
              <w:rPr>
                <w:b w:val="0"/>
              </w:rPr>
            </w:pPr>
          </w:p>
        </w:tc>
      </w:tr>
    </w:tbl>
    <w:p w14:paraId="445D8CD9" w14:textId="511D5154" w:rsidR="00B341C8" w:rsidRDefault="00B341C8"/>
    <w:p w14:paraId="68FA236E" w14:textId="40C52651" w:rsidR="00B341C8" w:rsidRDefault="00B341C8"/>
    <w:p w14:paraId="06FE0B82" w14:textId="5B0C284E" w:rsidR="00B341C8" w:rsidRDefault="00B341C8"/>
    <w:p w14:paraId="7C732D5F" w14:textId="69A08B12" w:rsidR="00B341C8" w:rsidRDefault="00B341C8"/>
    <w:p w14:paraId="4F043197" w14:textId="6EEF57F4" w:rsidR="00B341C8" w:rsidRDefault="00B341C8"/>
    <w:p w14:paraId="6F0E0D45" w14:textId="092003FC" w:rsidR="00B341C8" w:rsidRDefault="00B341C8"/>
    <w:p w14:paraId="2C458E06" w14:textId="03664DDB" w:rsidR="00B341C8" w:rsidRDefault="00B341C8"/>
    <w:p w14:paraId="06C57D97" w14:textId="616FB1B7" w:rsidR="00B341C8" w:rsidRDefault="00B341C8"/>
    <w:p w14:paraId="1501AB99" w14:textId="7C20D88E" w:rsidR="00B341C8" w:rsidRDefault="00B341C8"/>
    <w:p w14:paraId="1320C6D6" w14:textId="6B78ADF8" w:rsidR="00B341C8" w:rsidRDefault="00B341C8"/>
    <w:p w14:paraId="0FB70612" w14:textId="7B70A77E" w:rsidR="00B341C8" w:rsidRDefault="00B341C8"/>
    <w:p w14:paraId="2BD68D80" w14:textId="60FF43BC" w:rsidR="00B341C8" w:rsidRDefault="00B341C8"/>
    <w:p w14:paraId="3BD67424" w14:textId="2D3251AF" w:rsidR="00B341C8" w:rsidRDefault="00B341C8"/>
    <w:p w14:paraId="44247AE7" w14:textId="77777777" w:rsidR="002E4FF3" w:rsidRDefault="002E4FF3" w:rsidP="00B341C8">
      <w:pPr>
        <w:pStyle w:val="NoSpacing"/>
        <w:jc w:val="center"/>
        <w:rPr>
          <w:rFonts w:ascii="Calibri" w:hAnsi="Calibri"/>
          <w:color w:val="44546A" w:themeColor="text2"/>
          <w:sz w:val="36"/>
          <w:szCs w:val="36"/>
        </w:rPr>
      </w:pPr>
    </w:p>
    <w:p w14:paraId="7CE47C57" w14:textId="77777777" w:rsidR="002E4FF3" w:rsidRDefault="002E4FF3" w:rsidP="00B341C8">
      <w:pPr>
        <w:pStyle w:val="NoSpacing"/>
        <w:jc w:val="center"/>
        <w:rPr>
          <w:rFonts w:ascii="Calibri" w:hAnsi="Calibri"/>
          <w:color w:val="44546A" w:themeColor="text2"/>
          <w:sz w:val="36"/>
          <w:szCs w:val="36"/>
        </w:rPr>
      </w:pPr>
    </w:p>
    <w:p w14:paraId="2BC3A106" w14:textId="77777777" w:rsidR="008D4E41" w:rsidRDefault="008D4E41" w:rsidP="00B341C8">
      <w:pPr>
        <w:pStyle w:val="NoSpacing"/>
        <w:jc w:val="center"/>
        <w:rPr>
          <w:rFonts w:ascii="Calibri" w:hAnsi="Calibri"/>
          <w:color w:val="44546A" w:themeColor="text2"/>
          <w:sz w:val="36"/>
          <w:szCs w:val="36"/>
        </w:rPr>
      </w:pPr>
    </w:p>
    <w:p w14:paraId="6A4C43B6" w14:textId="77777777" w:rsidR="00784187" w:rsidRDefault="00784187" w:rsidP="00784187">
      <w:pPr>
        <w:pStyle w:val="NoSpacing"/>
        <w:rPr>
          <w:rFonts w:ascii="Calibri" w:hAnsi="Calibri"/>
          <w:color w:val="44546A" w:themeColor="text2"/>
          <w:sz w:val="36"/>
          <w:szCs w:val="36"/>
        </w:rPr>
      </w:pPr>
      <w:bookmarkStart w:id="0" w:name="_Hlk112150931"/>
    </w:p>
    <w:p w14:paraId="2E8B1D1B" w14:textId="77777777" w:rsidR="00784187" w:rsidRDefault="00784187" w:rsidP="00784187">
      <w:pPr>
        <w:pStyle w:val="NoSpacing"/>
        <w:rPr>
          <w:rFonts w:ascii="Calibri" w:hAnsi="Calibri"/>
          <w:color w:val="44546A" w:themeColor="text2"/>
          <w:sz w:val="36"/>
          <w:szCs w:val="36"/>
        </w:rPr>
      </w:pPr>
    </w:p>
    <w:p w14:paraId="55232564" w14:textId="77777777" w:rsidR="00784187" w:rsidRDefault="00784187" w:rsidP="00784187">
      <w:pPr>
        <w:pStyle w:val="NoSpacing"/>
        <w:rPr>
          <w:rFonts w:ascii="Calibri" w:hAnsi="Calibri"/>
          <w:color w:val="44546A" w:themeColor="text2"/>
          <w:sz w:val="36"/>
          <w:szCs w:val="36"/>
        </w:rPr>
      </w:pPr>
    </w:p>
    <w:p w14:paraId="75FD8A76" w14:textId="7B38C033" w:rsidR="00784187" w:rsidRPr="0007342B" w:rsidRDefault="005318BB" w:rsidP="00784187">
      <w:pPr>
        <w:pStyle w:val="NoSpacing"/>
        <w:rPr>
          <w:rFonts w:ascii="Calibri" w:hAnsi="Calibri"/>
          <w:color w:val="44546A" w:themeColor="text2"/>
          <w:sz w:val="32"/>
          <w:szCs w:val="32"/>
        </w:rPr>
      </w:pPr>
      <w:bookmarkStart w:id="1" w:name="_Hlk118977698"/>
      <w:r>
        <w:rPr>
          <w:rFonts w:ascii="Calibri" w:hAnsi="Calibri"/>
          <w:color w:val="44546A" w:themeColor="text2"/>
          <w:sz w:val="32"/>
          <w:szCs w:val="32"/>
        </w:rPr>
        <w:t>Westonzoyland</w:t>
      </w:r>
      <w:r w:rsidR="00784187" w:rsidRPr="0007342B">
        <w:rPr>
          <w:rFonts w:ascii="Calibri" w:hAnsi="Calibri"/>
          <w:color w:val="44546A" w:themeColor="text2"/>
          <w:sz w:val="32"/>
          <w:szCs w:val="32"/>
        </w:rPr>
        <w:t xml:space="preserve"> </w:t>
      </w:r>
      <w:r w:rsidR="00512720">
        <w:rPr>
          <w:rFonts w:ascii="Calibri" w:hAnsi="Calibri"/>
          <w:color w:val="44546A" w:themeColor="text2"/>
          <w:sz w:val="32"/>
          <w:szCs w:val="32"/>
        </w:rPr>
        <w:t xml:space="preserve">Processing Plant </w:t>
      </w:r>
    </w:p>
    <w:p w14:paraId="1AB5C023" w14:textId="6BEF894A" w:rsidR="00784187" w:rsidRPr="0007342B" w:rsidRDefault="005318BB" w:rsidP="00784187">
      <w:pPr>
        <w:pStyle w:val="NoSpacing"/>
        <w:rPr>
          <w:rFonts w:ascii="Calibri" w:hAnsi="Calibri"/>
          <w:color w:val="44546A" w:themeColor="text2"/>
          <w:sz w:val="32"/>
          <w:szCs w:val="32"/>
        </w:rPr>
      </w:pPr>
      <w:r>
        <w:rPr>
          <w:rFonts w:ascii="Calibri" w:hAnsi="Calibri"/>
          <w:color w:val="44546A" w:themeColor="text2"/>
          <w:sz w:val="32"/>
          <w:szCs w:val="32"/>
        </w:rPr>
        <w:t>Former Airfield</w:t>
      </w:r>
      <w:r w:rsidR="00784187" w:rsidRPr="0007342B">
        <w:rPr>
          <w:rFonts w:ascii="Calibri" w:hAnsi="Calibri"/>
          <w:color w:val="44546A" w:themeColor="text2"/>
          <w:sz w:val="32"/>
          <w:szCs w:val="32"/>
        </w:rPr>
        <w:t>,</w:t>
      </w:r>
    </w:p>
    <w:p w14:paraId="4998CE83" w14:textId="0836DDB0" w:rsidR="00784187" w:rsidRDefault="005318BB" w:rsidP="00784187">
      <w:pPr>
        <w:pStyle w:val="NoSpacing"/>
        <w:rPr>
          <w:rFonts w:ascii="Calibri" w:hAnsi="Calibri"/>
          <w:color w:val="44546A" w:themeColor="text2"/>
          <w:sz w:val="32"/>
          <w:szCs w:val="32"/>
        </w:rPr>
      </w:pPr>
      <w:r>
        <w:rPr>
          <w:rFonts w:ascii="Calibri" w:hAnsi="Calibri"/>
          <w:color w:val="44546A" w:themeColor="text2"/>
          <w:sz w:val="32"/>
          <w:szCs w:val="32"/>
        </w:rPr>
        <w:t xml:space="preserve">Land </w:t>
      </w:r>
      <w:proofErr w:type="gramStart"/>
      <w:r>
        <w:rPr>
          <w:rFonts w:ascii="Calibri" w:hAnsi="Calibri"/>
          <w:color w:val="44546A" w:themeColor="text2"/>
          <w:sz w:val="32"/>
          <w:szCs w:val="32"/>
        </w:rPr>
        <w:t>off</w:t>
      </w:r>
      <w:proofErr w:type="gramEnd"/>
      <w:r>
        <w:rPr>
          <w:rFonts w:ascii="Calibri" w:hAnsi="Calibri"/>
          <w:color w:val="44546A" w:themeColor="text2"/>
          <w:sz w:val="32"/>
          <w:szCs w:val="32"/>
        </w:rPr>
        <w:t xml:space="preserve"> A372</w:t>
      </w:r>
      <w:r w:rsidR="00784187" w:rsidRPr="0007342B">
        <w:rPr>
          <w:rFonts w:ascii="Calibri" w:hAnsi="Calibri"/>
          <w:color w:val="44546A" w:themeColor="text2"/>
          <w:sz w:val="32"/>
          <w:szCs w:val="32"/>
        </w:rPr>
        <w:t>,</w:t>
      </w:r>
    </w:p>
    <w:p w14:paraId="3BE3566B" w14:textId="1CA80392" w:rsidR="005318BB" w:rsidRPr="0007342B" w:rsidRDefault="005318BB" w:rsidP="00784187">
      <w:pPr>
        <w:pStyle w:val="NoSpacing"/>
        <w:rPr>
          <w:rFonts w:ascii="Calibri" w:hAnsi="Calibri"/>
          <w:color w:val="44546A" w:themeColor="text2"/>
          <w:sz w:val="32"/>
          <w:szCs w:val="32"/>
        </w:rPr>
      </w:pPr>
      <w:r>
        <w:rPr>
          <w:rFonts w:ascii="Calibri" w:hAnsi="Calibri"/>
          <w:color w:val="44546A" w:themeColor="text2"/>
          <w:sz w:val="32"/>
          <w:szCs w:val="32"/>
        </w:rPr>
        <w:t>Westonzoyland,</w:t>
      </w:r>
    </w:p>
    <w:p w14:paraId="06376297" w14:textId="45142FFE" w:rsidR="00784187" w:rsidRPr="0007342B" w:rsidRDefault="005318BB" w:rsidP="00784187">
      <w:pPr>
        <w:pStyle w:val="NoSpacing"/>
        <w:rPr>
          <w:rFonts w:ascii="Calibri" w:hAnsi="Calibri"/>
          <w:color w:val="44546A" w:themeColor="text2"/>
          <w:sz w:val="32"/>
          <w:szCs w:val="32"/>
        </w:rPr>
      </w:pPr>
      <w:r>
        <w:rPr>
          <w:rFonts w:ascii="Calibri" w:hAnsi="Calibri"/>
          <w:color w:val="44546A" w:themeColor="text2"/>
          <w:sz w:val="32"/>
          <w:szCs w:val="32"/>
        </w:rPr>
        <w:t>TA7 0JS</w:t>
      </w:r>
    </w:p>
    <w:bookmarkEnd w:id="0"/>
    <w:bookmarkEnd w:id="1"/>
    <w:p w14:paraId="7EC669F8" w14:textId="60A6D675" w:rsidR="00B341C8" w:rsidRDefault="00B341C8" w:rsidP="00784187">
      <w:pPr>
        <w:rPr>
          <w:color w:val="2F5496" w:themeColor="accent1" w:themeShade="BF"/>
        </w:rPr>
      </w:pPr>
    </w:p>
    <w:p w14:paraId="7B7E395E" w14:textId="346BB672" w:rsidR="00B341C8" w:rsidRDefault="00B341C8" w:rsidP="00B341C8">
      <w:pPr>
        <w:jc w:val="center"/>
        <w:rPr>
          <w:color w:val="2F5496" w:themeColor="accent1" w:themeShade="BF"/>
        </w:rPr>
      </w:pPr>
    </w:p>
    <w:tbl>
      <w:tblPr>
        <w:tblStyle w:val="TableGrid"/>
        <w:tblpPr w:leftFromText="180" w:rightFromText="180" w:vertAnchor="page" w:horzAnchor="margin" w:tblpY="1951"/>
        <w:tblW w:w="0" w:type="auto"/>
        <w:tblLook w:val="04A0" w:firstRow="1" w:lastRow="0" w:firstColumn="1" w:lastColumn="0" w:noHBand="0" w:noVBand="1"/>
      </w:tblPr>
      <w:tblGrid>
        <w:gridCol w:w="2405"/>
        <w:gridCol w:w="5670"/>
      </w:tblGrid>
      <w:tr w:rsidR="00784187" w14:paraId="38FB0483" w14:textId="77777777" w:rsidTr="00BD4BD3">
        <w:tc>
          <w:tcPr>
            <w:tcW w:w="2405" w:type="dxa"/>
            <w:shd w:val="clear" w:color="auto" w:fill="B4C6E7" w:themeFill="accent1" w:themeFillTint="66"/>
          </w:tcPr>
          <w:p w14:paraId="77E8382B" w14:textId="77777777" w:rsidR="00784187" w:rsidRPr="0018389F" w:rsidRDefault="00784187" w:rsidP="00BD4BD3">
            <w:pPr>
              <w:tabs>
                <w:tab w:val="left" w:pos="2415"/>
              </w:tabs>
              <w:rPr>
                <w:rFonts w:cstheme="minorHAnsi"/>
                <w:b/>
                <w:bCs/>
                <w:sz w:val="20"/>
                <w:szCs w:val="20"/>
              </w:rPr>
            </w:pPr>
            <w:bookmarkStart w:id="2" w:name="_Hlk112150950"/>
            <w:r w:rsidRPr="0018389F">
              <w:rPr>
                <w:rFonts w:cstheme="minorHAnsi"/>
                <w:b/>
                <w:bCs/>
                <w:sz w:val="20"/>
                <w:szCs w:val="20"/>
              </w:rPr>
              <w:lastRenderedPageBreak/>
              <w:t>Document Title</w:t>
            </w:r>
          </w:p>
          <w:p w14:paraId="22BFBBF7" w14:textId="77777777" w:rsidR="00784187" w:rsidRPr="0018389F" w:rsidRDefault="00784187" w:rsidP="00BD4BD3">
            <w:pPr>
              <w:tabs>
                <w:tab w:val="left" w:pos="2415"/>
              </w:tabs>
              <w:rPr>
                <w:rFonts w:cstheme="minorHAnsi"/>
                <w:b/>
                <w:bCs/>
                <w:sz w:val="20"/>
                <w:szCs w:val="20"/>
              </w:rPr>
            </w:pPr>
          </w:p>
        </w:tc>
        <w:tc>
          <w:tcPr>
            <w:tcW w:w="5670" w:type="dxa"/>
          </w:tcPr>
          <w:p w14:paraId="309AAD67" w14:textId="4E64366C" w:rsidR="00784187" w:rsidRPr="0018389F" w:rsidRDefault="00784187" w:rsidP="00BD4BD3">
            <w:pPr>
              <w:tabs>
                <w:tab w:val="left" w:pos="2415"/>
              </w:tabs>
              <w:rPr>
                <w:rFonts w:cstheme="minorHAnsi"/>
                <w:sz w:val="20"/>
                <w:szCs w:val="20"/>
              </w:rPr>
            </w:pPr>
            <w:r>
              <w:rPr>
                <w:rFonts w:cstheme="minorHAnsi"/>
                <w:sz w:val="20"/>
                <w:szCs w:val="20"/>
              </w:rPr>
              <w:t>Non-Technical Summary</w:t>
            </w:r>
          </w:p>
        </w:tc>
      </w:tr>
      <w:tr w:rsidR="00784187" w14:paraId="01F5D718" w14:textId="77777777" w:rsidTr="00BD4BD3">
        <w:tc>
          <w:tcPr>
            <w:tcW w:w="2405" w:type="dxa"/>
            <w:shd w:val="clear" w:color="auto" w:fill="B4C6E7" w:themeFill="accent1" w:themeFillTint="66"/>
          </w:tcPr>
          <w:p w14:paraId="10E8E2FE" w14:textId="77777777" w:rsidR="00784187" w:rsidRPr="0018389F" w:rsidRDefault="00784187" w:rsidP="00BD4BD3">
            <w:pPr>
              <w:tabs>
                <w:tab w:val="left" w:pos="2415"/>
              </w:tabs>
              <w:rPr>
                <w:rFonts w:cstheme="minorHAnsi"/>
                <w:b/>
                <w:bCs/>
                <w:sz w:val="20"/>
                <w:szCs w:val="20"/>
              </w:rPr>
            </w:pPr>
            <w:r w:rsidRPr="0018389F">
              <w:rPr>
                <w:rFonts w:cstheme="minorHAnsi"/>
                <w:b/>
                <w:bCs/>
                <w:sz w:val="20"/>
                <w:szCs w:val="20"/>
              </w:rPr>
              <w:t>Revision</w:t>
            </w:r>
          </w:p>
          <w:p w14:paraId="5158F61A" w14:textId="77777777" w:rsidR="00784187" w:rsidRPr="0018389F" w:rsidRDefault="00784187" w:rsidP="00BD4BD3">
            <w:pPr>
              <w:tabs>
                <w:tab w:val="left" w:pos="2415"/>
              </w:tabs>
              <w:rPr>
                <w:rFonts w:cstheme="minorHAnsi"/>
                <w:b/>
                <w:bCs/>
                <w:sz w:val="20"/>
                <w:szCs w:val="20"/>
              </w:rPr>
            </w:pPr>
          </w:p>
        </w:tc>
        <w:tc>
          <w:tcPr>
            <w:tcW w:w="5670" w:type="dxa"/>
          </w:tcPr>
          <w:p w14:paraId="5CE61664" w14:textId="405DB5A6" w:rsidR="00784187" w:rsidRPr="0018389F" w:rsidRDefault="00EE1794" w:rsidP="00BD4BD3">
            <w:pPr>
              <w:tabs>
                <w:tab w:val="left" w:pos="2415"/>
              </w:tabs>
              <w:rPr>
                <w:rFonts w:cstheme="minorHAnsi"/>
                <w:sz w:val="20"/>
                <w:szCs w:val="20"/>
              </w:rPr>
            </w:pPr>
            <w:r>
              <w:rPr>
                <w:rFonts w:cstheme="minorHAnsi"/>
                <w:sz w:val="20"/>
                <w:szCs w:val="20"/>
              </w:rPr>
              <w:t>1</w:t>
            </w:r>
            <w:r w:rsidR="00784187" w:rsidRPr="0018389F">
              <w:rPr>
                <w:rFonts w:cstheme="minorHAnsi"/>
                <w:sz w:val="20"/>
                <w:szCs w:val="20"/>
              </w:rPr>
              <w:t>.0</w:t>
            </w:r>
          </w:p>
        </w:tc>
      </w:tr>
      <w:tr w:rsidR="00784187" w14:paraId="4B371A7E" w14:textId="77777777" w:rsidTr="00BD4BD3">
        <w:tc>
          <w:tcPr>
            <w:tcW w:w="2405" w:type="dxa"/>
            <w:shd w:val="clear" w:color="auto" w:fill="B4C6E7" w:themeFill="accent1" w:themeFillTint="66"/>
          </w:tcPr>
          <w:p w14:paraId="4F496240" w14:textId="77777777" w:rsidR="00784187" w:rsidRPr="0018389F" w:rsidRDefault="00784187" w:rsidP="00BD4BD3">
            <w:pPr>
              <w:tabs>
                <w:tab w:val="left" w:pos="2415"/>
              </w:tabs>
              <w:rPr>
                <w:rFonts w:cstheme="minorHAnsi"/>
                <w:b/>
                <w:bCs/>
                <w:sz w:val="20"/>
                <w:szCs w:val="20"/>
              </w:rPr>
            </w:pPr>
            <w:r w:rsidRPr="0018389F">
              <w:rPr>
                <w:rFonts w:cstheme="minorHAnsi"/>
                <w:b/>
                <w:bCs/>
                <w:sz w:val="20"/>
                <w:szCs w:val="20"/>
              </w:rPr>
              <w:t>Date</w:t>
            </w:r>
          </w:p>
          <w:p w14:paraId="4D4B0360" w14:textId="77777777" w:rsidR="00784187" w:rsidRPr="0018389F" w:rsidRDefault="00784187" w:rsidP="00BD4BD3">
            <w:pPr>
              <w:tabs>
                <w:tab w:val="left" w:pos="2415"/>
              </w:tabs>
              <w:rPr>
                <w:rFonts w:cstheme="minorHAnsi"/>
                <w:b/>
                <w:bCs/>
                <w:sz w:val="20"/>
                <w:szCs w:val="20"/>
              </w:rPr>
            </w:pPr>
          </w:p>
        </w:tc>
        <w:tc>
          <w:tcPr>
            <w:tcW w:w="5670" w:type="dxa"/>
          </w:tcPr>
          <w:p w14:paraId="51CD475A" w14:textId="29AD3C89" w:rsidR="00784187" w:rsidRPr="0018389F" w:rsidRDefault="00920B7C" w:rsidP="00BD4BD3">
            <w:pPr>
              <w:tabs>
                <w:tab w:val="left" w:pos="2415"/>
              </w:tabs>
              <w:rPr>
                <w:rFonts w:cstheme="minorHAnsi"/>
                <w:sz w:val="20"/>
                <w:szCs w:val="20"/>
              </w:rPr>
            </w:pPr>
            <w:r>
              <w:rPr>
                <w:rFonts w:cstheme="minorHAnsi"/>
                <w:sz w:val="20"/>
                <w:szCs w:val="20"/>
              </w:rPr>
              <w:t>0</w:t>
            </w:r>
            <w:r w:rsidR="00C54F71">
              <w:rPr>
                <w:rFonts w:cstheme="minorHAnsi"/>
                <w:sz w:val="20"/>
                <w:szCs w:val="20"/>
              </w:rPr>
              <w:t>1</w:t>
            </w:r>
            <w:r w:rsidR="00571D0E">
              <w:rPr>
                <w:rFonts w:cstheme="minorHAnsi"/>
                <w:sz w:val="20"/>
                <w:szCs w:val="20"/>
              </w:rPr>
              <w:t>/</w:t>
            </w:r>
            <w:r w:rsidR="00C54F71">
              <w:rPr>
                <w:rFonts w:cstheme="minorHAnsi"/>
                <w:sz w:val="20"/>
                <w:szCs w:val="20"/>
              </w:rPr>
              <w:t>10</w:t>
            </w:r>
            <w:r w:rsidR="00784187" w:rsidRPr="0018389F">
              <w:rPr>
                <w:rFonts w:cstheme="minorHAnsi"/>
                <w:sz w:val="20"/>
                <w:szCs w:val="20"/>
              </w:rPr>
              <w:t>/202</w:t>
            </w:r>
            <w:r w:rsidR="00C54F71">
              <w:rPr>
                <w:rFonts w:cstheme="minorHAnsi"/>
                <w:sz w:val="20"/>
                <w:szCs w:val="20"/>
              </w:rPr>
              <w:t>5</w:t>
            </w:r>
          </w:p>
        </w:tc>
      </w:tr>
      <w:tr w:rsidR="00784187" w14:paraId="1565B9DD" w14:textId="77777777" w:rsidTr="00BD4BD3">
        <w:tc>
          <w:tcPr>
            <w:tcW w:w="2405" w:type="dxa"/>
            <w:shd w:val="clear" w:color="auto" w:fill="B4C6E7" w:themeFill="accent1" w:themeFillTint="66"/>
          </w:tcPr>
          <w:p w14:paraId="1C00229A" w14:textId="77777777" w:rsidR="00784187" w:rsidRPr="0018389F" w:rsidRDefault="00784187" w:rsidP="00BD4BD3">
            <w:pPr>
              <w:tabs>
                <w:tab w:val="left" w:pos="2415"/>
              </w:tabs>
              <w:rPr>
                <w:rFonts w:cstheme="minorHAnsi"/>
                <w:b/>
                <w:bCs/>
                <w:sz w:val="20"/>
                <w:szCs w:val="20"/>
              </w:rPr>
            </w:pPr>
            <w:r w:rsidRPr="0018389F">
              <w:rPr>
                <w:rFonts w:cstheme="minorHAnsi"/>
                <w:b/>
                <w:bCs/>
                <w:sz w:val="20"/>
                <w:szCs w:val="20"/>
              </w:rPr>
              <w:t>Document Reference</w:t>
            </w:r>
          </w:p>
          <w:p w14:paraId="4C3C24B8" w14:textId="77777777" w:rsidR="00784187" w:rsidRPr="0018389F" w:rsidRDefault="00784187" w:rsidP="00BD4BD3">
            <w:pPr>
              <w:tabs>
                <w:tab w:val="left" w:pos="2415"/>
              </w:tabs>
              <w:rPr>
                <w:rFonts w:cstheme="minorHAnsi"/>
                <w:b/>
                <w:bCs/>
                <w:sz w:val="20"/>
                <w:szCs w:val="20"/>
              </w:rPr>
            </w:pPr>
          </w:p>
        </w:tc>
        <w:tc>
          <w:tcPr>
            <w:tcW w:w="5670" w:type="dxa"/>
          </w:tcPr>
          <w:p w14:paraId="3A597837" w14:textId="7F31AF31" w:rsidR="00784187" w:rsidRPr="0018389F" w:rsidRDefault="00EE1794" w:rsidP="00BD4BD3">
            <w:pPr>
              <w:tabs>
                <w:tab w:val="left" w:pos="2415"/>
              </w:tabs>
              <w:rPr>
                <w:rFonts w:cstheme="minorHAnsi"/>
                <w:sz w:val="20"/>
                <w:szCs w:val="20"/>
              </w:rPr>
            </w:pPr>
            <w:r>
              <w:rPr>
                <w:rFonts w:cstheme="minorHAnsi"/>
                <w:sz w:val="20"/>
                <w:szCs w:val="20"/>
              </w:rPr>
              <w:t>Towens Westonzoyland</w:t>
            </w:r>
            <w:r w:rsidR="00784187">
              <w:rPr>
                <w:rFonts w:cstheme="minorHAnsi"/>
                <w:sz w:val="20"/>
                <w:szCs w:val="20"/>
              </w:rPr>
              <w:t xml:space="preserve"> NTS</w:t>
            </w:r>
          </w:p>
        </w:tc>
      </w:tr>
      <w:tr w:rsidR="00784187" w14:paraId="0D89F276" w14:textId="77777777" w:rsidTr="00BD4BD3">
        <w:tc>
          <w:tcPr>
            <w:tcW w:w="2405" w:type="dxa"/>
            <w:shd w:val="clear" w:color="auto" w:fill="B4C6E7" w:themeFill="accent1" w:themeFillTint="66"/>
          </w:tcPr>
          <w:p w14:paraId="7A980BA1" w14:textId="77777777" w:rsidR="00784187" w:rsidRPr="0018389F" w:rsidRDefault="00784187" w:rsidP="00BD4BD3">
            <w:pPr>
              <w:tabs>
                <w:tab w:val="left" w:pos="2415"/>
              </w:tabs>
              <w:rPr>
                <w:rFonts w:cstheme="minorHAnsi"/>
                <w:b/>
                <w:bCs/>
                <w:sz w:val="20"/>
                <w:szCs w:val="20"/>
              </w:rPr>
            </w:pPr>
            <w:r w:rsidRPr="0018389F">
              <w:rPr>
                <w:rFonts w:cstheme="minorHAnsi"/>
                <w:b/>
                <w:bCs/>
                <w:sz w:val="20"/>
                <w:szCs w:val="20"/>
              </w:rPr>
              <w:t>Prepared For</w:t>
            </w:r>
          </w:p>
          <w:p w14:paraId="3603101B" w14:textId="77777777" w:rsidR="00784187" w:rsidRPr="0018389F" w:rsidRDefault="00784187" w:rsidP="00BD4BD3">
            <w:pPr>
              <w:tabs>
                <w:tab w:val="left" w:pos="2415"/>
              </w:tabs>
              <w:rPr>
                <w:rFonts w:cstheme="minorHAnsi"/>
                <w:b/>
                <w:bCs/>
                <w:sz w:val="20"/>
                <w:szCs w:val="20"/>
              </w:rPr>
            </w:pPr>
          </w:p>
        </w:tc>
        <w:tc>
          <w:tcPr>
            <w:tcW w:w="5670" w:type="dxa"/>
          </w:tcPr>
          <w:p w14:paraId="2E8DB5F3" w14:textId="29F7AC57" w:rsidR="00784187" w:rsidRPr="0018389F" w:rsidRDefault="00EE1794" w:rsidP="00BD4BD3">
            <w:pPr>
              <w:tabs>
                <w:tab w:val="left" w:pos="2415"/>
              </w:tabs>
              <w:rPr>
                <w:rFonts w:cstheme="minorHAnsi"/>
                <w:sz w:val="20"/>
                <w:szCs w:val="20"/>
              </w:rPr>
            </w:pPr>
            <w:r>
              <w:rPr>
                <w:rFonts w:cstheme="minorHAnsi"/>
                <w:sz w:val="20"/>
                <w:szCs w:val="20"/>
              </w:rPr>
              <w:t>Towens of Weston</w:t>
            </w:r>
            <w:r w:rsidR="00784187" w:rsidRPr="0018389F">
              <w:rPr>
                <w:rFonts w:cstheme="minorHAnsi"/>
                <w:sz w:val="20"/>
                <w:szCs w:val="20"/>
              </w:rPr>
              <w:t xml:space="preserve"> Ltd</w:t>
            </w:r>
          </w:p>
        </w:tc>
      </w:tr>
      <w:tr w:rsidR="00784187" w14:paraId="466021AF" w14:textId="77777777" w:rsidTr="00BD4BD3">
        <w:tc>
          <w:tcPr>
            <w:tcW w:w="2405" w:type="dxa"/>
            <w:shd w:val="clear" w:color="auto" w:fill="B4C6E7" w:themeFill="accent1" w:themeFillTint="66"/>
          </w:tcPr>
          <w:p w14:paraId="002761C7" w14:textId="77777777" w:rsidR="00784187" w:rsidRPr="0018389F" w:rsidRDefault="00784187" w:rsidP="00BD4BD3">
            <w:pPr>
              <w:tabs>
                <w:tab w:val="left" w:pos="2415"/>
              </w:tabs>
              <w:rPr>
                <w:rFonts w:cstheme="minorHAnsi"/>
                <w:b/>
                <w:bCs/>
                <w:sz w:val="20"/>
                <w:szCs w:val="20"/>
              </w:rPr>
            </w:pPr>
            <w:r w:rsidRPr="0018389F">
              <w:rPr>
                <w:rFonts w:cstheme="minorHAnsi"/>
                <w:b/>
                <w:bCs/>
                <w:sz w:val="20"/>
                <w:szCs w:val="20"/>
              </w:rPr>
              <w:t>Authored By</w:t>
            </w:r>
          </w:p>
          <w:p w14:paraId="01DEB8A8" w14:textId="77777777" w:rsidR="00784187" w:rsidRPr="0018389F" w:rsidRDefault="00784187" w:rsidP="00BD4BD3">
            <w:pPr>
              <w:tabs>
                <w:tab w:val="left" w:pos="2415"/>
              </w:tabs>
              <w:rPr>
                <w:rFonts w:cstheme="minorHAnsi"/>
                <w:b/>
                <w:bCs/>
                <w:sz w:val="20"/>
                <w:szCs w:val="20"/>
              </w:rPr>
            </w:pPr>
          </w:p>
        </w:tc>
        <w:tc>
          <w:tcPr>
            <w:tcW w:w="5670" w:type="dxa"/>
          </w:tcPr>
          <w:p w14:paraId="585EC2B3" w14:textId="62022476" w:rsidR="00784187" w:rsidRPr="0018389F" w:rsidRDefault="00C54F71" w:rsidP="00BD4BD3">
            <w:pPr>
              <w:tabs>
                <w:tab w:val="left" w:pos="2415"/>
              </w:tabs>
              <w:rPr>
                <w:rFonts w:cstheme="minorHAnsi"/>
                <w:sz w:val="20"/>
                <w:szCs w:val="20"/>
              </w:rPr>
            </w:pPr>
            <w:r>
              <w:rPr>
                <w:rFonts w:cstheme="minorHAnsi"/>
                <w:sz w:val="20"/>
                <w:szCs w:val="20"/>
              </w:rPr>
              <w:t>Towens of Weston Ltd</w:t>
            </w:r>
          </w:p>
        </w:tc>
      </w:tr>
      <w:bookmarkEnd w:id="2"/>
    </w:tbl>
    <w:p w14:paraId="02A49CCC" w14:textId="735932A3" w:rsidR="00B341C8" w:rsidRDefault="00B341C8" w:rsidP="002E4FF3">
      <w:pPr>
        <w:rPr>
          <w:color w:val="2F5496" w:themeColor="accent1" w:themeShade="BF"/>
        </w:rPr>
      </w:pPr>
    </w:p>
    <w:p w14:paraId="3FF8953F" w14:textId="3E825972" w:rsidR="001B7710" w:rsidRDefault="001B7710" w:rsidP="002E4FF3">
      <w:pPr>
        <w:rPr>
          <w:color w:val="2F5496" w:themeColor="accent1" w:themeShade="BF"/>
        </w:rPr>
      </w:pPr>
    </w:p>
    <w:p w14:paraId="29AE2FCD" w14:textId="77777777" w:rsidR="001B7710" w:rsidRDefault="001B7710" w:rsidP="002E4FF3">
      <w:pPr>
        <w:rPr>
          <w:color w:val="2F5496" w:themeColor="accent1" w:themeShade="BF"/>
        </w:rPr>
      </w:pPr>
    </w:p>
    <w:p w14:paraId="19B798F2" w14:textId="2FF7796F" w:rsidR="00B341C8" w:rsidRDefault="00B341C8" w:rsidP="00B341C8">
      <w:pPr>
        <w:spacing w:line="360" w:lineRule="auto"/>
        <w:rPr>
          <w:noProof/>
          <w:lang w:eastAsia="en-GB"/>
        </w:rPr>
      </w:pPr>
      <w:bookmarkStart w:id="3" w:name="_Hlk48314544"/>
    </w:p>
    <w:p w14:paraId="05D80C8E" w14:textId="77777777" w:rsidR="00784187" w:rsidRDefault="00784187" w:rsidP="008D4E41">
      <w:pPr>
        <w:pStyle w:val="Heading1"/>
        <w:rPr>
          <w:rFonts w:cstheme="majorHAnsi"/>
          <w:b/>
          <w:sz w:val="24"/>
          <w:szCs w:val="24"/>
        </w:rPr>
      </w:pPr>
    </w:p>
    <w:p w14:paraId="0B2449A3" w14:textId="77777777" w:rsidR="00784187" w:rsidRPr="00784187" w:rsidRDefault="00784187" w:rsidP="00784187"/>
    <w:p w14:paraId="5D698690" w14:textId="77777777" w:rsidR="00784187" w:rsidRDefault="00784187" w:rsidP="008D4E41">
      <w:pPr>
        <w:pStyle w:val="Heading1"/>
        <w:rPr>
          <w:rFonts w:cstheme="majorHAnsi"/>
          <w:b/>
          <w:sz w:val="24"/>
          <w:szCs w:val="24"/>
        </w:rPr>
      </w:pPr>
    </w:p>
    <w:p w14:paraId="6913BB8D" w14:textId="77777777" w:rsidR="00784187" w:rsidRDefault="00784187" w:rsidP="00784187">
      <w:pPr>
        <w:spacing w:after="0" w:line="240" w:lineRule="auto"/>
        <w:rPr>
          <w:rFonts w:eastAsiaTheme="minorEastAsia" w:cstheme="minorHAnsi"/>
          <w:b/>
          <w:bCs/>
          <w:sz w:val="18"/>
          <w:szCs w:val="18"/>
          <w:lang w:val="en-US"/>
        </w:rPr>
      </w:pPr>
      <w:bookmarkStart w:id="4" w:name="_Hlk112151107"/>
    </w:p>
    <w:p w14:paraId="1BD0EFF9" w14:textId="77777777" w:rsidR="00784187" w:rsidRDefault="00784187" w:rsidP="00784187">
      <w:pPr>
        <w:spacing w:after="0" w:line="240" w:lineRule="auto"/>
        <w:rPr>
          <w:rFonts w:eastAsiaTheme="minorEastAsia" w:cstheme="minorHAnsi"/>
          <w:b/>
          <w:bCs/>
          <w:sz w:val="18"/>
          <w:szCs w:val="18"/>
          <w:lang w:val="en-US"/>
        </w:rPr>
      </w:pPr>
    </w:p>
    <w:p w14:paraId="3FA572C9" w14:textId="15D3AD05" w:rsidR="00784187" w:rsidRDefault="00784187" w:rsidP="00784187">
      <w:pPr>
        <w:spacing w:after="0" w:line="240" w:lineRule="auto"/>
        <w:rPr>
          <w:rFonts w:eastAsiaTheme="minorEastAsia" w:cstheme="minorHAnsi"/>
          <w:b/>
          <w:bCs/>
          <w:sz w:val="18"/>
          <w:szCs w:val="18"/>
          <w:lang w:val="en-US"/>
        </w:rPr>
      </w:pPr>
    </w:p>
    <w:p w14:paraId="74A15F05" w14:textId="77777777" w:rsidR="004D6779" w:rsidRDefault="004D6779" w:rsidP="00784187">
      <w:pPr>
        <w:spacing w:after="0" w:line="240" w:lineRule="auto"/>
        <w:rPr>
          <w:rFonts w:eastAsiaTheme="minorEastAsia" w:cstheme="minorHAnsi"/>
          <w:b/>
          <w:bCs/>
          <w:sz w:val="18"/>
          <w:szCs w:val="18"/>
          <w:lang w:val="en-US"/>
        </w:rPr>
      </w:pPr>
    </w:p>
    <w:p w14:paraId="061D89EF" w14:textId="77777777" w:rsidR="00784187" w:rsidRDefault="00784187" w:rsidP="00784187">
      <w:pPr>
        <w:spacing w:after="0" w:line="240" w:lineRule="auto"/>
        <w:rPr>
          <w:rFonts w:eastAsiaTheme="minorEastAsia" w:cstheme="minorHAnsi"/>
          <w:b/>
          <w:bCs/>
          <w:sz w:val="18"/>
          <w:szCs w:val="18"/>
          <w:lang w:val="en-US"/>
        </w:rPr>
      </w:pPr>
    </w:p>
    <w:p w14:paraId="0318AFF7" w14:textId="77777777" w:rsidR="00784187" w:rsidRDefault="00784187" w:rsidP="00784187">
      <w:pPr>
        <w:spacing w:after="0" w:line="240" w:lineRule="auto"/>
        <w:rPr>
          <w:rFonts w:eastAsiaTheme="minorEastAsia" w:cstheme="minorHAnsi"/>
          <w:b/>
          <w:bCs/>
          <w:sz w:val="18"/>
          <w:szCs w:val="18"/>
          <w:lang w:val="en-US"/>
        </w:rPr>
      </w:pPr>
    </w:p>
    <w:p w14:paraId="16A33C44" w14:textId="433E459F" w:rsidR="00784187" w:rsidRDefault="00784187" w:rsidP="00784187">
      <w:pPr>
        <w:spacing w:after="0" w:line="240" w:lineRule="auto"/>
        <w:rPr>
          <w:rFonts w:eastAsiaTheme="minorEastAsia" w:cstheme="minorHAnsi"/>
          <w:b/>
          <w:bCs/>
          <w:sz w:val="18"/>
          <w:szCs w:val="18"/>
          <w:lang w:val="en-US"/>
        </w:rPr>
      </w:pPr>
    </w:p>
    <w:p w14:paraId="4701CCC3" w14:textId="2B19332D" w:rsidR="00EE1794" w:rsidRDefault="00EE1794" w:rsidP="00784187">
      <w:pPr>
        <w:spacing w:after="0" w:line="240" w:lineRule="auto"/>
        <w:rPr>
          <w:rFonts w:eastAsiaTheme="minorEastAsia" w:cstheme="minorHAnsi"/>
          <w:b/>
          <w:bCs/>
          <w:sz w:val="18"/>
          <w:szCs w:val="18"/>
          <w:lang w:val="en-US"/>
        </w:rPr>
      </w:pPr>
    </w:p>
    <w:p w14:paraId="00CD1321" w14:textId="56637AEE" w:rsidR="00EE1794" w:rsidRDefault="00EE1794" w:rsidP="00784187">
      <w:pPr>
        <w:spacing w:after="0" w:line="240" w:lineRule="auto"/>
        <w:rPr>
          <w:rFonts w:eastAsiaTheme="minorEastAsia" w:cstheme="minorHAnsi"/>
          <w:b/>
          <w:bCs/>
          <w:sz w:val="18"/>
          <w:szCs w:val="18"/>
          <w:lang w:val="en-US"/>
        </w:rPr>
      </w:pPr>
    </w:p>
    <w:p w14:paraId="416FE12A" w14:textId="7C1DF25A" w:rsidR="00EE1794" w:rsidRDefault="00EE1794" w:rsidP="00784187">
      <w:pPr>
        <w:spacing w:after="0" w:line="240" w:lineRule="auto"/>
        <w:rPr>
          <w:rFonts w:eastAsiaTheme="minorEastAsia" w:cstheme="minorHAnsi"/>
          <w:b/>
          <w:bCs/>
          <w:sz w:val="18"/>
          <w:szCs w:val="18"/>
          <w:lang w:val="en-US"/>
        </w:rPr>
      </w:pPr>
    </w:p>
    <w:p w14:paraId="23E76EB1" w14:textId="008E49DB" w:rsidR="00EE1794" w:rsidRDefault="00EE1794" w:rsidP="00784187">
      <w:pPr>
        <w:spacing w:after="0" w:line="240" w:lineRule="auto"/>
        <w:rPr>
          <w:rFonts w:eastAsiaTheme="minorEastAsia" w:cstheme="minorHAnsi"/>
          <w:b/>
          <w:bCs/>
          <w:sz w:val="18"/>
          <w:szCs w:val="18"/>
          <w:lang w:val="en-US"/>
        </w:rPr>
      </w:pPr>
    </w:p>
    <w:p w14:paraId="6DB409F5" w14:textId="2EEEED13" w:rsidR="00EE1794" w:rsidRDefault="00EE1794" w:rsidP="00784187">
      <w:pPr>
        <w:spacing w:after="0" w:line="240" w:lineRule="auto"/>
        <w:rPr>
          <w:rFonts w:eastAsiaTheme="minorEastAsia" w:cstheme="minorHAnsi"/>
          <w:b/>
          <w:bCs/>
          <w:sz w:val="18"/>
          <w:szCs w:val="18"/>
          <w:lang w:val="en-US"/>
        </w:rPr>
      </w:pPr>
    </w:p>
    <w:p w14:paraId="1F09B4AA" w14:textId="5264B187" w:rsidR="00EE1794" w:rsidRDefault="00EE1794" w:rsidP="00784187">
      <w:pPr>
        <w:spacing w:after="0" w:line="240" w:lineRule="auto"/>
        <w:rPr>
          <w:rFonts w:eastAsiaTheme="minorEastAsia" w:cstheme="minorHAnsi"/>
          <w:b/>
          <w:bCs/>
          <w:sz w:val="18"/>
          <w:szCs w:val="18"/>
          <w:lang w:val="en-US"/>
        </w:rPr>
      </w:pPr>
    </w:p>
    <w:p w14:paraId="7BFB64BA" w14:textId="765427DB" w:rsidR="00EE1794" w:rsidRDefault="00EE1794" w:rsidP="00784187">
      <w:pPr>
        <w:spacing w:after="0" w:line="240" w:lineRule="auto"/>
        <w:rPr>
          <w:rFonts w:eastAsiaTheme="minorEastAsia" w:cstheme="minorHAnsi"/>
          <w:b/>
          <w:bCs/>
          <w:sz w:val="18"/>
          <w:szCs w:val="18"/>
          <w:lang w:val="en-US"/>
        </w:rPr>
      </w:pPr>
    </w:p>
    <w:p w14:paraId="1589F92B" w14:textId="69289CCB" w:rsidR="00EE1794" w:rsidRDefault="00EE1794" w:rsidP="00784187">
      <w:pPr>
        <w:spacing w:after="0" w:line="240" w:lineRule="auto"/>
        <w:rPr>
          <w:rFonts w:eastAsiaTheme="minorEastAsia" w:cstheme="minorHAnsi"/>
          <w:b/>
          <w:bCs/>
          <w:sz w:val="18"/>
          <w:szCs w:val="18"/>
          <w:lang w:val="en-US"/>
        </w:rPr>
      </w:pPr>
    </w:p>
    <w:p w14:paraId="5613FE19" w14:textId="5807E391" w:rsidR="00EE1794" w:rsidRDefault="00EE1794" w:rsidP="00784187">
      <w:pPr>
        <w:spacing w:after="0" w:line="240" w:lineRule="auto"/>
        <w:rPr>
          <w:rFonts w:eastAsiaTheme="minorEastAsia" w:cstheme="minorHAnsi"/>
          <w:b/>
          <w:bCs/>
          <w:sz w:val="18"/>
          <w:szCs w:val="18"/>
          <w:lang w:val="en-US"/>
        </w:rPr>
      </w:pPr>
    </w:p>
    <w:p w14:paraId="41B20D63" w14:textId="66B87564" w:rsidR="00EE1794" w:rsidRDefault="00EE1794" w:rsidP="00784187">
      <w:pPr>
        <w:spacing w:after="0" w:line="240" w:lineRule="auto"/>
        <w:rPr>
          <w:rFonts w:eastAsiaTheme="minorEastAsia" w:cstheme="minorHAnsi"/>
          <w:b/>
          <w:bCs/>
          <w:sz w:val="18"/>
          <w:szCs w:val="18"/>
          <w:lang w:val="en-US"/>
        </w:rPr>
      </w:pPr>
    </w:p>
    <w:p w14:paraId="4D7C62C8" w14:textId="37E66A40" w:rsidR="00EE1794" w:rsidRDefault="00EE1794" w:rsidP="00784187">
      <w:pPr>
        <w:spacing w:after="0" w:line="240" w:lineRule="auto"/>
        <w:rPr>
          <w:rFonts w:eastAsiaTheme="minorEastAsia" w:cstheme="minorHAnsi"/>
          <w:b/>
          <w:bCs/>
          <w:sz w:val="18"/>
          <w:szCs w:val="18"/>
          <w:lang w:val="en-US"/>
        </w:rPr>
      </w:pPr>
    </w:p>
    <w:p w14:paraId="1D86D9B1" w14:textId="595A16DE" w:rsidR="00EE1794" w:rsidRDefault="00EE1794" w:rsidP="00784187">
      <w:pPr>
        <w:spacing w:after="0" w:line="240" w:lineRule="auto"/>
        <w:rPr>
          <w:rFonts w:eastAsiaTheme="minorEastAsia" w:cstheme="minorHAnsi"/>
          <w:b/>
          <w:bCs/>
          <w:sz w:val="18"/>
          <w:szCs w:val="18"/>
          <w:lang w:val="en-US"/>
        </w:rPr>
      </w:pPr>
    </w:p>
    <w:p w14:paraId="702C2BFF" w14:textId="69A0BE4F" w:rsidR="00EE1794" w:rsidRDefault="00EE1794" w:rsidP="00784187">
      <w:pPr>
        <w:spacing w:after="0" w:line="240" w:lineRule="auto"/>
        <w:rPr>
          <w:rFonts w:eastAsiaTheme="minorEastAsia" w:cstheme="minorHAnsi"/>
          <w:b/>
          <w:bCs/>
          <w:sz w:val="18"/>
          <w:szCs w:val="18"/>
          <w:lang w:val="en-US"/>
        </w:rPr>
      </w:pPr>
    </w:p>
    <w:p w14:paraId="6DC6079E" w14:textId="611F3048" w:rsidR="00EE1794" w:rsidRDefault="00EE1794" w:rsidP="00784187">
      <w:pPr>
        <w:spacing w:after="0" w:line="240" w:lineRule="auto"/>
        <w:rPr>
          <w:rFonts w:eastAsiaTheme="minorEastAsia" w:cstheme="minorHAnsi"/>
          <w:b/>
          <w:bCs/>
          <w:sz w:val="18"/>
          <w:szCs w:val="18"/>
          <w:lang w:val="en-US"/>
        </w:rPr>
      </w:pPr>
    </w:p>
    <w:p w14:paraId="048C2BFA" w14:textId="107FC5ED" w:rsidR="00EE1794" w:rsidRDefault="00EE1794" w:rsidP="00784187">
      <w:pPr>
        <w:spacing w:after="0" w:line="240" w:lineRule="auto"/>
        <w:rPr>
          <w:rFonts w:eastAsiaTheme="minorEastAsia" w:cstheme="minorHAnsi"/>
          <w:b/>
          <w:bCs/>
          <w:sz w:val="18"/>
          <w:szCs w:val="18"/>
          <w:lang w:val="en-US"/>
        </w:rPr>
      </w:pPr>
    </w:p>
    <w:p w14:paraId="10D8E01B" w14:textId="6B1A1877" w:rsidR="00EE1794" w:rsidRDefault="00EE1794" w:rsidP="00784187">
      <w:pPr>
        <w:spacing w:after="0" w:line="240" w:lineRule="auto"/>
        <w:rPr>
          <w:rFonts w:eastAsiaTheme="minorEastAsia" w:cstheme="minorHAnsi"/>
          <w:b/>
          <w:bCs/>
          <w:sz w:val="18"/>
          <w:szCs w:val="18"/>
          <w:lang w:val="en-US"/>
        </w:rPr>
      </w:pPr>
    </w:p>
    <w:bookmarkEnd w:id="4"/>
    <w:p w14:paraId="3D1983F8" w14:textId="6F9A0486" w:rsidR="008D4E41" w:rsidRPr="00784187" w:rsidRDefault="00A84BD4" w:rsidP="00784187">
      <w:pPr>
        <w:spacing w:after="0" w:line="240" w:lineRule="auto"/>
        <w:rPr>
          <w:rFonts w:eastAsiaTheme="minorEastAsia" w:cstheme="minorHAnsi"/>
          <w:sz w:val="18"/>
          <w:szCs w:val="18"/>
          <w:lang w:val="en-US"/>
        </w:rPr>
      </w:pPr>
      <w:r w:rsidRPr="00784187">
        <w:br w:type="page"/>
      </w:r>
      <w:bookmarkEnd w:id="3"/>
      <w:r w:rsidR="00E300D2" w:rsidRPr="008278FC">
        <w:rPr>
          <w:rStyle w:val="Heading1Char"/>
        </w:rPr>
        <w:lastRenderedPageBreak/>
        <w:t>1. In</w:t>
      </w:r>
      <w:r w:rsidR="00C1768B" w:rsidRPr="008278FC">
        <w:rPr>
          <w:rStyle w:val="Heading1Char"/>
        </w:rPr>
        <w:t>troduction</w:t>
      </w:r>
      <w:r w:rsidR="003C2E9A">
        <w:rPr>
          <w:rStyle w:val="Heading1Char"/>
        </w:rPr>
        <w:t xml:space="preserve"> &amp; History</w:t>
      </w:r>
    </w:p>
    <w:p w14:paraId="2E582F74" w14:textId="271BA2BB" w:rsidR="008D4E41" w:rsidRPr="00EF5DAE" w:rsidRDefault="008D4E41" w:rsidP="00EF5DAE">
      <w:pPr>
        <w:jc w:val="both"/>
      </w:pPr>
      <w:r>
        <w:t xml:space="preserve">This document forms the application for a </w:t>
      </w:r>
      <w:r w:rsidR="00EE1794">
        <w:t>permit variation f</w:t>
      </w:r>
      <w:r w:rsidR="00571D0E">
        <w:t>or</w:t>
      </w:r>
      <w:r w:rsidR="00EE1794">
        <w:t xml:space="preserve"> a </w:t>
      </w:r>
      <w:r w:rsidR="005468E3">
        <w:t>physical treatment facility</w:t>
      </w:r>
      <w:r w:rsidR="00EE1794">
        <w:t xml:space="preserve"> </w:t>
      </w:r>
      <w:r w:rsidR="00571D0E">
        <w:t>with</w:t>
      </w:r>
      <w:r w:rsidR="00EE1794">
        <w:t xml:space="preserve"> a bespoke</w:t>
      </w:r>
      <w:r w:rsidR="00304FCD">
        <w:t xml:space="preserve"> environmental</w:t>
      </w:r>
      <w:r>
        <w:t xml:space="preserve"> permit for</w:t>
      </w:r>
      <w:r w:rsidR="00606181">
        <w:t xml:space="preserve"> a</w:t>
      </w:r>
      <w:r>
        <w:t xml:space="preserve"> </w:t>
      </w:r>
      <w:r w:rsidR="0083326F">
        <w:t xml:space="preserve">waste treatment site </w:t>
      </w:r>
      <w:r>
        <w:t>under the Environmental Permitting Regulations 201</w:t>
      </w:r>
      <w:r w:rsidR="00304FCD">
        <w:t>6</w:t>
      </w:r>
      <w:r>
        <w:t xml:space="preserve">. The applicant and operator of the waste facility is </w:t>
      </w:r>
      <w:r w:rsidR="00EE1794">
        <w:t>Towens of Weston</w:t>
      </w:r>
      <w:r>
        <w:t xml:space="preserve"> </w:t>
      </w:r>
      <w:proofErr w:type="gramStart"/>
      <w:r>
        <w:t>Ltd</w:t>
      </w:r>
      <w:proofErr w:type="gramEnd"/>
      <w:r w:rsidR="00EF5DAE">
        <w:t xml:space="preserve"> and the</w:t>
      </w:r>
      <w:r w:rsidR="00C54F71">
        <w:t xml:space="preserve"> </w:t>
      </w:r>
      <w:r w:rsidR="00EF5DAE">
        <w:t xml:space="preserve">site </w:t>
      </w:r>
      <w:proofErr w:type="gramStart"/>
      <w:r w:rsidR="00EF5DAE">
        <w:t xml:space="preserve">is located </w:t>
      </w:r>
      <w:r w:rsidR="0083399A">
        <w:t>in</w:t>
      </w:r>
      <w:proofErr w:type="gramEnd"/>
      <w:r w:rsidR="0083399A">
        <w:t xml:space="preserve"> </w:t>
      </w:r>
      <w:r w:rsidR="00EE1794">
        <w:t xml:space="preserve">Westonzoyland </w:t>
      </w:r>
      <w:r w:rsidR="00C54F71">
        <w:t>at the</w:t>
      </w:r>
      <w:r w:rsidR="00EE1794">
        <w:t xml:space="preserve"> Former Airfield, Land off A372, Westonzoyland, TA7 0JS</w:t>
      </w:r>
      <w:r w:rsidR="00EF5DAE">
        <w:t>.</w:t>
      </w:r>
      <w:r w:rsidR="00304FCD">
        <w:t xml:space="preserve"> </w:t>
      </w:r>
    </w:p>
    <w:p w14:paraId="082132E3" w14:textId="7D52E62A" w:rsidR="008D4E41" w:rsidRDefault="008D4E41" w:rsidP="00EF5DAE">
      <w:pPr>
        <w:jc w:val="both"/>
      </w:pPr>
      <w:r>
        <w:t xml:space="preserve">This </w:t>
      </w:r>
      <w:r w:rsidR="00EF5DAE">
        <w:t>n</w:t>
      </w:r>
      <w:r>
        <w:t>on-</w:t>
      </w:r>
      <w:r w:rsidR="00EF5DAE">
        <w:t>t</w:t>
      </w:r>
      <w:r>
        <w:t xml:space="preserve">echnical </w:t>
      </w:r>
      <w:r w:rsidR="00EF5DAE">
        <w:t>s</w:t>
      </w:r>
      <w:r>
        <w:t xml:space="preserve">ummary </w:t>
      </w:r>
      <w:r w:rsidR="00EF5DAE">
        <w:t xml:space="preserve">outlines the details of the </w:t>
      </w:r>
      <w:r w:rsidR="00EE1794">
        <w:t xml:space="preserve">variation </w:t>
      </w:r>
      <w:r w:rsidR="00EF5DAE">
        <w:t xml:space="preserve">application and the proposed activities to be carried out by </w:t>
      </w:r>
      <w:r w:rsidR="00EE1794">
        <w:t>Towens of Weston</w:t>
      </w:r>
      <w:r w:rsidR="00EF5DAE">
        <w:t xml:space="preserve"> Ltd on site. </w:t>
      </w:r>
    </w:p>
    <w:p w14:paraId="54251372" w14:textId="1ED2EC95" w:rsidR="00EF5DAE" w:rsidRDefault="00EF5DAE" w:rsidP="00EF5DAE">
      <w:pPr>
        <w:jc w:val="both"/>
      </w:pPr>
      <w:r>
        <w:t>In addition to this non-technical summary, the following documents have been produced and reviewed to support this bespoke</w:t>
      </w:r>
      <w:r w:rsidR="00304FCD">
        <w:t xml:space="preserve"> </w:t>
      </w:r>
      <w:r>
        <w:t>permit application:</w:t>
      </w:r>
    </w:p>
    <w:p w14:paraId="3376CC0F" w14:textId="1A19F3A0" w:rsidR="00EF5DAE" w:rsidRDefault="00EF5DAE" w:rsidP="00EF5DAE">
      <w:pPr>
        <w:pStyle w:val="ListParagraph"/>
        <w:numPr>
          <w:ilvl w:val="0"/>
          <w:numId w:val="29"/>
        </w:numPr>
        <w:jc w:val="both"/>
      </w:pPr>
      <w:r>
        <w:t xml:space="preserve">The relevant Environment Agency application </w:t>
      </w:r>
      <w:r w:rsidRPr="00D76DA0">
        <w:t xml:space="preserve">forms (Parts A, </w:t>
      </w:r>
      <w:r w:rsidR="00F463B3" w:rsidRPr="00D76DA0">
        <w:t>C</w:t>
      </w:r>
      <w:r w:rsidRPr="00D76DA0">
        <w:t xml:space="preserve">2, </w:t>
      </w:r>
      <w:r w:rsidR="00F463B3" w:rsidRPr="00D76DA0">
        <w:t>C</w:t>
      </w:r>
      <w:r w:rsidRPr="00D76DA0">
        <w:t>4 and F1)</w:t>
      </w:r>
    </w:p>
    <w:p w14:paraId="53146CB6" w14:textId="4E22E1A8" w:rsidR="00EF5DAE" w:rsidRDefault="00EF5DAE" w:rsidP="00EF5DAE">
      <w:pPr>
        <w:pStyle w:val="ListParagraph"/>
        <w:numPr>
          <w:ilvl w:val="0"/>
          <w:numId w:val="29"/>
        </w:numPr>
        <w:jc w:val="both"/>
      </w:pPr>
      <w:r>
        <w:t xml:space="preserve">Supporting drawings (Site Layout </w:t>
      </w:r>
      <w:r w:rsidR="00EE1794">
        <w:t xml:space="preserve">and Drainage </w:t>
      </w:r>
      <w:r>
        <w:t>Plan</w:t>
      </w:r>
      <w:r w:rsidR="008278FC">
        <w:t xml:space="preserve">, </w:t>
      </w:r>
      <w:r>
        <w:t>Site Location Plan)</w:t>
      </w:r>
    </w:p>
    <w:p w14:paraId="3E27B01A" w14:textId="6D715E57" w:rsidR="00EF5DAE" w:rsidRDefault="00EF5DAE" w:rsidP="00EF5DAE">
      <w:pPr>
        <w:pStyle w:val="ListParagraph"/>
        <w:numPr>
          <w:ilvl w:val="0"/>
          <w:numId w:val="29"/>
        </w:numPr>
        <w:jc w:val="both"/>
      </w:pPr>
      <w:r>
        <w:t>Environmental Risk Assessment</w:t>
      </w:r>
    </w:p>
    <w:p w14:paraId="1403D5E5" w14:textId="009FBDC3" w:rsidR="00EF5DAE" w:rsidRDefault="00EF5DAE" w:rsidP="00EF5DAE">
      <w:pPr>
        <w:pStyle w:val="ListParagraph"/>
        <w:numPr>
          <w:ilvl w:val="0"/>
          <w:numId w:val="29"/>
        </w:numPr>
        <w:jc w:val="both"/>
      </w:pPr>
      <w:r>
        <w:t>Dust Management Plan</w:t>
      </w:r>
    </w:p>
    <w:p w14:paraId="7CA9D559" w14:textId="2261FC49" w:rsidR="008D4E41" w:rsidRDefault="00EF5DAE" w:rsidP="008D4E41">
      <w:pPr>
        <w:pStyle w:val="ListParagraph"/>
        <w:numPr>
          <w:ilvl w:val="0"/>
          <w:numId w:val="29"/>
        </w:numPr>
        <w:jc w:val="both"/>
      </w:pPr>
      <w:r>
        <w:t xml:space="preserve">Environmental Management </w:t>
      </w:r>
      <w:r w:rsidR="00304FCD">
        <w:t>System</w:t>
      </w:r>
    </w:p>
    <w:p w14:paraId="47C611D5" w14:textId="2FE27409" w:rsidR="003C2E9A" w:rsidRDefault="003C2E9A" w:rsidP="008D4E41">
      <w:pPr>
        <w:pStyle w:val="ListParagraph"/>
        <w:numPr>
          <w:ilvl w:val="0"/>
          <w:numId w:val="29"/>
        </w:numPr>
        <w:jc w:val="both"/>
      </w:pPr>
      <w:r>
        <w:t>WAMITAB certificates</w:t>
      </w:r>
    </w:p>
    <w:p w14:paraId="5D037873" w14:textId="7B44C750" w:rsidR="003C2E9A" w:rsidRDefault="003C2E9A" w:rsidP="008D4E41">
      <w:pPr>
        <w:pStyle w:val="ListParagraph"/>
        <w:numPr>
          <w:ilvl w:val="0"/>
          <w:numId w:val="29"/>
        </w:numPr>
        <w:jc w:val="both"/>
      </w:pPr>
      <w:r>
        <w:t>Towens of Weston Director List 2025</w:t>
      </w:r>
    </w:p>
    <w:p w14:paraId="1C50FBAC" w14:textId="6A71F603" w:rsidR="003C2E9A" w:rsidRDefault="003C2E9A" w:rsidP="003C2E9A">
      <w:pPr>
        <w:pStyle w:val="ListParagraph"/>
        <w:numPr>
          <w:ilvl w:val="0"/>
          <w:numId w:val="29"/>
        </w:numPr>
        <w:jc w:val="both"/>
      </w:pPr>
      <w:r>
        <w:t>Updated FRA &amp; Drainage Strategy</w:t>
      </w:r>
    </w:p>
    <w:p w14:paraId="55D513F0" w14:textId="75977EAF" w:rsidR="003C2E9A" w:rsidRDefault="003C2E9A" w:rsidP="003C2E9A">
      <w:pPr>
        <w:jc w:val="both"/>
      </w:pPr>
      <w:r>
        <w:t>The site has recently been through a variation</w:t>
      </w:r>
      <w:r w:rsidR="003478EA">
        <w:t xml:space="preserve"> (granted 03/06/25)</w:t>
      </w:r>
      <w:r>
        <w:t xml:space="preserve"> to increase the tonnage allowance of the site, </w:t>
      </w:r>
      <w:r w:rsidR="003478EA">
        <w:t xml:space="preserve">the </w:t>
      </w:r>
      <w:r>
        <w:t>application</w:t>
      </w:r>
      <w:r w:rsidR="003478EA">
        <w:t xml:space="preserve"> having been</w:t>
      </w:r>
      <w:r>
        <w:t xml:space="preserve"> dealt with by Richard Melbourne. </w:t>
      </w:r>
      <w:r w:rsidR="00686D1B">
        <w:t xml:space="preserve">Documents which remain unchanged from this recent variation have not been included for review. </w:t>
      </w:r>
    </w:p>
    <w:p w14:paraId="77DFF155" w14:textId="5D372E90" w:rsidR="003C5B53" w:rsidRDefault="00E300D2" w:rsidP="008D4E41">
      <w:pPr>
        <w:pStyle w:val="Heading1"/>
        <w:spacing w:before="156"/>
      </w:pPr>
      <w:r>
        <w:t>2.</w:t>
      </w:r>
      <w:r w:rsidR="003C2E9A">
        <w:t xml:space="preserve"> </w:t>
      </w:r>
      <w:r w:rsidR="003C5B53">
        <w:t>Application</w:t>
      </w:r>
    </w:p>
    <w:p w14:paraId="4C6D1F81" w14:textId="49C5FD8D" w:rsidR="00E300D2" w:rsidRDefault="00E300D2" w:rsidP="003C5B53">
      <w:pPr>
        <w:pStyle w:val="Heading2"/>
      </w:pPr>
      <w:r>
        <w:t xml:space="preserve">2.1 Permit </w:t>
      </w:r>
      <w:r w:rsidR="005468E3">
        <w:t xml:space="preserve">Variation </w:t>
      </w:r>
      <w:r>
        <w:t>Application</w:t>
      </w:r>
    </w:p>
    <w:p w14:paraId="3322E617" w14:textId="3BC1027F" w:rsidR="00571D0E" w:rsidRDefault="00EE1794" w:rsidP="00E300D2">
      <w:r>
        <w:t>Towens of Weston</w:t>
      </w:r>
      <w:r w:rsidR="00E300D2">
        <w:t xml:space="preserve"> Ltd seek to apply for a</w:t>
      </w:r>
      <w:r>
        <w:t xml:space="preserve"> variation to their current Environmental Permit (permit number: EPR/HB3004KS)</w:t>
      </w:r>
      <w:r w:rsidR="005468E3">
        <w:t xml:space="preserve"> which was issued in July 2020</w:t>
      </w:r>
      <w:r w:rsidR="005468E3" w:rsidRPr="005468E3">
        <w:t xml:space="preserve"> </w:t>
      </w:r>
      <w:r w:rsidR="005468E3" w:rsidRPr="00F56ED6">
        <w:t>under the Environmental Permitting Regulations 201</w:t>
      </w:r>
      <w:r w:rsidR="005468E3">
        <w:t>6.</w:t>
      </w:r>
      <w:r w:rsidR="00E300D2">
        <w:t xml:space="preserve"> </w:t>
      </w:r>
      <w:r w:rsidR="005468E3">
        <w:t>The current permit</w:t>
      </w:r>
      <w:r w:rsidR="00837088">
        <w:t xml:space="preserve"> is a Bespoke permit for a</w:t>
      </w:r>
      <w:r w:rsidR="005468E3">
        <w:t xml:space="preserve"> site type A16: physical treatment site, the new proposed activities on site require a variation </w:t>
      </w:r>
      <w:r w:rsidR="00571D0E">
        <w:t>to:</w:t>
      </w:r>
    </w:p>
    <w:p w14:paraId="25124EC9" w14:textId="6AB97697" w:rsidR="00A312E0" w:rsidRDefault="00A312E0" w:rsidP="00571D0E">
      <w:pPr>
        <w:pStyle w:val="ListParagraph"/>
        <w:numPr>
          <w:ilvl w:val="0"/>
          <w:numId w:val="35"/>
        </w:numPr>
      </w:pPr>
      <w:r>
        <w:t xml:space="preserve">Amend the </w:t>
      </w:r>
      <w:r w:rsidR="003B1553">
        <w:t>activities to include 1.16.14 – Physical &amp; Chemical Treatment</w:t>
      </w:r>
      <w:r w:rsidR="00D01FC0">
        <w:t xml:space="preserve"> to incorporate our Aggretec Wash Plant.</w:t>
      </w:r>
    </w:p>
    <w:p w14:paraId="1D7D4A4C" w14:textId="61A2351B" w:rsidR="00B1544E" w:rsidRDefault="00B1544E" w:rsidP="00571D0E">
      <w:pPr>
        <w:pStyle w:val="ListParagraph"/>
        <w:numPr>
          <w:ilvl w:val="0"/>
          <w:numId w:val="35"/>
        </w:numPr>
      </w:pPr>
      <w:r>
        <w:t>Amend AR1 to cover both Transfer &amp; Treatment</w:t>
      </w:r>
    </w:p>
    <w:p w14:paraId="1BE825E3" w14:textId="689BAD51" w:rsidR="000D0EC7" w:rsidRDefault="000D0EC7" w:rsidP="00571D0E">
      <w:pPr>
        <w:pStyle w:val="ListParagraph"/>
        <w:numPr>
          <w:ilvl w:val="0"/>
          <w:numId w:val="35"/>
        </w:numPr>
      </w:pPr>
      <w:r>
        <w:t>Amend the Schedule 7 to reflect the correct Site Location Plan</w:t>
      </w:r>
    </w:p>
    <w:p w14:paraId="726767C1" w14:textId="5FC6D565" w:rsidR="003C5B53" w:rsidRDefault="00E300D2" w:rsidP="003C5B53">
      <w:pPr>
        <w:pStyle w:val="Heading2"/>
      </w:pPr>
      <w:r>
        <w:t>2.2</w:t>
      </w:r>
      <w:r w:rsidR="007B0210">
        <w:t xml:space="preserve"> </w:t>
      </w:r>
      <w:r w:rsidR="003C5B53">
        <w:t>Permitted Activities</w:t>
      </w:r>
    </w:p>
    <w:p w14:paraId="2653B2DD" w14:textId="026AF1B7" w:rsidR="00A312E0" w:rsidRDefault="00447592" w:rsidP="003C5B53">
      <w:r>
        <w:t xml:space="preserve">The </w:t>
      </w:r>
      <w:r w:rsidR="003B1553">
        <w:t xml:space="preserve">original </w:t>
      </w:r>
      <w:r>
        <w:t>activities</w:t>
      </w:r>
      <w:r w:rsidR="00571D0E">
        <w:t xml:space="preserve"> conducted on site fall under</w:t>
      </w:r>
      <w:r>
        <w:t xml:space="preserve"> 1.16.1</w:t>
      </w:r>
      <w:r w:rsidR="008278FC">
        <w:t>2</w:t>
      </w:r>
      <w:r>
        <w:t xml:space="preserve"> </w:t>
      </w:r>
      <w:r w:rsidR="007B0210">
        <w:t>– p</w:t>
      </w:r>
      <w:r>
        <w:t>hysic</w:t>
      </w:r>
      <w:r w:rsidR="00571D0E">
        <w:t>al</w:t>
      </w:r>
      <w:r>
        <w:t xml:space="preserve"> treatment</w:t>
      </w:r>
      <w:r w:rsidR="00571D0E">
        <w:t xml:space="preserve"> of non-hazardous waste</w:t>
      </w:r>
      <w:r w:rsidR="006440B9">
        <w:t xml:space="preserve">. </w:t>
      </w:r>
      <w:r w:rsidR="003C5B53">
        <w:t xml:space="preserve">The site will be used </w:t>
      </w:r>
      <w:r w:rsidR="006440B9">
        <w:t xml:space="preserve">predominantly </w:t>
      </w:r>
      <w:r w:rsidR="003C5B53">
        <w:t xml:space="preserve">for </w:t>
      </w:r>
      <w:r w:rsidR="00A312E0">
        <w:t xml:space="preserve">non-hazardous </w:t>
      </w:r>
      <w:r w:rsidR="006440B9">
        <w:t>soils</w:t>
      </w:r>
      <w:r w:rsidR="00DD0736">
        <w:t xml:space="preserve"> </w:t>
      </w:r>
      <w:r w:rsidR="00CE4354">
        <w:t>treatment</w:t>
      </w:r>
      <w:r w:rsidR="006440B9">
        <w:t>,</w:t>
      </w:r>
      <w:r w:rsidR="00CE4354">
        <w:t xml:space="preserve"> recovery</w:t>
      </w:r>
      <w:r w:rsidR="006440B9">
        <w:t xml:space="preserve"> and recycling</w:t>
      </w:r>
      <w:r w:rsidR="003C5B53">
        <w:t>. Activities will include the storage, treatment and rec</w:t>
      </w:r>
      <w:r w:rsidR="00DD0736">
        <w:t>overy</w:t>
      </w:r>
      <w:r w:rsidR="003C5B53">
        <w:t xml:space="preserve"> of </w:t>
      </w:r>
      <w:r w:rsidR="006440B9">
        <w:t>non-hazardous soils to produce products which can be re-used in highways</w:t>
      </w:r>
      <w:r w:rsidR="002528B6">
        <w:t>,</w:t>
      </w:r>
      <w:r w:rsidR="006440B9">
        <w:t xml:space="preserve"> utilities</w:t>
      </w:r>
      <w:r w:rsidR="002528B6">
        <w:t xml:space="preserve"> and general construction</w:t>
      </w:r>
      <w:r w:rsidR="003B1553">
        <w:t xml:space="preserve"> under our WRAP QP</w:t>
      </w:r>
      <w:r w:rsidR="003C5B53">
        <w:t>.</w:t>
      </w:r>
      <w:r w:rsidR="0051188E">
        <w:t xml:space="preserve"> </w:t>
      </w:r>
    </w:p>
    <w:p w14:paraId="0F5507D3" w14:textId="002C7212" w:rsidR="008945C4" w:rsidRDefault="00A312E0" w:rsidP="003C5B53">
      <w:r>
        <w:t xml:space="preserve">This variation seeks to extend the activities to include washing as the site </w:t>
      </w:r>
      <w:r w:rsidR="00C54F71">
        <w:t>operates</w:t>
      </w:r>
      <w:r>
        <w:t xml:space="preserve"> a</w:t>
      </w:r>
      <w:r w:rsidR="00FA7F6D">
        <w:t xml:space="preserve">n Aggretec screening and </w:t>
      </w:r>
      <w:r>
        <w:t>wash</w:t>
      </w:r>
      <w:r w:rsidR="00FA7F6D">
        <w:t>ing</w:t>
      </w:r>
      <w:r>
        <w:t xml:space="preserve"> plant. </w:t>
      </w:r>
      <w:r w:rsidR="003478EA">
        <w:t xml:space="preserve">The Aggretec Screening and Washing plant has been in situ since 2022 and was operating during our most recent Noise Assessment. To this end we have not considered it </w:t>
      </w:r>
      <w:r w:rsidR="003478EA">
        <w:lastRenderedPageBreak/>
        <w:t xml:space="preserve">necessary to have a further noise assessment produced, not least because the EA have stopped us operating the equipment until a variation has been granted.  </w:t>
      </w:r>
      <w:r w:rsidR="008278FC">
        <w:t>The treatment</w:t>
      </w:r>
      <w:r>
        <w:t xml:space="preserve"> activities</w:t>
      </w:r>
      <w:r w:rsidR="008278FC">
        <w:t xml:space="preserve"> will</w:t>
      </w:r>
      <w:r>
        <w:t xml:space="preserve"> also</w:t>
      </w:r>
      <w:r w:rsidR="008278FC">
        <w:t xml:space="preserve"> involve </w:t>
      </w:r>
      <w:r w:rsidR="006440B9">
        <w:t>crushing, screening, sorting and separating</w:t>
      </w:r>
      <w:r>
        <w:t xml:space="preserve"> which are covered under the existing permit</w:t>
      </w:r>
      <w:r w:rsidR="003478EA">
        <w:t xml:space="preserve"> and the most recent noise assessment</w:t>
      </w:r>
      <w:r w:rsidR="008278FC">
        <w:t xml:space="preserve">. </w:t>
      </w:r>
      <w:r w:rsidR="003B1553">
        <w:t xml:space="preserve">Pre-app advice EPR/HB3004KS/001P has informed us we need activity 1.16.14 added to our permit to incorporate washing. </w:t>
      </w:r>
    </w:p>
    <w:p w14:paraId="0FE57C21" w14:textId="54866FCE" w:rsidR="00B1544E" w:rsidRDefault="00B1544E" w:rsidP="003C5B53">
      <w:r>
        <w:t xml:space="preserve">The Aggretec Wash Facility is only required to process materials that are physically suitable, if a material has been tipped and is deemed unsuitable for processing it will be required to be transferred off site in the condition it arrived, without any processing having taken place. </w:t>
      </w:r>
    </w:p>
    <w:p w14:paraId="0C743755" w14:textId="1B6AD5BB" w:rsidR="00A9549A" w:rsidRDefault="00CE4354" w:rsidP="003C5B53">
      <w:r>
        <w:t>The facility has been designed and will be operated to ensure compliance with all relevant requirements of the Environment Agency and the Environmental Permitting Regulations 201</w:t>
      </w:r>
      <w:r w:rsidR="00304FCD">
        <w:t>6</w:t>
      </w:r>
      <w:r>
        <w:t>.</w:t>
      </w:r>
    </w:p>
    <w:p w14:paraId="355E34F8" w14:textId="457E93BC" w:rsidR="003C5B53" w:rsidRDefault="003C5B53" w:rsidP="003C5B53">
      <w:r>
        <w:t>The proposed activities covered by the Environmental Permitting (England and Wales) Regulations 2016 are provided in Table 1 below</w:t>
      </w:r>
      <w:r w:rsidR="00897A01">
        <w:t xml:space="preserve"> (additions from the existing permit are highlighted in red)</w:t>
      </w:r>
      <w:r>
        <w:t>.</w:t>
      </w:r>
      <w:r w:rsidR="0074441D">
        <w:t xml:space="preserve"> </w:t>
      </w:r>
    </w:p>
    <w:p w14:paraId="6FF42A1C" w14:textId="04A8947E" w:rsidR="00C8730C" w:rsidRDefault="00C8730C" w:rsidP="00C53249">
      <w:pPr>
        <w:jc w:val="center"/>
      </w:pPr>
      <w:r>
        <w:rPr>
          <w:b/>
          <w:bCs/>
          <w:color w:val="2F5496" w:themeColor="accent1" w:themeShade="BF"/>
        </w:rPr>
        <w:t>Table</w:t>
      </w:r>
      <w:r w:rsidRPr="00510FD1">
        <w:rPr>
          <w:b/>
          <w:bCs/>
          <w:color w:val="2F5496" w:themeColor="accent1" w:themeShade="BF"/>
        </w:rPr>
        <w:t xml:space="preserve"> </w:t>
      </w:r>
      <w:r>
        <w:rPr>
          <w:b/>
          <w:bCs/>
          <w:color w:val="2F5496" w:themeColor="accent1" w:themeShade="BF"/>
        </w:rPr>
        <w:t>1</w:t>
      </w:r>
      <w:r w:rsidRPr="00510FD1">
        <w:rPr>
          <w:color w:val="2F5496" w:themeColor="accent1" w:themeShade="BF"/>
        </w:rPr>
        <w:t xml:space="preserve"> – </w:t>
      </w:r>
      <w:r>
        <w:rPr>
          <w:color w:val="2F5496" w:themeColor="accent1" w:themeShade="BF"/>
        </w:rPr>
        <w:t>Proposed list of waste activities on site at Westonzoyland Depot</w:t>
      </w:r>
      <w:bookmarkStart w:id="5" w:name="_Hlk120798449"/>
    </w:p>
    <w:tbl>
      <w:tblPr>
        <w:tblStyle w:val="TableGrid"/>
        <w:tblW w:w="0" w:type="auto"/>
        <w:tblLook w:val="04A0" w:firstRow="1" w:lastRow="0" w:firstColumn="1" w:lastColumn="0" w:noHBand="0" w:noVBand="1"/>
      </w:tblPr>
      <w:tblGrid>
        <w:gridCol w:w="2508"/>
        <w:gridCol w:w="3435"/>
        <w:gridCol w:w="3073"/>
      </w:tblGrid>
      <w:tr w:rsidR="00B1544E" w14:paraId="4C0A7DFC" w14:textId="77777777" w:rsidTr="004C3F98">
        <w:tc>
          <w:tcPr>
            <w:tcW w:w="5943" w:type="dxa"/>
            <w:gridSpan w:val="2"/>
            <w:shd w:val="clear" w:color="auto" w:fill="8EAADB" w:themeFill="accent1" w:themeFillTint="99"/>
          </w:tcPr>
          <w:bookmarkEnd w:id="5"/>
          <w:p w14:paraId="73478E33" w14:textId="2F61CC15" w:rsidR="00B1544E" w:rsidRPr="00A312E0" w:rsidRDefault="00B1544E" w:rsidP="003C5B53">
            <w:pPr>
              <w:rPr>
                <w:b/>
                <w:bCs/>
              </w:rPr>
            </w:pPr>
            <w:r w:rsidRPr="00A312E0">
              <w:rPr>
                <w:b/>
                <w:bCs/>
              </w:rPr>
              <w:t>Description of activities for waste operations</w:t>
            </w:r>
          </w:p>
        </w:tc>
        <w:tc>
          <w:tcPr>
            <w:tcW w:w="3073" w:type="dxa"/>
            <w:shd w:val="clear" w:color="auto" w:fill="8EAADB" w:themeFill="accent1" w:themeFillTint="99"/>
          </w:tcPr>
          <w:p w14:paraId="1B27418D" w14:textId="496342B6" w:rsidR="00B1544E" w:rsidRPr="00A312E0" w:rsidRDefault="00B1544E" w:rsidP="003C5B53">
            <w:pPr>
              <w:rPr>
                <w:b/>
                <w:bCs/>
              </w:rPr>
            </w:pPr>
            <w:r w:rsidRPr="00A312E0">
              <w:rPr>
                <w:b/>
                <w:bCs/>
              </w:rPr>
              <w:t>Limits of activities</w:t>
            </w:r>
          </w:p>
        </w:tc>
      </w:tr>
      <w:tr w:rsidR="00B1544E" w14:paraId="32A1AD5A" w14:textId="77777777" w:rsidTr="00B1544E">
        <w:tc>
          <w:tcPr>
            <w:tcW w:w="2508" w:type="dxa"/>
          </w:tcPr>
          <w:p w14:paraId="46AB9918" w14:textId="42F72B46" w:rsidR="00B1544E" w:rsidRDefault="00B1544E" w:rsidP="00897A01">
            <w:r>
              <w:t xml:space="preserve">AR1: Treatment and </w:t>
            </w:r>
            <w:r w:rsidRPr="00B1544E">
              <w:rPr>
                <w:color w:val="EE0000"/>
              </w:rPr>
              <w:t>Transfer</w:t>
            </w:r>
            <w:r>
              <w:t xml:space="preserve"> of waste to produce soil, soil substitutes and aggregate.</w:t>
            </w:r>
          </w:p>
        </w:tc>
        <w:tc>
          <w:tcPr>
            <w:tcW w:w="3435" w:type="dxa"/>
          </w:tcPr>
          <w:p w14:paraId="57943B20" w14:textId="66F7ACC3" w:rsidR="00B1544E" w:rsidRDefault="00B1544E" w:rsidP="00897A01">
            <w:r>
              <w:t>R3: Recycling/reclamation of organic substances which are not used as solvents (including composting and other biological transformation processes)</w:t>
            </w:r>
          </w:p>
          <w:p w14:paraId="4AD69E49" w14:textId="77777777" w:rsidR="00B1544E" w:rsidRDefault="00B1544E" w:rsidP="003C5B53"/>
          <w:p w14:paraId="6B9200D6" w14:textId="6CAD2E50" w:rsidR="00B1544E" w:rsidRDefault="00B1544E" w:rsidP="003C5B53">
            <w:r>
              <w:t>R5: Recycling/reclamation of other inorganic materials</w:t>
            </w:r>
          </w:p>
          <w:p w14:paraId="6673F3CD" w14:textId="77777777" w:rsidR="00B1544E" w:rsidRDefault="00B1544E" w:rsidP="003C5B53"/>
          <w:p w14:paraId="5CAAFA87" w14:textId="77777777" w:rsidR="00B1544E" w:rsidRDefault="00B1544E" w:rsidP="003C5B53">
            <w:r>
              <w:t>R13: Storage of waste pending any of the operations numbered R1 to R12 (excluding temporary storage, pending collection, on the site where the waste is produced)</w:t>
            </w:r>
          </w:p>
          <w:p w14:paraId="49901C7D" w14:textId="72FFDC15" w:rsidR="00B1544E" w:rsidRDefault="00B1544E" w:rsidP="003C5B53"/>
        </w:tc>
        <w:tc>
          <w:tcPr>
            <w:tcW w:w="3073" w:type="dxa"/>
          </w:tcPr>
          <w:p w14:paraId="0544EEC0" w14:textId="04C9808C" w:rsidR="00B1544E" w:rsidRDefault="00B1544E" w:rsidP="003C5B53">
            <w:r>
              <w:t xml:space="preserve">Treatment of waste in </w:t>
            </w:r>
            <w:r w:rsidR="00EB1EF9">
              <w:t>“</w:t>
            </w:r>
            <w:r>
              <w:t>Table 2</w:t>
            </w:r>
            <w:r w:rsidR="00EB1EF9">
              <w:t xml:space="preserve">” </w:t>
            </w:r>
            <w:r>
              <w:t xml:space="preserve">shall be limited to </w:t>
            </w:r>
            <w:r w:rsidRPr="00A312E0">
              <w:rPr>
                <w:color w:val="FF0000"/>
              </w:rPr>
              <w:t>washing,</w:t>
            </w:r>
            <w:r>
              <w:t xml:space="preserve"> sorting, separating, screening, chipping, shredding and crushing processes for recovery.</w:t>
            </w:r>
          </w:p>
          <w:p w14:paraId="37E90D27" w14:textId="77777777" w:rsidR="00B1544E" w:rsidRDefault="00B1544E" w:rsidP="003C5B53"/>
          <w:p w14:paraId="117B8FC1" w14:textId="77777777" w:rsidR="00B1544E" w:rsidRDefault="00B1544E" w:rsidP="003C5B53">
            <w:r>
              <w:t>Subject to any other requirements of this permit wastes shall be stored for no longer than 3 years prior to recovery.</w:t>
            </w:r>
          </w:p>
          <w:p w14:paraId="499DC619" w14:textId="77777777" w:rsidR="00B1544E" w:rsidRDefault="00B1544E" w:rsidP="003C5B53"/>
          <w:p w14:paraId="38A1CF7C" w14:textId="48B5873C" w:rsidR="00B1544E" w:rsidRDefault="00B1544E" w:rsidP="003C5B53">
            <w:r>
              <w:t>The capacity of the site for non-hazardous waste subject to an R3 activity (biological treatment only) shall not exceed 75 tonnes per day.</w:t>
            </w:r>
          </w:p>
        </w:tc>
      </w:tr>
    </w:tbl>
    <w:p w14:paraId="755A35B9" w14:textId="77777777" w:rsidR="00A9549A" w:rsidRPr="00E300D2" w:rsidRDefault="00A9549A" w:rsidP="00E300D2">
      <w:pPr>
        <w:rPr>
          <w:rFonts w:cstheme="minorHAnsi"/>
        </w:rPr>
      </w:pPr>
      <w:bookmarkStart w:id="6" w:name="_Hlk120798651"/>
    </w:p>
    <w:bookmarkEnd w:id="6"/>
    <w:p w14:paraId="3432E905" w14:textId="09EADDA9" w:rsidR="001335D4" w:rsidRDefault="00E300D2" w:rsidP="003C5B53">
      <w:pPr>
        <w:pStyle w:val="Heading2"/>
      </w:pPr>
      <w:r>
        <w:t>2.</w:t>
      </w:r>
      <w:r w:rsidR="00FA7F6D">
        <w:t>3</w:t>
      </w:r>
      <w:r>
        <w:t xml:space="preserve"> </w:t>
      </w:r>
      <w:r w:rsidR="0049643B">
        <w:t>Operating Techniques</w:t>
      </w:r>
    </w:p>
    <w:p w14:paraId="03CF5ACD" w14:textId="58173947" w:rsidR="00F46495" w:rsidRPr="00686EC5" w:rsidRDefault="001335D4" w:rsidP="00686EC5">
      <w:r w:rsidRPr="001335D4">
        <w:rPr>
          <w:rStyle w:val="Heading3Char"/>
        </w:rPr>
        <w:t>2.</w:t>
      </w:r>
      <w:r w:rsidR="00FA7F6D">
        <w:rPr>
          <w:rStyle w:val="Heading3Char"/>
        </w:rPr>
        <w:t>3</w:t>
      </w:r>
      <w:r w:rsidRPr="001335D4">
        <w:rPr>
          <w:rStyle w:val="Heading3Char"/>
        </w:rPr>
        <w:t>.1</w:t>
      </w:r>
      <w:r>
        <w:t xml:space="preserve"> </w:t>
      </w:r>
      <w:r w:rsidR="0049643B">
        <w:t xml:space="preserve">All permitted wastes listed in Table 2 and activities will be stored and treated on an impermeable surface with sealed drainage. </w:t>
      </w:r>
    </w:p>
    <w:p w14:paraId="6570EFF3" w14:textId="3092373E" w:rsidR="001335D4" w:rsidRDefault="001335D4" w:rsidP="001335D4">
      <w:pPr>
        <w:jc w:val="center"/>
      </w:pPr>
      <w:r>
        <w:rPr>
          <w:b/>
          <w:color w:val="4472C4" w:themeColor="accent1"/>
        </w:rPr>
        <w:t xml:space="preserve">Table </w:t>
      </w:r>
      <w:r w:rsidR="00FA7F6D">
        <w:rPr>
          <w:b/>
          <w:color w:val="4472C4" w:themeColor="accent1"/>
        </w:rPr>
        <w:t>2</w:t>
      </w:r>
      <w:r>
        <w:rPr>
          <w:b/>
          <w:color w:val="4472C4" w:themeColor="accent1"/>
        </w:rPr>
        <w:t xml:space="preserve"> </w:t>
      </w:r>
      <w:r>
        <w:rPr>
          <w:bCs/>
          <w:color w:val="4472C4" w:themeColor="accent1"/>
        </w:rPr>
        <w:t>– Operating Techniques</w:t>
      </w:r>
    </w:p>
    <w:tbl>
      <w:tblPr>
        <w:tblW w:w="8926" w:type="dxa"/>
        <w:tblLook w:val="04A0" w:firstRow="1" w:lastRow="0" w:firstColumn="1" w:lastColumn="0" w:noHBand="0" w:noVBand="1"/>
      </w:tblPr>
      <w:tblGrid>
        <w:gridCol w:w="8926"/>
      </w:tblGrid>
      <w:tr w:rsidR="001335D4" w:rsidRPr="009E4DDC" w14:paraId="277D79E9" w14:textId="77777777" w:rsidTr="001335D4">
        <w:trPr>
          <w:trHeight w:val="650"/>
        </w:trPr>
        <w:tc>
          <w:tcPr>
            <w:tcW w:w="892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8B233E4" w14:textId="77777777" w:rsidR="001335D4" w:rsidRPr="00FA2CF6" w:rsidRDefault="001335D4" w:rsidP="00402678">
            <w:pPr>
              <w:spacing w:line="240" w:lineRule="auto"/>
              <w:rPr>
                <w:b/>
                <w:color w:val="000000"/>
              </w:rPr>
            </w:pPr>
            <w:r>
              <w:rPr>
                <w:b/>
                <w:color w:val="000000"/>
              </w:rPr>
              <w:t>Operating Techniques</w:t>
            </w:r>
          </w:p>
        </w:tc>
      </w:tr>
      <w:tr w:rsidR="001335D4" w:rsidRPr="009E4DDC" w14:paraId="7BE96D0C" w14:textId="77777777" w:rsidTr="001335D4">
        <w:trPr>
          <w:trHeight w:val="340"/>
        </w:trPr>
        <w:tc>
          <w:tcPr>
            <w:tcW w:w="8926" w:type="dxa"/>
            <w:tcBorders>
              <w:top w:val="single" w:sz="4" w:space="0" w:color="auto"/>
              <w:left w:val="single" w:sz="4" w:space="0" w:color="auto"/>
              <w:bottom w:val="single" w:sz="4" w:space="0" w:color="auto"/>
              <w:right w:val="single" w:sz="4" w:space="0" w:color="auto"/>
            </w:tcBorders>
            <w:vAlign w:val="center"/>
          </w:tcPr>
          <w:p w14:paraId="13BAAF72" w14:textId="0CB7BA90" w:rsidR="001335D4" w:rsidRPr="004E06BC" w:rsidRDefault="001335D4" w:rsidP="001335D4">
            <w:pPr>
              <w:pStyle w:val="ListParagraph"/>
              <w:numPr>
                <w:ilvl w:val="0"/>
                <w:numId w:val="30"/>
              </w:numPr>
              <w:spacing w:after="200" w:line="240" w:lineRule="auto"/>
              <w:rPr>
                <w:bCs/>
                <w:color w:val="000000"/>
              </w:rPr>
            </w:pPr>
            <w:r>
              <w:rPr>
                <w:bCs/>
                <w:color w:val="000000"/>
              </w:rPr>
              <w:t xml:space="preserve">The Operator will follow the </w:t>
            </w:r>
            <w:r w:rsidR="0049643B">
              <w:rPr>
                <w:bCs/>
                <w:color w:val="000000"/>
              </w:rPr>
              <w:t>Environmental Management System, Dust Management Plan and Noise Management</w:t>
            </w:r>
            <w:r>
              <w:rPr>
                <w:bCs/>
                <w:color w:val="000000"/>
              </w:rPr>
              <w:t xml:space="preserve"> Plan</w:t>
            </w:r>
            <w:r w:rsidR="0049643B">
              <w:rPr>
                <w:bCs/>
                <w:color w:val="000000"/>
              </w:rPr>
              <w:t>s</w:t>
            </w:r>
            <w:r>
              <w:rPr>
                <w:bCs/>
                <w:color w:val="000000"/>
              </w:rPr>
              <w:t xml:space="preserve"> approved by the Environment Agency.</w:t>
            </w:r>
          </w:p>
        </w:tc>
      </w:tr>
      <w:tr w:rsidR="007E74AA" w:rsidRPr="009E4DDC" w14:paraId="1C036AB9" w14:textId="77777777" w:rsidTr="001335D4">
        <w:trPr>
          <w:trHeight w:val="340"/>
        </w:trPr>
        <w:tc>
          <w:tcPr>
            <w:tcW w:w="8926" w:type="dxa"/>
            <w:tcBorders>
              <w:top w:val="single" w:sz="4" w:space="0" w:color="auto"/>
              <w:left w:val="single" w:sz="4" w:space="0" w:color="auto"/>
              <w:bottom w:val="single" w:sz="4" w:space="0" w:color="auto"/>
              <w:right w:val="single" w:sz="4" w:space="0" w:color="auto"/>
            </w:tcBorders>
            <w:vAlign w:val="center"/>
          </w:tcPr>
          <w:p w14:paraId="2E415916" w14:textId="56BDBEA4" w:rsidR="007E74AA" w:rsidRDefault="007E74AA" w:rsidP="001335D4">
            <w:pPr>
              <w:pStyle w:val="ListParagraph"/>
              <w:numPr>
                <w:ilvl w:val="0"/>
                <w:numId w:val="30"/>
              </w:numPr>
              <w:spacing w:after="200" w:line="240" w:lineRule="auto"/>
              <w:rPr>
                <w:bCs/>
                <w:color w:val="000000"/>
              </w:rPr>
            </w:pPr>
            <w:r>
              <w:rPr>
                <w:bCs/>
                <w:color w:val="000000"/>
              </w:rPr>
              <w:lastRenderedPageBreak/>
              <w:t xml:space="preserve">The site will be operated in accordance with all the relevant parts of the EA guidance – </w:t>
            </w:r>
            <w:r w:rsidR="00897A01">
              <w:rPr>
                <w:bCs/>
                <w:color w:val="000000"/>
              </w:rPr>
              <w:t>Non-hazardous and inert</w:t>
            </w:r>
            <w:r>
              <w:rPr>
                <w:bCs/>
                <w:color w:val="000000"/>
              </w:rPr>
              <w:t xml:space="preserve"> waste: appropriate measures for permitted facilities.</w:t>
            </w:r>
          </w:p>
        </w:tc>
      </w:tr>
      <w:tr w:rsidR="001335D4" w:rsidRPr="009E4DDC" w14:paraId="139FA0F0" w14:textId="77777777" w:rsidTr="001335D4">
        <w:trPr>
          <w:trHeight w:val="340"/>
        </w:trPr>
        <w:tc>
          <w:tcPr>
            <w:tcW w:w="8926" w:type="dxa"/>
            <w:tcBorders>
              <w:top w:val="single" w:sz="4" w:space="0" w:color="auto"/>
              <w:left w:val="single" w:sz="4" w:space="0" w:color="auto"/>
              <w:bottom w:val="single" w:sz="4" w:space="0" w:color="auto"/>
              <w:right w:val="single" w:sz="4" w:space="0" w:color="auto"/>
            </w:tcBorders>
            <w:vAlign w:val="center"/>
          </w:tcPr>
          <w:p w14:paraId="45094DE2" w14:textId="77777777" w:rsidR="001335D4" w:rsidRPr="004E06BC" w:rsidRDefault="001335D4" w:rsidP="001335D4">
            <w:pPr>
              <w:pStyle w:val="ListParagraph"/>
              <w:numPr>
                <w:ilvl w:val="0"/>
                <w:numId w:val="30"/>
              </w:numPr>
              <w:spacing w:after="200" w:line="240" w:lineRule="auto"/>
              <w:rPr>
                <w:bCs/>
                <w:color w:val="000000"/>
              </w:rPr>
            </w:pPr>
            <w:r w:rsidRPr="004E06BC">
              <w:rPr>
                <w:bCs/>
                <w:color w:val="000000"/>
              </w:rPr>
              <w:t>Treatment</w:t>
            </w:r>
            <w:r>
              <w:rPr>
                <w:bCs/>
                <w:color w:val="000000"/>
              </w:rPr>
              <w:t>:</w:t>
            </w:r>
          </w:p>
          <w:p w14:paraId="5878213A" w14:textId="2CDC5ECC" w:rsidR="001335D4" w:rsidRPr="0049643B" w:rsidRDefault="001335D4" w:rsidP="0049643B">
            <w:pPr>
              <w:pStyle w:val="ListParagraph"/>
              <w:numPr>
                <w:ilvl w:val="0"/>
                <w:numId w:val="31"/>
              </w:numPr>
              <w:spacing w:after="200" w:line="240" w:lineRule="auto"/>
              <w:rPr>
                <w:bCs/>
                <w:color w:val="000000"/>
              </w:rPr>
            </w:pPr>
            <w:r>
              <w:rPr>
                <w:bCs/>
                <w:color w:val="000000"/>
              </w:rPr>
              <w:t>A</w:t>
            </w:r>
            <w:r w:rsidRPr="004E06BC">
              <w:rPr>
                <w:bCs/>
                <w:color w:val="000000"/>
              </w:rPr>
              <w:t>ll treatment shall be carried out on an impermeable surface with sealed drainage system with provision of spillage collection facilities</w:t>
            </w:r>
            <w:r w:rsidR="00FA7F6D">
              <w:rPr>
                <w:bCs/>
                <w:color w:val="000000"/>
              </w:rPr>
              <w:t>.</w:t>
            </w:r>
          </w:p>
        </w:tc>
      </w:tr>
      <w:tr w:rsidR="001335D4" w:rsidRPr="009E4DDC" w14:paraId="6E983870" w14:textId="77777777" w:rsidTr="001335D4">
        <w:trPr>
          <w:trHeight w:val="340"/>
        </w:trPr>
        <w:tc>
          <w:tcPr>
            <w:tcW w:w="8926" w:type="dxa"/>
            <w:tcBorders>
              <w:top w:val="single" w:sz="4" w:space="0" w:color="auto"/>
              <w:left w:val="single" w:sz="4" w:space="0" w:color="auto"/>
              <w:bottom w:val="single" w:sz="4" w:space="0" w:color="auto"/>
              <w:right w:val="single" w:sz="4" w:space="0" w:color="auto"/>
            </w:tcBorders>
            <w:vAlign w:val="center"/>
          </w:tcPr>
          <w:p w14:paraId="6DEDDC1E" w14:textId="77777777" w:rsidR="001335D4" w:rsidRPr="004E06BC" w:rsidRDefault="001335D4" w:rsidP="001335D4">
            <w:pPr>
              <w:pStyle w:val="ListParagraph"/>
              <w:numPr>
                <w:ilvl w:val="0"/>
                <w:numId w:val="30"/>
              </w:numPr>
              <w:spacing w:after="200" w:line="240" w:lineRule="auto"/>
              <w:rPr>
                <w:bCs/>
                <w:color w:val="000000"/>
              </w:rPr>
            </w:pPr>
            <w:r w:rsidRPr="004E06BC">
              <w:rPr>
                <w:bCs/>
                <w:color w:val="000000"/>
              </w:rPr>
              <w:t>Storage</w:t>
            </w:r>
            <w:r>
              <w:rPr>
                <w:bCs/>
                <w:color w:val="000000"/>
              </w:rPr>
              <w:t>:</w:t>
            </w:r>
          </w:p>
          <w:p w14:paraId="6E84F3B8" w14:textId="44563486" w:rsidR="00B85337" w:rsidRDefault="00B85337" w:rsidP="00B85337">
            <w:pPr>
              <w:pStyle w:val="ListParagraph"/>
              <w:numPr>
                <w:ilvl w:val="0"/>
                <w:numId w:val="32"/>
              </w:numPr>
              <w:spacing w:after="200" w:line="240" w:lineRule="auto"/>
              <w:rPr>
                <w:bCs/>
                <w:color w:val="000000"/>
              </w:rPr>
            </w:pPr>
            <w:r w:rsidRPr="004E06BC">
              <w:rPr>
                <w:bCs/>
                <w:color w:val="000000"/>
              </w:rPr>
              <w:t xml:space="preserve">All </w:t>
            </w:r>
            <w:r>
              <w:rPr>
                <w:bCs/>
                <w:color w:val="000000"/>
              </w:rPr>
              <w:t>wastes</w:t>
            </w:r>
            <w:r w:rsidRPr="004E06BC">
              <w:rPr>
                <w:bCs/>
                <w:color w:val="000000"/>
              </w:rPr>
              <w:t xml:space="preserve"> shall be stored on an impermeable surface with sealed</w:t>
            </w:r>
            <w:r>
              <w:rPr>
                <w:bCs/>
                <w:color w:val="000000"/>
              </w:rPr>
              <w:t xml:space="preserve"> </w:t>
            </w:r>
            <w:r w:rsidRPr="004E06BC">
              <w:rPr>
                <w:bCs/>
                <w:color w:val="000000"/>
              </w:rPr>
              <w:t xml:space="preserve">drainage system with provision of spillage collection </w:t>
            </w:r>
            <w:r w:rsidR="00FA7F6D">
              <w:rPr>
                <w:bCs/>
                <w:color w:val="000000"/>
              </w:rPr>
              <w:t>facilities.</w:t>
            </w:r>
          </w:p>
          <w:p w14:paraId="7D86C596" w14:textId="77777777" w:rsidR="00B85337" w:rsidRPr="007E74AA" w:rsidRDefault="00B85337" w:rsidP="00B85337">
            <w:pPr>
              <w:pStyle w:val="ListParagraph"/>
              <w:spacing w:after="200" w:line="240" w:lineRule="auto"/>
              <w:ind w:left="1080"/>
              <w:rPr>
                <w:bCs/>
                <w:color w:val="000000"/>
              </w:rPr>
            </w:pPr>
          </w:p>
          <w:p w14:paraId="21B66D9F" w14:textId="78B8772B" w:rsidR="001335D4" w:rsidRDefault="00B85337" w:rsidP="00B85337">
            <w:pPr>
              <w:pStyle w:val="ListParagraph"/>
              <w:numPr>
                <w:ilvl w:val="0"/>
                <w:numId w:val="32"/>
              </w:numPr>
              <w:spacing w:after="200" w:line="240" w:lineRule="auto"/>
              <w:rPr>
                <w:bCs/>
                <w:color w:val="000000"/>
              </w:rPr>
            </w:pPr>
            <w:r w:rsidRPr="003A33F7">
              <w:rPr>
                <w:bCs/>
                <w:color w:val="000000"/>
              </w:rPr>
              <w:t xml:space="preserve">All </w:t>
            </w:r>
            <w:r w:rsidR="00897A01">
              <w:rPr>
                <w:bCs/>
                <w:color w:val="000000"/>
              </w:rPr>
              <w:t>non-conforming</w:t>
            </w:r>
            <w:r w:rsidRPr="003A33F7">
              <w:rPr>
                <w:bCs/>
                <w:color w:val="000000"/>
              </w:rPr>
              <w:t xml:space="preserve"> waste shall be stored in</w:t>
            </w:r>
            <w:r w:rsidR="00FA7F6D">
              <w:rPr>
                <w:bCs/>
                <w:color w:val="000000"/>
              </w:rPr>
              <w:t xml:space="preserve"> a dedicated quarantine area</w:t>
            </w:r>
            <w:r>
              <w:rPr>
                <w:bCs/>
                <w:color w:val="000000"/>
              </w:rPr>
              <w:t xml:space="preserve"> on an impermeable surface</w:t>
            </w:r>
            <w:r w:rsidR="00386F12">
              <w:rPr>
                <w:bCs/>
                <w:color w:val="000000"/>
              </w:rPr>
              <w:t xml:space="preserve"> before removal off site to an appropriately permitted facility.</w:t>
            </w:r>
          </w:p>
        </w:tc>
      </w:tr>
      <w:tr w:rsidR="001335D4" w:rsidRPr="009E4DDC" w14:paraId="2A3D4A8A" w14:textId="77777777" w:rsidTr="001335D4">
        <w:trPr>
          <w:trHeight w:val="340"/>
        </w:trPr>
        <w:tc>
          <w:tcPr>
            <w:tcW w:w="8926" w:type="dxa"/>
            <w:tcBorders>
              <w:top w:val="single" w:sz="4" w:space="0" w:color="auto"/>
              <w:left w:val="single" w:sz="4" w:space="0" w:color="auto"/>
              <w:bottom w:val="single" w:sz="4" w:space="0" w:color="auto"/>
              <w:right w:val="single" w:sz="4" w:space="0" w:color="auto"/>
            </w:tcBorders>
            <w:vAlign w:val="center"/>
          </w:tcPr>
          <w:p w14:paraId="60BA2310" w14:textId="77777777" w:rsidR="001335D4" w:rsidRPr="004E06BC" w:rsidRDefault="001335D4" w:rsidP="001335D4">
            <w:pPr>
              <w:pStyle w:val="ListParagraph"/>
              <w:numPr>
                <w:ilvl w:val="0"/>
                <w:numId w:val="30"/>
              </w:numPr>
              <w:spacing w:after="200" w:line="240" w:lineRule="auto"/>
              <w:rPr>
                <w:bCs/>
                <w:color w:val="000000"/>
              </w:rPr>
            </w:pPr>
            <w:r>
              <w:rPr>
                <w:bCs/>
                <w:color w:val="000000"/>
              </w:rPr>
              <w:t>B</w:t>
            </w:r>
            <w:r w:rsidRPr="004E06BC">
              <w:rPr>
                <w:bCs/>
                <w:color w:val="000000"/>
              </w:rPr>
              <w:t>uildings, covered areas or containers shall meet the following requirements:</w:t>
            </w:r>
          </w:p>
          <w:p w14:paraId="4F1315EF" w14:textId="6A3C95EC" w:rsidR="001335D4" w:rsidRPr="00FA7F6D" w:rsidRDefault="001335D4" w:rsidP="00FA7F6D">
            <w:pPr>
              <w:pStyle w:val="ListParagraph"/>
              <w:numPr>
                <w:ilvl w:val="0"/>
                <w:numId w:val="33"/>
              </w:numPr>
              <w:spacing w:after="200" w:line="240" w:lineRule="auto"/>
              <w:rPr>
                <w:bCs/>
                <w:color w:val="000000"/>
              </w:rPr>
            </w:pPr>
            <w:r>
              <w:rPr>
                <w:bCs/>
                <w:color w:val="000000"/>
              </w:rPr>
              <w:t>B</w:t>
            </w:r>
            <w:r w:rsidRPr="004E06BC">
              <w:rPr>
                <w:bCs/>
                <w:color w:val="000000"/>
              </w:rPr>
              <w:t>uildings, covered areas or containers shall be designed, constructed</w:t>
            </w:r>
            <w:r>
              <w:rPr>
                <w:bCs/>
                <w:color w:val="000000"/>
              </w:rPr>
              <w:t xml:space="preserve"> and maintained to prevent ingress of rain and surface water.</w:t>
            </w:r>
          </w:p>
        </w:tc>
      </w:tr>
    </w:tbl>
    <w:p w14:paraId="00CAF6B5" w14:textId="7CDE85D0" w:rsidR="001335D4" w:rsidRPr="001335D4" w:rsidRDefault="001335D4" w:rsidP="001335D4"/>
    <w:p w14:paraId="1A6AC1F4" w14:textId="0D48139D" w:rsidR="008D4E41" w:rsidRDefault="001A11B6" w:rsidP="008D4E41">
      <w:pPr>
        <w:pStyle w:val="Heading1"/>
        <w:spacing w:before="156"/>
      </w:pPr>
      <w:r>
        <w:t xml:space="preserve">3. </w:t>
      </w:r>
      <w:r w:rsidR="008D4E41">
        <w:t>S</w:t>
      </w:r>
      <w:r w:rsidR="00C1768B">
        <w:t>ite</w:t>
      </w:r>
      <w:r w:rsidR="008D4E41">
        <w:t xml:space="preserve"> L</w:t>
      </w:r>
      <w:r w:rsidR="00C1768B">
        <w:t>ocation</w:t>
      </w:r>
    </w:p>
    <w:p w14:paraId="6E15DF6E" w14:textId="0CE1BA8B" w:rsidR="00686EC5" w:rsidRDefault="00AC4879" w:rsidP="00CA11CA">
      <w:pPr>
        <w:pStyle w:val="BodyText"/>
        <w:spacing w:before="37"/>
      </w:pPr>
      <w:bookmarkStart w:id="7" w:name="_Hlk118978648"/>
      <w:r>
        <w:t>The site is located at</w:t>
      </w:r>
      <w:r w:rsidR="00CA11CA">
        <w:t xml:space="preserve"> the</w:t>
      </w:r>
      <w:r>
        <w:t xml:space="preserve"> </w:t>
      </w:r>
      <w:bookmarkStart w:id="8" w:name="_Hlk118979673"/>
      <w:r w:rsidR="008411CC">
        <w:t>Former Airfield, Land off A372, Westonzoyland, TA7 0JS</w:t>
      </w:r>
      <w:bookmarkEnd w:id="8"/>
      <w:r w:rsidRPr="005C2548">
        <w:t xml:space="preserve"> </w:t>
      </w:r>
      <w:bookmarkEnd w:id="7"/>
      <w:r w:rsidRPr="005C2548">
        <w:t xml:space="preserve">(Figure 1). </w:t>
      </w:r>
      <w:r>
        <w:t xml:space="preserve">The </w:t>
      </w:r>
      <w:r w:rsidR="00DD0736">
        <w:t xml:space="preserve">approximate </w:t>
      </w:r>
      <w:r>
        <w:t xml:space="preserve">national grid reference for the site is </w:t>
      </w:r>
      <w:bookmarkStart w:id="9" w:name="_Hlk118978661"/>
      <w:r w:rsidR="00F3632A" w:rsidRPr="00F3632A">
        <w:t xml:space="preserve">ST </w:t>
      </w:r>
      <w:r w:rsidR="008411CC">
        <w:t>362</w:t>
      </w:r>
      <w:r w:rsidR="002C140E">
        <w:t>01 34022</w:t>
      </w:r>
      <w:bookmarkEnd w:id="9"/>
      <w:r>
        <w:t xml:space="preserve">. The site is predominantly surrounded by industrial </w:t>
      </w:r>
      <w:r w:rsidR="008411CC">
        <w:t>units</w:t>
      </w:r>
      <w:r>
        <w:t xml:space="preserve"> with the nearest residential building sitting</w:t>
      </w:r>
      <w:r w:rsidR="00C90416">
        <w:t xml:space="preserve"> </w:t>
      </w:r>
      <w:r w:rsidR="00C90416">
        <w:sym w:font="Symbol" w:char="F07E"/>
      </w:r>
      <w:r w:rsidR="008411CC">
        <w:t>33</w:t>
      </w:r>
      <w:r w:rsidR="00C90416">
        <w:t>0</w:t>
      </w:r>
      <w:r>
        <w:t xml:space="preserve"> m </w:t>
      </w:r>
      <w:r w:rsidR="008411CC">
        <w:t>north of the centre of the site</w:t>
      </w:r>
      <w:r>
        <w:t>.</w:t>
      </w:r>
      <w:r w:rsidR="00131EC7">
        <w:t xml:space="preserve"> There is also a caravan park located ~70m away.</w:t>
      </w:r>
      <w:r w:rsidR="00826A5C">
        <w:t xml:space="preserve"> The Schedule 7 needs amending with the correct Site Location Plan attached in Figure 1 below.</w:t>
      </w:r>
    </w:p>
    <w:p w14:paraId="0BCF3A6A" w14:textId="04A74B6F" w:rsidR="00CA11CA" w:rsidRPr="00CA11CA" w:rsidRDefault="00CA11CA" w:rsidP="00CA11CA">
      <w:pPr>
        <w:pStyle w:val="BodyText"/>
        <w:spacing w:before="37"/>
      </w:pPr>
    </w:p>
    <w:p w14:paraId="14F366CE" w14:textId="4ABE292F" w:rsidR="00DE75D5" w:rsidRPr="00DE75D5" w:rsidRDefault="00DE75D5" w:rsidP="00DE75D5">
      <w:pPr>
        <w:jc w:val="center"/>
        <w:rPr>
          <w:color w:val="4472C4" w:themeColor="accent1"/>
        </w:rPr>
      </w:pPr>
      <w:r w:rsidRPr="00DE75D5">
        <w:rPr>
          <w:noProof/>
        </w:rPr>
        <w:drawing>
          <wp:anchor distT="0" distB="0" distL="114300" distR="114300" simplePos="0" relativeHeight="251675648" behindDoc="0" locked="0" layoutInCell="1" allowOverlap="1" wp14:anchorId="35FD1566" wp14:editId="474BB5C3">
            <wp:simplePos x="0" y="0"/>
            <wp:positionH relativeFrom="column">
              <wp:posOffset>-76200</wp:posOffset>
            </wp:positionH>
            <wp:positionV relativeFrom="paragraph">
              <wp:posOffset>299720</wp:posOffset>
            </wp:positionV>
            <wp:extent cx="5731510" cy="3919855"/>
            <wp:effectExtent l="0" t="0" r="2540" b="4445"/>
            <wp:wrapNone/>
            <wp:docPr id="1329972703"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72703" name="Picture 1" descr="A map of a cit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3919855"/>
                    </a:xfrm>
                    <a:prstGeom prst="rect">
                      <a:avLst/>
                    </a:prstGeom>
                  </pic:spPr>
                </pic:pic>
              </a:graphicData>
            </a:graphic>
            <wp14:sizeRelH relativeFrom="page">
              <wp14:pctWidth>0</wp14:pctWidth>
            </wp14:sizeRelH>
            <wp14:sizeRelV relativeFrom="page">
              <wp14:pctHeight>0</wp14:pctHeight>
            </wp14:sizeRelV>
          </wp:anchor>
        </w:drawing>
      </w:r>
      <w:r w:rsidR="005C2548" w:rsidRPr="006D40AC">
        <w:rPr>
          <w:b/>
          <w:bCs/>
          <w:color w:val="4472C4" w:themeColor="accent1"/>
        </w:rPr>
        <w:t xml:space="preserve">Figure 1 – </w:t>
      </w:r>
      <w:r w:rsidR="005C2548" w:rsidRPr="006D40AC">
        <w:rPr>
          <w:color w:val="4472C4" w:themeColor="accent1"/>
        </w:rPr>
        <w:t>Site Location P</w:t>
      </w:r>
      <w:r w:rsidR="000D0EC7">
        <w:rPr>
          <w:color w:val="4472C4" w:themeColor="accent1"/>
        </w:rPr>
        <w:t>lan</w:t>
      </w:r>
      <w:r w:rsidR="005C2548" w:rsidRPr="006D40AC">
        <w:rPr>
          <w:color w:val="4472C4" w:themeColor="accent1"/>
        </w:rPr>
        <w:t xml:space="preserve"> for </w:t>
      </w:r>
      <w:r w:rsidR="008411CC" w:rsidRPr="006D40AC">
        <w:rPr>
          <w:color w:val="4472C4" w:themeColor="accent1"/>
        </w:rPr>
        <w:t>Westonzoyland Depot</w:t>
      </w:r>
      <w:r w:rsidR="00877D8F">
        <w:rPr>
          <w:color w:val="4472C4" w:themeColor="accent1"/>
        </w:rPr>
        <w:t xml:space="preserve"> (green outline)</w:t>
      </w:r>
    </w:p>
    <w:p w14:paraId="4B009F0D" w14:textId="064DC9B9" w:rsidR="000D0EC7" w:rsidRDefault="000D0EC7" w:rsidP="00677DF1">
      <w:pPr>
        <w:jc w:val="center"/>
      </w:pPr>
    </w:p>
    <w:p w14:paraId="1A34A9CD" w14:textId="1315198E" w:rsidR="000D0EC7" w:rsidRDefault="000D0EC7" w:rsidP="00677DF1">
      <w:pPr>
        <w:jc w:val="center"/>
      </w:pPr>
    </w:p>
    <w:p w14:paraId="76B1CF0D" w14:textId="100576A6" w:rsidR="000D0EC7" w:rsidRDefault="000D0EC7" w:rsidP="00677DF1">
      <w:pPr>
        <w:jc w:val="center"/>
      </w:pPr>
    </w:p>
    <w:p w14:paraId="0D80634D" w14:textId="77777777" w:rsidR="000D0EC7" w:rsidRDefault="000D0EC7" w:rsidP="00677DF1">
      <w:pPr>
        <w:jc w:val="center"/>
      </w:pPr>
    </w:p>
    <w:p w14:paraId="4ABC9E83" w14:textId="77777777" w:rsidR="000D0EC7" w:rsidRDefault="000D0EC7" w:rsidP="00677DF1">
      <w:pPr>
        <w:jc w:val="center"/>
      </w:pPr>
    </w:p>
    <w:p w14:paraId="17FB755F" w14:textId="77777777" w:rsidR="000D0EC7" w:rsidRDefault="000D0EC7" w:rsidP="00677DF1">
      <w:pPr>
        <w:jc w:val="center"/>
      </w:pPr>
    </w:p>
    <w:p w14:paraId="37B891EB" w14:textId="77777777" w:rsidR="000D0EC7" w:rsidRDefault="000D0EC7" w:rsidP="00677DF1">
      <w:pPr>
        <w:jc w:val="center"/>
      </w:pPr>
    </w:p>
    <w:p w14:paraId="517ABE9B" w14:textId="77777777" w:rsidR="000D0EC7" w:rsidRDefault="000D0EC7" w:rsidP="00677DF1">
      <w:pPr>
        <w:jc w:val="center"/>
      </w:pPr>
    </w:p>
    <w:p w14:paraId="2C8B8CD0" w14:textId="77777777" w:rsidR="000D0EC7" w:rsidRDefault="000D0EC7" w:rsidP="00677DF1">
      <w:pPr>
        <w:jc w:val="center"/>
      </w:pPr>
    </w:p>
    <w:p w14:paraId="75944BCC" w14:textId="77777777" w:rsidR="000D0EC7" w:rsidRDefault="000D0EC7" w:rsidP="00677DF1">
      <w:pPr>
        <w:jc w:val="center"/>
      </w:pPr>
    </w:p>
    <w:p w14:paraId="7325DC51" w14:textId="1C2B1DFC" w:rsidR="005C2548" w:rsidRPr="00C1768B" w:rsidRDefault="005C2548" w:rsidP="00677DF1">
      <w:pPr>
        <w:jc w:val="center"/>
      </w:pPr>
    </w:p>
    <w:p w14:paraId="4C41C870" w14:textId="0E4B2C14" w:rsidR="00C1768B" w:rsidRDefault="001A11B6" w:rsidP="00C1768B">
      <w:pPr>
        <w:pStyle w:val="Heading1"/>
        <w:spacing w:before="156"/>
      </w:pPr>
      <w:r>
        <w:lastRenderedPageBreak/>
        <w:t xml:space="preserve">4. </w:t>
      </w:r>
      <w:r w:rsidR="00C1768B">
        <w:t>Site Management</w:t>
      </w:r>
    </w:p>
    <w:p w14:paraId="6C0BFFA9" w14:textId="47C7963E" w:rsidR="00C1768B" w:rsidRDefault="00C1768B" w:rsidP="00C1768B">
      <w:pPr>
        <w:jc w:val="both"/>
      </w:pPr>
      <w:r w:rsidRPr="002A52FA">
        <w:t xml:space="preserve">A Technically Competent Manager is on site </w:t>
      </w:r>
      <w:r w:rsidR="00DD0736">
        <w:t xml:space="preserve">for </w:t>
      </w:r>
      <w:r w:rsidRPr="002A52FA">
        <w:t xml:space="preserve">at least </w:t>
      </w:r>
      <w:r w:rsidR="00F44F93">
        <w:t>one</w:t>
      </w:r>
      <w:r w:rsidRPr="002A52FA">
        <w:t xml:space="preserve"> full day per week</w:t>
      </w:r>
      <w:r>
        <w:t xml:space="preserve"> and a</w:t>
      </w:r>
      <w:r w:rsidRPr="007F3126">
        <w:t xml:space="preserve"> site supervisor, who will be responsible for daily operations will continue to be</w:t>
      </w:r>
      <w:r>
        <w:t xml:space="preserve"> </w:t>
      </w:r>
      <w:r w:rsidRPr="007F3126">
        <w:t xml:space="preserve">on site </w:t>
      </w:r>
      <w:r>
        <w:t>during working hours</w:t>
      </w:r>
      <w:r w:rsidRPr="007F3126">
        <w:t xml:space="preserve">. </w:t>
      </w:r>
    </w:p>
    <w:p w14:paraId="235BEA89" w14:textId="714E4957" w:rsidR="00C1768B" w:rsidRDefault="00C1768B" w:rsidP="00C1768B">
      <w:pPr>
        <w:jc w:val="both"/>
      </w:pPr>
      <w:r>
        <w:t>The Environmental Risk Assessment submitted as part of this application will be used to identify any risks and opportunities at the site, arising from th</w:t>
      </w:r>
      <w:r w:rsidR="0051188E">
        <w:t>is permit</w:t>
      </w:r>
      <w:r w:rsidR="00DE1D4B">
        <w:t xml:space="preserve"> and operations</w:t>
      </w:r>
      <w:r>
        <w:t xml:space="preserve">. Additional control measures will be implemented to prevent or reduce risks. </w:t>
      </w:r>
    </w:p>
    <w:p w14:paraId="1841523A" w14:textId="020B8000" w:rsidR="00C1768B" w:rsidRDefault="00C1768B" w:rsidP="00C1768B">
      <w:pPr>
        <w:jc w:val="both"/>
      </w:pPr>
      <w:r>
        <w:t xml:space="preserve">Operational procedures </w:t>
      </w:r>
      <w:r w:rsidR="00CA11CA">
        <w:t>are</w:t>
      </w:r>
      <w:r>
        <w:t xml:space="preserve"> </w:t>
      </w:r>
      <w:r w:rsidR="00DE1D4B">
        <w:t>implemented</w:t>
      </w:r>
      <w:r>
        <w:t xml:space="preserve"> t</w:t>
      </w:r>
      <w:r w:rsidR="00DE1D4B">
        <w:t>hat</w:t>
      </w:r>
      <w:r>
        <w:t xml:space="preserve"> </w:t>
      </w:r>
      <w:r w:rsidR="007511FA">
        <w:t>consider</w:t>
      </w:r>
      <w:r w:rsidR="00DE1D4B">
        <w:t xml:space="preserve"> </w:t>
      </w:r>
      <w:r>
        <w:t>the location of waste processing and storage areas.</w:t>
      </w:r>
    </w:p>
    <w:p w14:paraId="1CFC475A" w14:textId="1F06D07F" w:rsidR="00C1768B" w:rsidRDefault="00C1768B" w:rsidP="00C1768B">
      <w:pPr>
        <w:jc w:val="both"/>
      </w:pPr>
      <w:r>
        <w:t>All employees will receive environmental training that incorporates the</w:t>
      </w:r>
      <w:r w:rsidR="00DE1D4B">
        <w:t xml:space="preserve"> </w:t>
      </w:r>
      <w:r>
        <w:t xml:space="preserve">site activities and waste streams accepted onsite. </w:t>
      </w:r>
    </w:p>
    <w:p w14:paraId="75BBD698" w14:textId="792A6AD7" w:rsidR="00DD0736" w:rsidRPr="00DD0736" w:rsidRDefault="00C1768B" w:rsidP="00C1768B">
      <w:pPr>
        <w:jc w:val="both"/>
      </w:pPr>
      <w:r>
        <w:t>As identified in the Environmental Risk Assessment</w:t>
      </w:r>
      <w:r w:rsidR="001A11B6">
        <w:t xml:space="preserve"> </w:t>
      </w:r>
      <w:r>
        <w:t xml:space="preserve">carried out as part of the permit </w:t>
      </w:r>
      <w:r w:rsidR="00DE1D4B">
        <w:t>application</w:t>
      </w:r>
      <w:r>
        <w:t>, specific management plans</w:t>
      </w:r>
      <w:r w:rsidR="00F06DAF">
        <w:t xml:space="preserve"> </w:t>
      </w:r>
      <w:r>
        <w:t xml:space="preserve">have been </w:t>
      </w:r>
      <w:proofErr w:type="gramStart"/>
      <w:r>
        <w:t>created</w:t>
      </w:r>
      <w:proofErr w:type="gramEnd"/>
      <w:r>
        <w:t xml:space="preserve"> and these will be implemented as part of the E</w:t>
      </w:r>
      <w:r w:rsidR="00DE1D4B">
        <w:t xml:space="preserve">nvironmental </w:t>
      </w:r>
      <w:r>
        <w:t>M</w:t>
      </w:r>
      <w:r w:rsidR="00DE1D4B">
        <w:t xml:space="preserve">anagement </w:t>
      </w:r>
      <w:r>
        <w:t>S</w:t>
      </w:r>
      <w:r w:rsidR="00DE1D4B">
        <w:t>ystem (EMS)</w:t>
      </w:r>
      <w:r>
        <w:t>. These management plans account for the waste types</w:t>
      </w:r>
      <w:r w:rsidR="00DE1D4B">
        <w:t>, and quantities of waste to be treated and stored on site</w:t>
      </w:r>
      <w:r>
        <w:t>.</w:t>
      </w:r>
    </w:p>
    <w:p w14:paraId="07C7CB5D" w14:textId="379012C3" w:rsidR="00EF5DAE" w:rsidRDefault="001A11B6" w:rsidP="0076744D">
      <w:pPr>
        <w:pStyle w:val="Heading1"/>
      </w:pPr>
      <w:r>
        <w:t xml:space="preserve">5. </w:t>
      </w:r>
      <w:r w:rsidR="0076744D">
        <w:t>Environmental Setting</w:t>
      </w:r>
    </w:p>
    <w:p w14:paraId="1133FA05" w14:textId="61CAC31C" w:rsidR="0076744D" w:rsidRDefault="001A11B6" w:rsidP="0076744D">
      <w:pPr>
        <w:pStyle w:val="Heading2"/>
      </w:pPr>
      <w:r>
        <w:t xml:space="preserve">5.1 </w:t>
      </w:r>
      <w:r w:rsidR="0076744D">
        <w:t>Potential Receptors</w:t>
      </w:r>
    </w:p>
    <w:p w14:paraId="19971777" w14:textId="596E6317" w:rsidR="002F7CC6" w:rsidRDefault="002F7CC6" w:rsidP="002F7CC6">
      <w:r>
        <w:t>The site is predominantly surrounded by industrial and commercial infrastructure</w:t>
      </w:r>
      <w:r w:rsidR="00F5649A">
        <w:t xml:space="preserve">, including </w:t>
      </w:r>
      <w:r w:rsidR="00933C41">
        <w:t>Chard H J &amp; Sons, Kleen Kutt, Regency Grp, Burnham Coal Supplies and Slabs R Us</w:t>
      </w:r>
      <w:r>
        <w:t>. The nearest residential property i</w:t>
      </w:r>
      <w:r w:rsidR="00DD0736">
        <w:t>s</w:t>
      </w:r>
      <w:r>
        <w:t xml:space="preserve"> located </w:t>
      </w:r>
      <w:r w:rsidR="00933C41">
        <w:t>off the A372</w:t>
      </w:r>
      <w:r w:rsidR="00DD0736">
        <w:t>,</w:t>
      </w:r>
      <w:r w:rsidR="00C90416">
        <w:t xml:space="preserve"> </w:t>
      </w:r>
      <w:r w:rsidR="00B06B99">
        <w:t>330</w:t>
      </w:r>
      <w:r w:rsidR="00C90416">
        <w:t xml:space="preserve"> m to the north of the site. </w:t>
      </w:r>
    </w:p>
    <w:p w14:paraId="64AA65F1" w14:textId="43BAA8C8" w:rsidR="003C5A6A" w:rsidRDefault="003C5A6A" w:rsidP="003C5A6A">
      <w:pPr>
        <w:spacing w:before="240"/>
      </w:pPr>
      <w:r>
        <w:t>There are no hospitals</w:t>
      </w:r>
      <w:r w:rsidR="002921D6">
        <w:t xml:space="preserve">, care homes or schools </w:t>
      </w:r>
      <w:r>
        <w:t>within 1 km of the site</w:t>
      </w:r>
      <w:r w:rsidR="002921D6">
        <w:t>.</w:t>
      </w:r>
    </w:p>
    <w:p w14:paraId="6AE9CE0E" w14:textId="0F62FFFF" w:rsidR="002921D6" w:rsidRDefault="002921D6" w:rsidP="003C5A6A">
      <w:pPr>
        <w:spacing w:before="240"/>
      </w:pPr>
      <w:r>
        <w:t xml:space="preserve">The southwest border of the site is ~63 metres away from a </w:t>
      </w:r>
      <w:proofErr w:type="spellStart"/>
      <w:r>
        <w:t>rh</w:t>
      </w:r>
      <w:r w:rsidR="00AE46DC">
        <w:t>y</w:t>
      </w:r>
      <w:r>
        <w:t>ne</w:t>
      </w:r>
      <w:proofErr w:type="spellEnd"/>
      <w:r>
        <w:t xml:space="preserve"> which forms the border of an SSSI (Site of Special Scientific Interest), designated because of grasses and aquatic invertebrate. Site-specific management plans for dust, noise </w:t>
      </w:r>
      <w:r w:rsidRPr="005F2201">
        <w:t>and environment</w:t>
      </w:r>
      <w:r>
        <w:t xml:space="preserve"> will be adhered to on site to mitigate risks to the SSSI and surrounding ecosystems and ecology. Appropriate assessment for noise, dust and ecology </w:t>
      </w:r>
      <w:proofErr w:type="gramStart"/>
      <w:r>
        <w:t>have</w:t>
      </w:r>
      <w:proofErr w:type="gramEnd"/>
      <w:r>
        <w:t xml:space="preserve"> been done to ensure that effective measures are in place on site.</w:t>
      </w:r>
    </w:p>
    <w:p w14:paraId="33CBA8D1" w14:textId="1F141294" w:rsidR="0001645D" w:rsidRDefault="0001645D" w:rsidP="003C5A6A">
      <w:pPr>
        <w:spacing w:before="240"/>
      </w:pPr>
      <w:r>
        <w:t xml:space="preserve">All receptors within 1 km of the site are located on the </w:t>
      </w:r>
      <w:r w:rsidRPr="00903076">
        <w:t>Sensitive Receptor Plan.</w:t>
      </w:r>
    </w:p>
    <w:p w14:paraId="5B53BE1F" w14:textId="4265BEAE" w:rsidR="005A0D85" w:rsidRDefault="001A11B6" w:rsidP="005A0D85">
      <w:pPr>
        <w:pStyle w:val="Heading2"/>
      </w:pPr>
      <w:r>
        <w:t xml:space="preserve">5.2 </w:t>
      </w:r>
      <w:r w:rsidR="0076744D">
        <w:t>Groundwater</w:t>
      </w:r>
    </w:p>
    <w:p w14:paraId="47C041D6" w14:textId="77777777" w:rsidR="002921D6" w:rsidRDefault="005A0D85" w:rsidP="0076744D">
      <w:r>
        <w:t>The site is not within a source protection zone</w:t>
      </w:r>
      <w:r w:rsidR="002921D6">
        <w:t>.</w:t>
      </w:r>
    </w:p>
    <w:p w14:paraId="4E6730AA" w14:textId="77777777" w:rsidR="00031DA0" w:rsidRDefault="002921D6" w:rsidP="0076744D">
      <w:r>
        <w:t>The southern half (~60% of the site)</w:t>
      </w:r>
      <w:r w:rsidR="005A0D85">
        <w:t xml:space="preserve"> is located in </w:t>
      </w:r>
      <w:r w:rsidR="00031DA0">
        <w:t>F</w:t>
      </w:r>
      <w:r w:rsidR="005A0D85">
        <w:t xml:space="preserve">lood </w:t>
      </w:r>
      <w:r w:rsidR="00031DA0">
        <w:t>Z</w:t>
      </w:r>
      <w:r w:rsidR="005A0D85">
        <w:t xml:space="preserve">one </w:t>
      </w:r>
      <w:r w:rsidR="00031DA0">
        <w:t xml:space="preserve">3 assessed as having a 0.5% (1 in 200) or greater chance of flooding each year. The northern half of the site is classified as being within areas of Flood Zone 2 (~5% of the site) and Flood Zone 1 (~35% of the site), these having up to and less than 0.1% chance of flooding. </w:t>
      </w:r>
      <w:r w:rsidR="005A0D85">
        <w:t xml:space="preserve"> </w:t>
      </w:r>
    </w:p>
    <w:p w14:paraId="1B25C3C1" w14:textId="77777777" w:rsidR="00031DA0" w:rsidRDefault="00031DA0" w:rsidP="0076744D">
      <w:r>
        <w:t xml:space="preserve">A flood containment plan and assessment have been conducted and concludes that the southern half of the site is at risk of flooding up to a depth of 0.35m but this will not cause any detriment to the environment with the contingency plans in place. Towens of Weston are signed up to the EA’s flood warning service and have specific actions to take in the event of a flood alert and/or flood warning. </w:t>
      </w:r>
    </w:p>
    <w:p w14:paraId="648041D9" w14:textId="23D2D3CF" w:rsidR="00031DA0" w:rsidRDefault="005A0D85" w:rsidP="0076744D">
      <w:r>
        <w:lastRenderedPageBreak/>
        <w:t xml:space="preserve">The underlying geology </w:t>
      </w:r>
      <w:r w:rsidR="00031DA0">
        <w:t xml:space="preserve">consists of fluvial deposits of alluvium clay, on a bedrock of mudstone and halite stone. The majority of the site is not over an aquifer but the northern most part of the site is over a minor </w:t>
      </w:r>
      <w:r w:rsidR="00246B9F">
        <w:t>secondary aquifer.</w:t>
      </w:r>
    </w:p>
    <w:p w14:paraId="0A94A047" w14:textId="1AF3F32E" w:rsidR="0076744D" w:rsidRDefault="00031DA0" w:rsidP="0076744D">
      <w:r>
        <w:t xml:space="preserve">The ground is composed of </w:t>
      </w:r>
      <w:proofErr w:type="spellStart"/>
      <w:r>
        <w:t>Soilscape</w:t>
      </w:r>
      <w:proofErr w:type="spellEnd"/>
      <w:r>
        <w:t xml:space="preserve"> 8 – Slightly acid loamy</w:t>
      </w:r>
      <w:r w:rsidR="00AD2592">
        <w:t xml:space="preserve"> texture</w:t>
      </w:r>
      <w:r>
        <w:t xml:space="preserve"> and clayey soils with impeded drainage.</w:t>
      </w:r>
      <w:r w:rsidR="005A0D85">
        <w:t xml:space="preserve"> </w:t>
      </w:r>
    </w:p>
    <w:p w14:paraId="501FBCD4" w14:textId="494AF0A7" w:rsidR="0076744D" w:rsidRDefault="001A11B6" w:rsidP="0076744D">
      <w:pPr>
        <w:pStyle w:val="Heading1"/>
      </w:pPr>
      <w:r>
        <w:t xml:space="preserve">6. </w:t>
      </w:r>
      <w:r w:rsidR="0076744D">
        <w:t>Application Site Condition Report</w:t>
      </w:r>
    </w:p>
    <w:p w14:paraId="2528EC4B" w14:textId="01CAE258" w:rsidR="0036642D" w:rsidRDefault="0036642D" w:rsidP="0036642D">
      <w:pPr>
        <w:jc w:val="both"/>
      </w:pPr>
      <w:r>
        <w:t xml:space="preserve">An Application Site Condition Report has </w:t>
      </w:r>
      <w:r w:rsidR="009233E4">
        <w:t xml:space="preserve">not </w:t>
      </w:r>
      <w:r>
        <w:t>been prepared for the land as part of this new bespoke</w:t>
      </w:r>
      <w:r w:rsidR="00BD0054">
        <w:t xml:space="preserve"> </w:t>
      </w:r>
      <w:r>
        <w:t xml:space="preserve">environmental permit </w:t>
      </w:r>
      <w:r w:rsidR="00F46495">
        <w:t>variation</w:t>
      </w:r>
      <w:r w:rsidR="009233E4">
        <w:t xml:space="preserve"> because the condition of the land has not been affected.</w:t>
      </w:r>
    </w:p>
    <w:p w14:paraId="5291FCF8" w14:textId="3F1FBBCA" w:rsidR="0076744D" w:rsidRDefault="001A11B6" w:rsidP="0076744D">
      <w:pPr>
        <w:pStyle w:val="Heading1"/>
      </w:pPr>
      <w:r>
        <w:t xml:space="preserve">7. </w:t>
      </w:r>
      <w:r w:rsidR="0076744D">
        <w:t>Monitoring</w:t>
      </w:r>
    </w:p>
    <w:p w14:paraId="74DF1EE8" w14:textId="7793C0EC" w:rsidR="0076744D" w:rsidRDefault="001A11B6" w:rsidP="0076744D">
      <w:pPr>
        <w:pStyle w:val="Heading2"/>
      </w:pPr>
      <w:r>
        <w:t xml:space="preserve">7.1 </w:t>
      </w:r>
      <w:r w:rsidR="0076744D">
        <w:t>Air</w:t>
      </w:r>
    </w:p>
    <w:p w14:paraId="32C05CE5" w14:textId="08B187F3" w:rsidR="0036642D" w:rsidRPr="0036642D" w:rsidRDefault="0036642D" w:rsidP="001A11B6">
      <w:pPr>
        <w:jc w:val="both"/>
      </w:pPr>
      <w:r w:rsidRPr="001E5C72">
        <w:t xml:space="preserve">Visual inspections </w:t>
      </w:r>
      <w:r>
        <w:t>will</w:t>
      </w:r>
      <w:r w:rsidRPr="001E5C72">
        <w:t xml:space="preserve"> be carried out daily during operational hours,</w:t>
      </w:r>
      <w:r>
        <w:t xml:space="preserve"> </w:t>
      </w:r>
      <w:r w:rsidRPr="001E5C72">
        <w:t>especially when carrying out activities that are dust producing</w:t>
      </w:r>
      <w:r>
        <w:t xml:space="preserve">. </w:t>
      </w:r>
      <w:r w:rsidRPr="001E5C72">
        <w:t>B</w:t>
      </w:r>
      <w:r>
        <w:t xml:space="preserve">est </w:t>
      </w:r>
      <w:r w:rsidR="00A10883">
        <w:t>practicable means</w:t>
      </w:r>
      <w:r w:rsidRPr="001E5C72">
        <w:t xml:space="preserve"> will be applied to minimise dust emissions and to ensure</w:t>
      </w:r>
      <w:r>
        <w:t xml:space="preserve"> c</w:t>
      </w:r>
      <w:r w:rsidRPr="001E5C72">
        <w:t xml:space="preserve">ompliance with </w:t>
      </w:r>
      <w:r>
        <w:t>the Dust Management Plan</w:t>
      </w:r>
      <w:r w:rsidR="00E300D2">
        <w:t>.</w:t>
      </w:r>
      <w:r w:rsidR="00BD0054">
        <w:t xml:space="preserve"> The site will not be carrying out high dust producing processing activities.</w:t>
      </w:r>
    </w:p>
    <w:p w14:paraId="06A884C4" w14:textId="68751FA6" w:rsidR="0076744D" w:rsidRDefault="001A11B6" w:rsidP="0076744D">
      <w:pPr>
        <w:pStyle w:val="Heading2"/>
      </w:pPr>
      <w:r>
        <w:t xml:space="preserve">7.2 </w:t>
      </w:r>
      <w:r w:rsidR="0076744D">
        <w:t>Groundwater</w:t>
      </w:r>
    </w:p>
    <w:p w14:paraId="08CF0B22" w14:textId="2BE36A39" w:rsidR="0076744D" w:rsidRDefault="0036642D" w:rsidP="0036642D">
      <w:pPr>
        <w:jc w:val="both"/>
      </w:pPr>
      <w:r>
        <w:t>No monitoring of groundwater is proposed as fugitive releases to groundwater will be prevented by conducting all operations, including the unloading of waste, sorting and storage of waste streams in areas sealed with an impermeable concrete surfac</w:t>
      </w:r>
      <w:r w:rsidR="00BD0054">
        <w:t>e</w:t>
      </w:r>
      <w:r>
        <w:t xml:space="preserve"> to prevent a pathway for migration of pollutants to groundwater.</w:t>
      </w:r>
      <w:r w:rsidR="00BD0054">
        <w:t xml:space="preserve"> The site also has a </w:t>
      </w:r>
      <w:r w:rsidR="009233E4">
        <w:t xml:space="preserve">closed loop, fully </w:t>
      </w:r>
      <w:r w:rsidR="003A1064">
        <w:t>contained</w:t>
      </w:r>
      <w:r w:rsidR="00BD0054">
        <w:t xml:space="preserve"> drainage system to prevent </w:t>
      </w:r>
      <w:r w:rsidR="0022013D">
        <w:t xml:space="preserve">polluting </w:t>
      </w:r>
      <w:r w:rsidR="00BD0054">
        <w:t>emissions to groundwater.</w:t>
      </w:r>
    </w:p>
    <w:p w14:paraId="2F4F39B3" w14:textId="0361253C" w:rsidR="001A11B6" w:rsidRDefault="001A11B6" w:rsidP="001A11B6">
      <w:pPr>
        <w:pStyle w:val="Heading2"/>
      </w:pPr>
      <w:r>
        <w:t>7.3 Fire Prevention</w:t>
      </w:r>
    </w:p>
    <w:p w14:paraId="1E3DC59A" w14:textId="5DA164F8" w:rsidR="001A11B6" w:rsidRDefault="00246B9F" w:rsidP="001A11B6">
      <w:r>
        <w:t>No</w:t>
      </w:r>
      <w:r w:rsidR="001A11B6">
        <w:t xml:space="preserve"> combustible wastes will be stored </w:t>
      </w:r>
      <w:r>
        <w:t xml:space="preserve">or accepted </w:t>
      </w:r>
      <w:r w:rsidR="001A11B6">
        <w:t xml:space="preserve">on site, so a detailed Fire Prevention Plan is </w:t>
      </w:r>
      <w:r>
        <w:t>not required</w:t>
      </w:r>
      <w:r w:rsidR="001A11B6">
        <w:t xml:space="preserve">. Measures outlined in the Environmental Risk Assessment </w:t>
      </w:r>
      <w:r>
        <w:t xml:space="preserve">and Environmental Management System </w:t>
      </w:r>
      <w:r w:rsidR="001A11B6">
        <w:t xml:space="preserve">will be applied to mitigate the chance of fire. </w:t>
      </w:r>
    </w:p>
    <w:p w14:paraId="00EF7F2C" w14:textId="6DDACA42" w:rsidR="001A11B6" w:rsidRDefault="001A11B6" w:rsidP="001A11B6">
      <w:pPr>
        <w:pStyle w:val="Heading2"/>
      </w:pPr>
      <w:r>
        <w:t>7.4 Emissions</w:t>
      </w:r>
    </w:p>
    <w:p w14:paraId="2EA6F8D2" w14:textId="5FEAE941" w:rsidR="001A11B6" w:rsidRDefault="001A11B6" w:rsidP="001A11B6">
      <w:pPr>
        <w:jc w:val="both"/>
      </w:pPr>
      <w:r w:rsidRPr="00F46495">
        <w:t xml:space="preserve">There will be </w:t>
      </w:r>
      <w:r w:rsidR="003A1064">
        <w:t xml:space="preserve">no </w:t>
      </w:r>
      <w:r w:rsidRPr="00F46495">
        <w:t>point source emissions to land associated with this bespoke permit</w:t>
      </w:r>
      <w:r w:rsidR="00F46495">
        <w:t xml:space="preserve"> via the sustainable drainage system</w:t>
      </w:r>
      <w:r w:rsidR="003A1064">
        <w:t xml:space="preserve"> due to it being fully contained. T</w:t>
      </w:r>
      <w:r w:rsidR="00FF2EFB">
        <w:t>he water emitted</w:t>
      </w:r>
      <w:r w:rsidR="003A1064">
        <w:t xml:space="preserve"> at any point from the Aggretec plant is fully recycled through the drainage system back into the plant itself. Any water that is not re-used within the plant is subject to evaporation or captured in the </w:t>
      </w:r>
      <w:r w:rsidR="00564522">
        <w:t>holding</w:t>
      </w:r>
      <w:r w:rsidR="003A1064">
        <w:t xml:space="preserve"> tanks which are stored above ground as seen in the Site Plan. If the tanks ever become </w:t>
      </w:r>
      <w:proofErr w:type="gramStart"/>
      <w:r w:rsidR="003A1064">
        <w:t>full</w:t>
      </w:r>
      <w:proofErr w:type="gramEnd"/>
      <w:r w:rsidR="003A1064">
        <w:t xml:space="preserve"> they will be emptied and the contents transported to a suitable facility.</w:t>
      </w:r>
    </w:p>
    <w:p w14:paraId="56A45F1D" w14:textId="48C833E1" w:rsidR="001A11B6" w:rsidRDefault="001A11B6" w:rsidP="001A11B6">
      <w:pPr>
        <w:jc w:val="both"/>
      </w:pPr>
      <w:r>
        <w:t>The potential sources of fugitive emissions to air have been identified and a Dust Management Plan has been prepared to prevent any potential dust emissions from reaching any nearby receptors.</w:t>
      </w:r>
    </w:p>
    <w:p w14:paraId="7AE1B8AB" w14:textId="4EA0A809" w:rsidR="001A11B6" w:rsidRPr="00BD0054" w:rsidRDefault="001A11B6" w:rsidP="001A11B6">
      <w:pPr>
        <w:jc w:val="both"/>
        <w:rPr>
          <w:color w:val="000000" w:themeColor="text1"/>
        </w:rPr>
      </w:pPr>
      <w:r>
        <w:t xml:space="preserve">Fugitive </w:t>
      </w:r>
      <w:r w:rsidRPr="00BD0054">
        <w:rPr>
          <w:color w:val="000000" w:themeColor="text1"/>
        </w:rPr>
        <w:t xml:space="preserve">emissions to groundwater have been considered and all operational areas and quarantine points are surfaced with impermeable concrete. Proposed operational and storage areas </w:t>
      </w:r>
      <w:r w:rsidR="00564522">
        <w:rPr>
          <w:color w:val="000000" w:themeColor="text1"/>
        </w:rPr>
        <w:t xml:space="preserve">are </w:t>
      </w:r>
      <w:r w:rsidRPr="00BD0054">
        <w:rPr>
          <w:color w:val="000000" w:themeColor="text1"/>
        </w:rPr>
        <w:t xml:space="preserve">surfaced with concrete prior to any waste storage taking place. Fuel is stored in a fully bunded tank </w:t>
      </w:r>
      <w:r w:rsidR="00246B9F">
        <w:rPr>
          <w:color w:val="000000" w:themeColor="text1"/>
        </w:rPr>
        <w:t>in a contained storage unit</w:t>
      </w:r>
      <w:r w:rsidRPr="00BD0054">
        <w:rPr>
          <w:color w:val="000000" w:themeColor="text1"/>
        </w:rPr>
        <w:t xml:space="preserve">, away from waste operational areas. </w:t>
      </w:r>
    </w:p>
    <w:p w14:paraId="40766FDB" w14:textId="181B0536" w:rsidR="001A11B6" w:rsidRPr="00096A24" w:rsidRDefault="001A11B6" w:rsidP="001A11B6">
      <w:pPr>
        <w:jc w:val="both"/>
        <w:rPr>
          <w:color w:val="FF0000"/>
        </w:rPr>
      </w:pPr>
      <w:r w:rsidRPr="00663B2E">
        <w:rPr>
          <w:color w:val="000000" w:themeColor="text1"/>
        </w:rPr>
        <w:lastRenderedPageBreak/>
        <w:t xml:space="preserve">All waste is loaded, unloaded, and stored on </w:t>
      </w:r>
      <w:r w:rsidR="00564522">
        <w:rPr>
          <w:color w:val="000000" w:themeColor="text1"/>
        </w:rPr>
        <w:t xml:space="preserve">the </w:t>
      </w:r>
      <w:r w:rsidRPr="00663B2E">
        <w:rPr>
          <w:color w:val="000000" w:themeColor="text1"/>
        </w:rPr>
        <w:t xml:space="preserve">impermeable surfacing with </w:t>
      </w:r>
      <w:r w:rsidR="00564522">
        <w:rPr>
          <w:color w:val="000000" w:themeColor="text1"/>
        </w:rPr>
        <w:t>the</w:t>
      </w:r>
      <w:r w:rsidR="0022013D">
        <w:rPr>
          <w:color w:val="000000" w:themeColor="text1"/>
        </w:rPr>
        <w:t xml:space="preserve"> s</w:t>
      </w:r>
      <w:r w:rsidR="00246B9F">
        <w:rPr>
          <w:color w:val="000000" w:themeColor="text1"/>
        </w:rPr>
        <w:t>ealed</w:t>
      </w:r>
      <w:r w:rsidR="0022013D">
        <w:rPr>
          <w:color w:val="000000" w:themeColor="text1"/>
        </w:rPr>
        <w:t xml:space="preserve"> drainage system</w:t>
      </w:r>
      <w:r w:rsidRPr="00663B2E">
        <w:rPr>
          <w:color w:val="000000" w:themeColor="text1"/>
        </w:rPr>
        <w:t>. In the event of a spill, leak or fire, surface water from the site will be collected in</w:t>
      </w:r>
      <w:r w:rsidR="00564522">
        <w:rPr>
          <w:color w:val="000000" w:themeColor="text1"/>
        </w:rPr>
        <w:t xml:space="preserve"> the holding tanks</w:t>
      </w:r>
      <w:r w:rsidR="00F44F93">
        <w:rPr>
          <w:color w:val="000000" w:themeColor="text1"/>
        </w:rPr>
        <w:t xml:space="preserve"> </w:t>
      </w:r>
      <w:r w:rsidRPr="00663B2E">
        <w:rPr>
          <w:color w:val="000000" w:themeColor="text1"/>
        </w:rPr>
        <w:t xml:space="preserve">and </w:t>
      </w:r>
      <w:r w:rsidR="00564522">
        <w:rPr>
          <w:color w:val="000000" w:themeColor="text1"/>
        </w:rPr>
        <w:t>removed as appropriate</w:t>
      </w:r>
      <w:r w:rsidR="00663B2E" w:rsidRPr="00663B2E">
        <w:rPr>
          <w:color w:val="000000" w:themeColor="text1"/>
        </w:rPr>
        <w:t xml:space="preserve">. The </w:t>
      </w:r>
      <w:r w:rsidR="00564522">
        <w:rPr>
          <w:color w:val="000000" w:themeColor="text1"/>
        </w:rPr>
        <w:t xml:space="preserve">holding tanks are fully enclosed and unable to release discharges to sensitive receptors. </w:t>
      </w:r>
      <w:r w:rsidRPr="00663B2E">
        <w:rPr>
          <w:color w:val="000000" w:themeColor="text1"/>
        </w:rPr>
        <w:t xml:space="preserve">The fire/spill water in the </w:t>
      </w:r>
      <w:r w:rsidR="00663B2E" w:rsidRPr="00663B2E">
        <w:rPr>
          <w:color w:val="000000" w:themeColor="text1"/>
        </w:rPr>
        <w:t>tank</w:t>
      </w:r>
      <w:r w:rsidR="00246B9F">
        <w:rPr>
          <w:color w:val="000000" w:themeColor="text1"/>
        </w:rPr>
        <w:t>s</w:t>
      </w:r>
      <w:r w:rsidRPr="00663B2E">
        <w:rPr>
          <w:color w:val="000000" w:themeColor="text1"/>
        </w:rPr>
        <w:t xml:space="preserve"> will be removed from site to a treatment facility. </w:t>
      </w:r>
    </w:p>
    <w:p w14:paraId="6C7C8CB1" w14:textId="77777777" w:rsidR="005F2201" w:rsidRDefault="001A11B6" w:rsidP="001A11B6">
      <w:pPr>
        <w:jc w:val="both"/>
      </w:pPr>
      <w:r>
        <w:t xml:space="preserve">Any potentially polluting spillages at the site will be subject to the procedures detailed in the site EMS. </w:t>
      </w:r>
    </w:p>
    <w:p w14:paraId="0869D26D" w14:textId="1F434D37" w:rsidR="005C7F28" w:rsidRDefault="00564522" w:rsidP="001A11B6">
      <w:pPr>
        <w:jc w:val="both"/>
      </w:pPr>
      <w:r>
        <w:t xml:space="preserve">There is not a box-drain soakaway or water treatment facility on site which results in a discharge to the ground or surrounding areas. </w:t>
      </w:r>
    </w:p>
    <w:p w14:paraId="10A1CB1D" w14:textId="562FB424" w:rsidR="0076744D" w:rsidRDefault="001A11B6" w:rsidP="0076744D">
      <w:pPr>
        <w:pStyle w:val="Heading1"/>
      </w:pPr>
      <w:r>
        <w:t xml:space="preserve">8. </w:t>
      </w:r>
      <w:r w:rsidR="0076744D">
        <w:t>Compliance with Best Available Techniques</w:t>
      </w:r>
    </w:p>
    <w:p w14:paraId="420E8BF3" w14:textId="73F5EAAE" w:rsidR="0076744D" w:rsidRPr="0076744D" w:rsidRDefault="00246B9F" w:rsidP="0076744D">
      <w:r>
        <w:t>Towens of Weston</w:t>
      </w:r>
      <w:r w:rsidR="005D0EFE">
        <w:t xml:space="preserve"> Ltd will work under the </w:t>
      </w:r>
      <w:r w:rsidR="006A1307">
        <w:t>Best Available Techniques</w:t>
      </w:r>
      <w:r w:rsidR="005D0EFE">
        <w:t xml:space="preserve"> (B</w:t>
      </w:r>
      <w:r w:rsidR="006A1307">
        <w:t>AT</w:t>
      </w:r>
      <w:r w:rsidR="005D0EFE">
        <w:t xml:space="preserve">s) </w:t>
      </w:r>
      <w:r w:rsidR="00F44F93">
        <w:t xml:space="preserve">and </w:t>
      </w:r>
      <w:r>
        <w:t>appropriate measures</w:t>
      </w:r>
      <w:r w:rsidR="005D0EFE">
        <w:t xml:space="preserve"> taken from the EA</w:t>
      </w:r>
      <w:r w:rsidR="00F44F93">
        <w:t xml:space="preserve"> Guidance on chemical waste</w:t>
      </w:r>
      <w:r>
        <w:t xml:space="preserve">: appropriate measures </w:t>
      </w:r>
      <w:r w:rsidR="00F44F93">
        <w:t>for permitted facilities</w:t>
      </w:r>
      <w:r w:rsidR="005D0EFE">
        <w:t>. B</w:t>
      </w:r>
      <w:r w:rsidR="006A1307">
        <w:t>AT</w:t>
      </w:r>
      <w:r w:rsidR="005D0EFE">
        <w:t>s</w:t>
      </w:r>
      <w:r w:rsidR="00F44F93">
        <w:t xml:space="preserve"> </w:t>
      </w:r>
      <w:r w:rsidR="005D0EFE">
        <w:t xml:space="preserve">will be applied to the proposed activities at the </w:t>
      </w:r>
      <w:r>
        <w:t>Towens of Weston</w:t>
      </w:r>
      <w:r w:rsidR="005D0EFE">
        <w:t xml:space="preserve"> Ltd site to ensure all potential health and safety and environmental risks posed by these activities are considered and appropriately managed.</w:t>
      </w:r>
    </w:p>
    <w:sectPr w:rsidR="0076744D" w:rsidRPr="0076744D" w:rsidSect="0083326F">
      <w:headerReference w:type="default" r:id="rId13"/>
      <w:footerReference w:type="default" r:id="rId14"/>
      <w:headerReference w:type="first" r:id="rId15"/>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0500" w14:textId="77777777" w:rsidR="007D6488" w:rsidRDefault="007D6488" w:rsidP="004B24DA">
      <w:pPr>
        <w:spacing w:after="0" w:line="240" w:lineRule="auto"/>
      </w:pPr>
      <w:r>
        <w:separator/>
      </w:r>
    </w:p>
  </w:endnote>
  <w:endnote w:type="continuationSeparator" w:id="0">
    <w:p w14:paraId="12AD75A1" w14:textId="77777777" w:rsidR="007D6488" w:rsidRDefault="007D6488" w:rsidP="004B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88081"/>
      <w:docPartObj>
        <w:docPartGallery w:val="Page Numbers (Bottom of Page)"/>
        <w:docPartUnique/>
      </w:docPartObj>
    </w:sdtPr>
    <w:sdtContent>
      <w:p w14:paraId="5D2C585B" w14:textId="0AD2DA29" w:rsidR="00C33899" w:rsidRDefault="00C33899">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5D05A39" w14:textId="77777777" w:rsidR="00C33899" w:rsidRDefault="00C33899">
    <w:pPr>
      <w:pStyle w:val="Footer"/>
    </w:pPr>
  </w:p>
  <w:p w14:paraId="6F1DB608" w14:textId="77777777" w:rsidR="00C33899" w:rsidRDefault="00C3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C186" w14:textId="77777777" w:rsidR="007D6488" w:rsidRDefault="007D6488" w:rsidP="004B24DA">
      <w:pPr>
        <w:spacing w:after="0" w:line="240" w:lineRule="auto"/>
      </w:pPr>
      <w:r>
        <w:separator/>
      </w:r>
    </w:p>
  </w:footnote>
  <w:footnote w:type="continuationSeparator" w:id="0">
    <w:p w14:paraId="29D766FE" w14:textId="77777777" w:rsidR="007D6488" w:rsidRDefault="007D6488" w:rsidP="004B2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A4A5" w14:textId="772CC88E" w:rsidR="00C33899" w:rsidRDefault="00C33899">
    <w:pPr>
      <w:pStyle w:val="Header"/>
    </w:pPr>
  </w:p>
  <w:tbl>
    <w:tblPr>
      <w:tblW w:w="4947" w:type="pct"/>
      <w:tblBorders>
        <w:left w:val="single" w:sz="18" w:space="0" w:color="000080"/>
      </w:tblBorders>
      <w:tblLayout w:type="fixed"/>
      <w:tblLook w:val="0000" w:firstRow="0" w:lastRow="0" w:firstColumn="0" w:lastColumn="0" w:noHBand="0" w:noVBand="0"/>
    </w:tblPr>
    <w:tblGrid>
      <w:gridCol w:w="5855"/>
      <w:gridCol w:w="3075"/>
    </w:tblGrid>
    <w:tr w:rsidR="00C33899" w14:paraId="501A661F" w14:textId="77777777" w:rsidTr="00B94341">
      <w:trPr>
        <w:cantSplit/>
        <w:trHeight w:val="845"/>
      </w:trPr>
      <w:tc>
        <w:tcPr>
          <w:tcW w:w="5855" w:type="dxa"/>
          <w:tcBorders>
            <w:left w:val="nil"/>
            <w:bottom w:val="single" w:sz="12" w:space="0" w:color="2F5085"/>
          </w:tcBorders>
          <w:tcMar>
            <w:left w:w="57" w:type="dxa"/>
            <w:bottom w:w="113" w:type="dxa"/>
            <w:right w:w="0" w:type="dxa"/>
          </w:tcMar>
          <w:vAlign w:val="bottom"/>
        </w:tcPr>
        <w:p w14:paraId="0B63059E" w14:textId="27B053DD" w:rsidR="00C33899" w:rsidRPr="00784187" w:rsidRDefault="005318BB" w:rsidP="00C54F71">
          <w:pPr>
            <w:spacing w:before="20" w:after="20"/>
            <w:jc w:val="center"/>
            <w:rPr>
              <w:b/>
              <w:color w:val="4472C4" w:themeColor="accent1"/>
              <w:sz w:val="32"/>
              <w:szCs w:val="32"/>
            </w:rPr>
          </w:pPr>
          <w:bookmarkStart w:id="10" w:name="_Hlk48310628"/>
          <w:bookmarkStart w:id="11" w:name="_Hlk48310629"/>
          <w:bookmarkStart w:id="12" w:name="_Hlk48313551"/>
          <w:bookmarkStart w:id="13" w:name="_Hlk48313552"/>
          <w:proofErr w:type="spellStart"/>
          <w:r>
            <w:rPr>
              <w:b/>
              <w:color w:val="4472C4" w:themeColor="accent1"/>
              <w:sz w:val="32"/>
              <w:szCs w:val="32"/>
            </w:rPr>
            <w:t>Towens</w:t>
          </w:r>
          <w:proofErr w:type="spellEnd"/>
          <w:r>
            <w:rPr>
              <w:b/>
              <w:color w:val="4472C4" w:themeColor="accent1"/>
              <w:sz w:val="32"/>
              <w:szCs w:val="32"/>
            </w:rPr>
            <w:t xml:space="preserve"> of Weston</w:t>
          </w:r>
          <w:r w:rsidR="008D4E41" w:rsidRPr="00784187">
            <w:rPr>
              <w:b/>
              <w:color w:val="4472C4" w:themeColor="accent1"/>
              <w:sz w:val="32"/>
              <w:szCs w:val="32"/>
            </w:rPr>
            <w:t xml:space="preserve"> Ltd</w:t>
          </w:r>
        </w:p>
        <w:p w14:paraId="70DB304C" w14:textId="0C5E1065" w:rsidR="00C33899" w:rsidRPr="00505470" w:rsidRDefault="008D4E41" w:rsidP="00C54F71">
          <w:pPr>
            <w:spacing w:before="20" w:after="20"/>
            <w:jc w:val="center"/>
            <w:rPr>
              <w:b/>
              <w:color w:val="C00000"/>
              <w:sz w:val="32"/>
              <w:szCs w:val="32"/>
            </w:rPr>
          </w:pPr>
          <w:r w:rsidRPr="00784187">
            <w:rPr>
              <w:b/>
              <w:color w:val="4472C4" w:themeColor="accent1"/>
              <w:sz w:val="32"/>
              <w:szCs w:val="32"/>
            </w:rPr>
            <w:t>Non-Technical Summary</w:t>
          </w:r>
          <w:r w:rsidR="005318BB">
            <w:rPr>
              <w:b/>
              <w:color w:val="4472C4" w:themeColor="accent1"/>
              <w:sz w:val="32"/>
              <w:szCs w:val="32"/>
            </w:rPr>
            <w:t xml:space="preserve"> - </w:t>
          </w:r>
          <w:proofErr w:type="spellStart"/>
          <w:r w:rsidR="005318BB">
            <w:rPr>
              <w:b/>
              <w:color w:val="4472C4" w:themeColor="accent1"/>
              <w:sz w:val="32"/>
              <w:szCs w:val="32"/>
            </w:rPr>
            <w:t>Westonzoyland</w:t>
          </w:r>
          <w:proofErr w:type="spellEnd"/>
        </w:p>
      </w:tc>
      <w:tc>
        <w:tcPr>
          <w:tcW w:w="3075" w:type="dxa"/>
          <w:tcBorders>
            <w:bottom w:val="single" w:sz="12" w:space="0" w:color="2F5085"/>
          </w:tcBorders>
        </w:tcPr>
        <w:p w14:paraId="23D8D2C4" w14:textId="4C0AC3A7" w:rsidR="00C33899" w:rsidRPr="00505470" w:rsidRDefault="00C33899" w:rsidP="004B24DA">
          <w:pPr>
            <w:spacing w:before="20" w:after="20"/>
            <w:jc w:val="right"/>
            <w:rPr>
              <w:color w:val="C00000"/>
            </w:rPr>
          </w:pPr>
        </w:p>
      </w:tc>
    </w:tr>
    <w:bookmarkEnd w:id="10"/>
    <w:bookmarkEnd w:id="11"/>
    <w:bookmarkEnd w:id="12"/>
    <w:bookmarkEnd w:id="13"/>
  </w:tbl>
  <w:p w14:paraId="2395299A" w14:textId="77777777" w:rsidR="00C33899" w:rsidRDefault="00C33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7" w:type="pct"/>
      <w:tblBorders>
        <w:left w:val="single" w:sz="18" w:space="0" w:color="000080"/>
      </w:tblBorders>
      <w:tblLayout w:type="fixed"/>
      <w:tblLook w:val="0000" w:firstRow="0" w:lastRow="0" w:firstColumn="0" w:lastColumn="0" w:noHBand="0" w:noVBand="0"/>
    </w:tblPr>
    <w:tblGrid>
      <w:gridCol w:w="5855"/>
      <w:gridCol w:w="3075"/>
    </w:tblGrid>
    <w:tr w:rsidR="00C33899" w14:paraId="2E3F0C20" w14:textId="77777777" w:rsidTr="00B94341">
      <w:trPr>
        <w:cantSplit/>
        <w:trHeight w:val="845"/>
      </w:trPr>
      <w:tc>
        <w:tcPr>
          <w:tcW w:w="5855" w:type="dxa"/>
          <w:tcBorders>
            <w:left w:val="nil"/>
            <w:bottom w:val="single" w:sz="12" w:space="0" w:color="2F5085"/>
          </w:tcBorders>
          <w:tcMar>
            <w:left w:w="57" w:type="dxa"/>
            <w:bottom w:w="113" w:type="dxa"/>
            <w:right w:w="0" w:type="dxa"/>
          </w:tcMar>
          <w:vAlign w:val="bottom"/>
        </w:tcPr>
        <w:p w14:paraId="3D66ECCA" w14:textId="31C38966" w:rsidR="00C33899" w:rsidRPr="00843618" w:rsidRDefault="00843618" w:rsidP="002E4FF3">
          <w:pPr>
            <w:spacing w:before="20" w:after="20"/>
            <w:rPr>
              <w:b/>
              <w:color w:val="70AD47" w:themeColor="accent6"/>
              <w:sz w:val="32"/>
              <w:szCs w:val="32"/>
            </w:rPr>
          </w:pPr>
          <w:r w:rsidRPr="00843618">
            <w:rPr>
              <w:b/>
              <w:color w:val="70AD47" w:themeColor="accent6"/>
              <w:sz w:val="32"/>
              <w:szCs w:val="32"/>
            </w:rPr>
            <w:t>Company Name</w:t>
          </w:r>
        </w:p>
        <w:p w14:paraId="3096D408" w14:textId="34CC09FE" w:rsidR="00C33899" w:rsidRPr="00505470" w:rsidRDefault="00C33899" w:rsidP="002E4FF3">
          <w:pPr>
            <w:spacing w:before="20" w:after="20"/>
            <w:rPr>
              <w:b/>
              <w:color w:val="C00000"/>
              <w:sz w:val="32"/>
              <w:szCs w:val="32"/>
            </w:rPr>
          </w:pPr>
          <w:r w:rsidRPr="00843618">
            <w:rPr>
              <w:b/>
              <w:color w:val="70AD47" w:themeColor="accent6"/>
              <w:sz w:val="32"/>
              <w:szCs w:val="32"/>
            </w:rPr>
            <w:t xml:space="preserve"> </w:t>
          </w:r>
          <w:r w:rsidR="00843618" w:rsidRPr="00843618">
            <w:rPr>
              <w:b/>
              <w:color w:val="70AD47" w:themeColor="accent6"/>
              <w:sz w:val="32"/>
              <w:szCs w:val="32"/>
            </w:rPr>
            <w:t>Document Name</w:t>
          </w:r>
        </w:p>
      </w:tc>
      <w:tc>
        <w:tcPr>
          <w:tcW w:w="3075" w:type="dxa"/>
          <w:tcBorders>
            <w:bottom w:val="single" w:sz="12" w:space="0" w:color="2F5085"/>
          </w:tcBorders>
        </w:tcPr>
        <w:p w14:paraId="2550F7CC" w14:textId="2CB11E8C" w:rsidR="00C33899" w:rsidRPr="00505470" w:rsidRDefault="00843618" w:rsidP="002E4FF3">
          <w:pPr>
            <w:spacing w:before="20" w:after="20"/>
            <w:jc w:val="right"/>
            <w:rPr>
              <w:color w:val="C00000"/>
            </w:rPr>
          </w:pPr>
          <w:r>
            <w:rPr>
              <w:noProof/>
              <w:color w:val="C00000"/>
            </w:rPr>
            <w:t>Company Logo</w:t>
          </w:r>
        </w:p>
      </w:tc>
    </w:tr>
  </w:tbl>
  <w:p w14:paraId="40BA77B5" w14:textId="77777777" w:rsidR="00C33899" w:rsidRDefault="00C33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5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C0F50"/>
    <w:multiLevelType w:val="hybridMultilevel"/>
    <w:tmpl w:val="5C326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1A7A"/>
    <w:multiLevelType w:val="hybridMultilevel"/>
    <w:tmpl w:val="C4B2637C"/>
    <w:lvl w:ilvl="0" w:tplc="B35412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74202B"/>
    <w:multiLevelType w:val="multilevel"/>
    <w:tmpl w:val="9DB82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7C6F60"/>
    <w:multiLevelType w:val="hybridMultilevel"/>
    <w:tmpl w:val="1756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358ED"/>
    <w:multiLevelType w:val="multilevel"/>
    <w:tmpl w:val="79009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8D25DA"/>
    <w:multiLevelType w:val="hybridMultilevel"/>
    <w:tmpl w:val="9E08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95368"/>
    <w:multiLevelType w:val="multilevel"/>
    <w:tmpl w:val="15DA980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A61D71"/>
    <w:multiLevelType w:val="multilevel"/>
    <w:tmpl w:val="7FF8BD6E"/>
    <w:lvl w:ilvl="0">
      <w:start w:val="1"/>
      <w:numFmt w:val="decimal"/>
      <w:lvlText w:val="%1.0"/>
      <w:lvlJc w:val="left"/>
      <w:pPr>
        <w:ind w:left="480" w:hanging="480"/>
      </w:pPr>
      <w:rPr>
        <w:rFonts w:hint="default"/>
        <w:u w:val="none"/>
      </w:rPr>
    </w:lvl>
    <w:lvl w:ilvl="1">
      <w:start w:val="1"/>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9" w15:restartNumberingAfterBreak="0">
    <w:nsid w:val="1E3A3B44"/>
    <w:multiLevelType w:val="hybridMultilevel"/>
    <w:tmpl w:val="690A198E"/>
    <w:lvl w:ilvl="0" w:tplc="7A22F0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BA40D5"/>
    <w:multiLevelType w:val="multilevel"/>
    <w:tmpl w:val="F52E97BA"/>
    <w:lvl w:ilvl="0">
      <w:start w:val="4"/>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2BAE7BF8"/>
    <w:multiLevelType w:val="hybridMultilevel"/>
    <w:tmpl w:val="372E6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F65D93"/>
    <w:multiLevelType w:val="hybridMultilevel"/>
    <w:tmpl w:val="1340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B7FDD"/>
    <w:multiLevelType w:val="multilevel"/>
    <w:tmpl w:val="30D85D28"/>
    <w:lvl w:ilvl="0">
      <w:start w:val="1"/>
      <w:numFmt w:val="decimal"/>
      <w:lvlText w:val="%1"/>
      <w:lvlJc w:val="left"/>
      <w:pPr>
        <w:ind w:left="480" w:hanging="480"/>
      </w:pPr>
      <w:rPr>
        <w:rFonts w:asciiTheme="majorHAnsi" w:eastAsiaTheme="majorEastAsia" w:hAnsiTheme="majorHAnsi" w:cstheme="majorBidi" w:hint="default"/>
        <w:color w:val="1F3763" w:themeColor="accent1" w:themeShade="7F"/>
        <w:sz w:val="24"/>
      </w:rPr>
    </w:lvl>
    <w:lvl w:ilvl="1">
      <w:start w:val="1"/>
      <w:numFmt w:val="decimal"/>
      <w:lvlText w:val="%1.%2"/>
      <w:lvlJc w:val="left"/>
      <w:pPr>
        <w:ind w:left="480" w:hanging="480"/>
      </w:pPr>
      <w:rPr>
        <w:rFonts w:asciiTheme="majorHAnsi" w:eastAsiaTheme="majorEastAsia" w:hAnsiTheme="majorHAnsi" w:cstheme="majorBidi" w:hint="default"/>
        <w:color w:val="1F3763" w:themeColor="accent1" w:themeShade="7F"/>
        <w:sz w:val="24"/>
      </w:rPr>
    </w:lvl>
    <w:lvl w:ilvl="2">
      <w:start w:val="5"/>
      <w:numFmt w:val="decimal"/>
      <w:lvlText w:val="%1.%2.%3"/>
      <w:lvlJc w:val="left"/>
      <w:pPr>
        <w:ind w:left="720" w:hanging="720"/>
      </w:pPr>
      <w:rPr>
        <w:rFonts w:asciiTheme="majorHAnsi" w:eastAsiaTheme="majorEastAsia" w:hAnsiTheme="majorHAnsi" w:cstheme="majorBidi" w:hint="default"/>
        <w:color w:val="1F3763" w:themeColor="accent1" w:themeShade="7F"/>
        <w:sz w:val="24"/>
      </w:rPr>
    </w:lvl>
    <w:lvl w:ilvl="3">
      <w:start w:val="1"/>
      <w:numFmt w:val="decimal"/>
      <w:lvlText w:val="%1.%2.%3.%4"/>
      <w:lvlJc w:val="left"/>
      <w:pPr>
        <w:ind w:left="720" w:hanging="720"/>
      </w:pPr>
      <w:rPr>
        <w:rFonts w:asciiTheme="majorHAnsi" w:eastAsiaTheme="majorEastAsia" w:hAnsiTheme="majorHAnsi" w:cstheme="majorBidi" w:hint="default"/>
        <w:color w:val="1F3763" w:themeColor="accent1" w:themeShade="7F"/>
        <w:sz w:val="24"/>
      </w:rPr>
    </w:lvl>
    <w:lvl w:ilvl="4">
      <w:start w:val="1"/>
      <w:numFmt w:val="decimal"/>
      <w:lvlText w:val="%1.%2.%3.%4.%5"/>
      <w:lvlJc w:val="left"/>
      <w:pPr>
        <w:ind w:left="1080" w:hanging="1080"/>
      </w:pPr>
      <w:rPr>
        <w:rFonts w:asciiTheme="majorHAnsi" w:eastAsiaTheme="majorEastAsia" w:hAnsiTheme="majorHAnsi" w:cstheme="majorBidi" w:hint="default"/>
        <w:color w:val="1F3763" w:themeColor="accent1" w:themeShade="7F"/>
        <w:sz w:val="24"/>
      </w:rPr>
    </w:lvl>
    <w:lvl w:ilvl="5">
      <w:start w:val="1"/>
      <w:numFmt w:val="decimal"/>
      <w:lvlText w:val="%1.%2.%3.%4.%5.%6"/>
      <w:lvlJc w:val="left"/>
      <w:pPr>
        <w:ind w:left="1440" w:hanging="1440"/>
      </w:pPr>
      <w:rPr>
        <w:rFonts w:asciiTheme="majorHAnsi" w:eastAsiaTheme="majorEastAsia" w:hAnsiTheme="majorHAnsi" w:cstheme="majorBidi" w:hint="default"/>
        <w:color w:val="1F3763" w:themeColor="accent1" w:themeShade="7F"/>
        <w:sz w:val="24"/>
      </w:rPr>
    </w:lvl>
    <w:lvl w:ilvl="6">
      <w:start w:val="1"/>
      <w:numFmt w:val="decimal"/>
      <w:lvlText w:val="%1.%2.%3.%4.%5.%6.%7"/>
      <w:lvlJc w:val="left"/>
      <w:pPr>
        <w:ind w:left="1440" w:hanging="1440"/>
      </w:pPr>
      <w:rPr>
        <w:rFonts w:asciiTheme="majorHAnsi" w:eastAsiaTheme="majorEastAsia" w:hAnsiTheme="majorHAnsi" w:cstheme="majorBidi" w:hint="default"/>
        <w:color w:val="1F3763" w:themeColor="accent1" w:themeShade="7F"/>
        <w:sz w:val="24"/>
      </w:rPr>
    </w:lvl>
    <w:lvl w:ilvl="7">
      <w:start w:val="1"/>
      <w:numFmt w:val="decimal"/>
      <w:lvlText w:val="%1.%2.%3.%4.%5.%6.%7.%8"/>
      <w:lvlJc w:val="left"/>
      <w:pPr>
        <w:ind w:left="1800" w:hanging="1800"/>
      </w:pPr>
      <w:rPr>
        <w:rFonts w:asciiTheme="majorHAnsi" w:eastAsiaTheme="majorEastAsia" w:hAnsiTheme="majorHAnsi" w:cstheme="majorBidi" w:hint="default"/>
        <w:color w:val="1F3763" w:themeColor="accent1" w:themeShade="7F"/>
        <w:sz w:val="24"/>
      </w:rPr>
    </w:lvl>
    <w:lvl w:ilvl="8">
      <w:start w:val="1"/>
      <w:numFmt w:val="decimal"/>
      <w:lvlText w:val="%1.%2.%3.%4.%5.%6.%7.%8.%9"/>
      <w:lvlJc w:val="left"/>
      <w:pPr>
        <w:ind w:left="1800" w:hanging="1800"/>
      </w:pPr>
      <w:rPr>
        <w:rFonts w:asciiTheme="majorHAnsi" w:eastAsiaTheme="majorEastAsia" w:hAnsiTheme="majorHAnsi" w:cstheme="majorBidi" w:hint="default"/>
        <w:color w:val="1F3763" w:themeColor="accent1" w:themeShade="7F"/>
        <w:sz w:val="24"/>
      </w:rPr>
    </w:lvl>
  </w:abstractNum>
  <w:abstractNum w:abstractNumId="14" w15:restartNumberingAfterBreak="0">
    <w:nsid w:val="3B7F2ACC"/>
    <w:multiLevelType w:val="hybridMultilevel"/>
    <w:tmpl w:val="341C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62F22"/>
    <w:multiLevelType w:val="multilevel"/>
    <w:tmpl w:val="DC9E2184"/>
    <w:lvl w:ilvl="0">
      <w:start w:val="3"/>
      <w:numFmt w:val="decimal"/>
      <w:lvlText w:val="%1"/>
      <w:lvlJc w:val="left"/>
      <w:pPr>
        <w:ind w:left="600" w:hanging="600"/>
      </w:pPr>
      <w:rPr>
        <w:rFonts w:asciiTheme="majorHAnsi" w:eastAsiaTheme="majorEastAsia" w:hAnsiTheme="majorHAnsi" w:cstheme="majorBidi" w:hint="default"/>
        <w:color w:val="1F3763" w:themeColor="accent1" w:themeShade="7F"/>
        <w:sz w:val="24"/>
      </w:rPr>
    </w:lvl>
    <w:lvl w:ilvl="1">
      <w:start w:val="3"/>
      <w:numFmt w:val="decimal"/>
      <w:lvlText w:val="%1.%2"/>
      <w:lvlJc w:val="left"/>
      <w:pPr>
        <w:ind w:left="600" w:hanging="600"/>
      </w:pPr>
      <w:rPr>
        <w:rFonts w:asciiTheme="majorHAnsi" w:eastAsiaTheme="majorEastAsia" w:hAnsiTheme="majorHAnsi" w:cstheme="majorBidi" w:hint="default"/>
        <w:color w:val="1F3763" w:themeColor="accent1" w:themeShade="7F"/>
        <w:sz w:val="24"/>
      </w:rPr>
    </w:lvl>
    <w:lvl w:ilvl="2">
      <w:start w:val="10"/>
      <w:numFmt w:val="decimal"/>
      <w:lvlText w:val="%1.%2.%3"/>
      <w:lvlJc w:val="left"/>
      <w:pPr>
        <w:ind w:left="720" w:hanging="720"/>
      </w:pPr>
      <w:rPr>
        <w:rFonts w:asciiTheme="majorHAnsi" w:eastAsiaTheme="majorEastAsia" w:hAnsiTheme="majorHAnsi" w:cstheme="majorBidi" w:hint="default"/>
        <w:color w:val="1F3763" w:themeColor="accent1" w:themeShade="7F"/>
        <w:sz w:val="24"/>
      </w:rPr>
    </w:lvl>
    <w:lvl w:ilvl="3">
      <w:start w:val="1"/>
      <w:numFmt w:val="decimal"/>
      <w:lvlText w:val="%1.%2.%3.%4"/>
      <w:lvlJc w:val="left"/>
      <w:pPr>
        <w:ind w:left="720" w:hanging="720"/>
      </w:pPr>
      <w:rPr>
        <w:rFonts w:asciiTheme="majorHAnsi" w:eastAsiaTheme="majorEastAsia" w:hAnsiTheme="majorHAnsi" w:cstheme="majorBidi" w:hint="default"/>
        <w:color w:val="1F3763" w:themeColor="accent1" w:themeShade="7F"/>
        <w:sz w:val="24"/>
      </w:rPr>
    </w:lvl>
    <w:lvl w:ilvl="4">
      <w:start w:val="1"/>
      <w:numFmt w:val="decimal"/>
      <w:lvlText w:val="%1.%2.%3.%4.%5"/>
      <w:lvlJc w:val="left"/>
      <w:pPr>
        <w:ind w:left="1080" w:hanging="1080"/>
      </w:pPr>
      <w:rPr>
        <w:rFonts w:asciiTheme="majorHAnsi" w:eastAsiaTheme="majorEastAsia" w:hAnsiTheme="majorHAnsi" w:cstheme="majorBidi" w:hint="default"/>
        <w:color w:val="1F3763" w:themeColor="accent1" w:themeShade="7F"/>
        <w:sz w:val="24"/>
      </w:rPr>
    </w:lvl>
    <w:lvl w:ilvl="5">
      <w:start w:val="1"/>
      <w:numFmt w:val="decimal"/>
      <w:lvlText w:val="%1.%2.%3.%4.%5.%6"/>
      <w:lvlJc w:val="left"/>
      <w:pPr>
        <w:ind w:left="1080" w:hanging="1080"/>
      </w:pPr>
      <w:rPr>
        <w:rFonts w:asciiTheme="majorHAnsi" w:eastAsiaTheme="majorEastAsia" w:hAnsiTheme="majorHAnsi" w:cstheme="majorBidi" w:hint="default"/>
        <w:color w:val="1F3763" w:themeColor="accent1" w:themeShade="7F"/>
        <w:sz w:val="24"/>
      </w:rPr>
    </w:lvl>
    <w:lvl w:ilvl="6">
      <w:start w:val="1"/>
      <w:numFmt w:val="decimal"/>
      <w:lvlText w:val="%1.%2.%3.%4.%5.%6.%7"/>
      <w:lvlJc w:val="left"/>
      <w:pPr>
        <w:ind w:left="1440" w:hanging="1440"/>
      </w:pPr>
      <w:rPr>
        <w:rFonts w:asciiTheme="majorHAnsi" w:eastAsiaTheme="majorEastAsia" w:hAnsiTheme="majorHAnsi" w:cstheme="majorBidi" w:hint="default"/>
        <w:color w:val="1F3763" w:themeColor="accent1" w:themeShade="7F"/>
        <w:sz w:val="24"/>
      </w:rPr>
    </w:lvl>
    <w:lvl w:ilvl="7">
      <w:start w:val="1"/>
      <w:numFmt w:val="decimal"/>
      <w:lvlText w:val="%1.%2.%3.%4.%5.%6.%7.%8"/>
      <w:lvlJc w:val="left"/>
      <w:pPr>
        <w:ind w:left="1440" w:hanging="1440"/>
      </w:pPr>
      <w:rPr>
        <w:rFonts w:asciiTheme="majorHAnsi" w:eastAsiaTheme="majorEastAsia" w:hAnsiTheme="majorHAnsi" w:cstheme="majorBidi" w:hint="default"/>
        <w:color w:val="1F3763" w:themeColor="accent1" w:themeShade="7F"/>
        <w:sz w:val="24"/>
      </w:rPr>
    </w:lvl>
    <w:lvl w:ilvl="8">
      <w:start w:val="1"/>
      <w:numFmt w:val="decimal"/>
      <w:lvlText w:val="%1.%2.%3.%4.%5.%6.%7.%8.%9"/>
      <w:lvlJc w:val="left"/>
      <w:pPr>
        <w:ind w:left="1440" w:hanging="1440"/>
      </w:pPr>
      <w:rPr>
        <w:rFonts w:asciiTheme="majorHAnsi" w:eastAsiaTheme="majorEastAsia" w:hAnsiTheme="majorHAnsi" w:cstheme="majorBidi" w:hint="default"/>
        <w:color w:val="1F3763" w:themeColor="accent1" w:themeShade="7F"/>
        <w:sz w:val="24"/>
      </w:rPr>
    </w:lvl>
  </w:abstractNum>
  <w:abstractNum w:abstractNumId="16" w15:restartNumberingAfterBreak="0">
    <w:nsid w:val="494A6594"/>
    <w:multiLevelType w:val="hybridMultilevel"/>
    <w:tmpl w:val="3830E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B41A0F"/>
    <w:multiLevelType w:val="hybridMultilevel"/>
    <w:tmpl w:val="B3B0E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9121D7"/>
    <w:multiLevelType w:val="multilevel"/>
    <w:tmpl w:val="C102DCA8"/>
    <w:lvl w:ilvl="0">
      <w:start w:val="3"/>
      <w:numFmt w:val="decimal"/>
      <w:lvlText w:val="%1"/>
      <w:lvlJc w:val="left"/>
      <w:pPr>
        <w:ind w:left="480" w:hanging="480"/>
      </w:pPr>
      <w:rPr>
        <w:rFonts w:asciiTheme="majorHAnsi" w:eastAsiaTheme="majorEastAsia" w:hAnsiTheme="majorHAnsi" w:cstheme="majorBidi" w:hint="default"/>
        <w:color w:val="4472C4" w:themeColor="accent1"/>
        <w:sz w:val="24"/>
      </w:rPr>
    </w:lvl>
    <w:lvl w:ilvl="1">
      <w:start w:val="4"/>
      <w:numFmt w:val="decimal"/>
      <w:lvlText w:val="%1.%2"/>
      <w:lvlJc w:val="left"/>
      <w:pPr>
        <w:ind w:left="480" w:hanging="480"/>
      </w:pPr>
      <w:rPr>
        <w:rFonts w:asciiTheme="majorHAnsi" w:eastAsiaTheme="majorEastAsia" w:hAnsiTheme="majorHAnsi" w:cstheme="majorBidi" w:hint="default"/>
        <w:color w:val="4472C4" w:themeColor="accent1"/>
        <w:sz w:val="24"/>
      </w:rPr>
    </w:lvl>
    <w:lvl w:ilvl="2">
      <w:start w:val="1"/>
      <w:numFmt w:val="decimal"/>
      <w:lvlText w:val="%1.%2.%3"/>
      <w:lvlJc w:val="left"/>
      <w:pPr>
        <w:ind w:left="720" w:hanging="720"/>
      </w:pPr>
      <w:rPr>
        <w:rFonts w:asciiTheme="majorHAnsi" w:eastAsiaTheme="majorEastAsia" w:hAnsiTheme="majorHAnsi" w:cstheme="majorBidi" w:hint="default"/>
        <w:color w:val="4472C4" w:themeColor="accent1"/>
        <w:sz w:val="24"/>
      </w:rPr>
    </w:lvl>
    <w:lvl w:ilvl="3">
      <w:start w:val="1"/>
      <w:numFmt w:val="decimal"/>
      <w:lvlText w:val="%1.%2.%3.%4"/>
      <w:lvlJc w:val="left"/>
      <w:pPr>
        <w:ind w:left="720" w:hanging="720"/>
      </w:pPr>
      <w:rPr>
        <w:rFonts w:asciiTheme="majorHAnsi" w:eastAsiaTheme="majorEastAsia" w:hAnsiTheme="majorHAnsi" w:cstheme="majorBidi" w:hint="default"/>
        <w:color w:val="4472C4" w:themeColor="accent1"/>
        <w:sz w:val="24"/>
      </w:rPr>
    </w:lvl>
    <w:lvl w:ilvl="4">
      <w:start w:val="1"/>
      <w:numFmt w:val="decimal"/>
      <w:lvlText w:val="%1.%2.%3.%4.%5"/>
      <w:lvlJc w:val="left"/>
      <w:pPr>
        <w:ind w:left="1080" w:hanging="1080"/>
      </w:pPr>
      <w:rPr>
        <w:rFonts w:asciiTheme="majorHAnsi" w:eastAsiaTheme="majorEastAsia" w:hAnsiTheme="majorHAnsi" w:cstheme="majorBidi" w:hint="default"/>
        <w:color w:val="4472C4" w:themeColor="accent1"/>
        <w:sz w:val="24"/>
      </w:rPr>
    </w:lvl>
    <w:lvl w:ilvl="5">
      <w:start w:val="1"/>
      <w:numFmt w:val="decimal"/>
      <w:lvlText w:val="%1.%2.%3.%4.%5.%6"/>
      <w:lvlJc w:val="left"/>
      <w:pPr>
        <w:ind w:left="1080" w:hanging="1080"/>
      </w:pPr>
      <w:rPr>
        <w:rFonts w:asciiTheme="majorHAnsi" w:eastAsiaTheme="majorEastAsia" w:hAnsiTheme="majorHAnsi" w:cstheme="majorBidi" w:hint="default"/>
        <w:color w:val="4472C4" w:themeColor="accent1"/>
        <w:sz w:val="24"/>
      </w:rPr>
    </w:lvl>
    <w:lvl w:ilvl="6">
      <w:start w:val="1"/>
      <w:numFmt w:val="decimal"/>
      <w:lvlText w:val="%1.%2.%3.%4.%5.%6.%7"/>
      <w:lvlJc w:val="left"/>
      <w:pPr>
        <w:ind w:left="1440" w:hanging="1440"/>
      </w:pPr>
      <w:rPr>
        <w:rFonts w:asciiTheme="majorHAnsi" w:eastAsiaTheme="majorEastAsia" w:hAnsiTheme="majorHAnsi" w:cstheme="majorBidi" w:hint="default"/>
        <w:color w:val="4472C4" w:themeColor="accent1"/>
        <w:sz w:val="24"/>
      </w:rPr>
    </w:lvl>
    <w:lvl w:ilvl="7">
      <w:start w:val="1"/>
      <w:numFmt w:val="decimal"/>
      <w:lvlText w:val="%1.%2.%3.%4.%5.%6.%7.%8"/>
      <w:lvlJc w:val="left"/>
      <w:pPr>
        <w:ind w:left="1440" w:hanging="1440"/>
      </w:pPr>
      <w:rPr>
        <w:rFonts w:asciiTheme="majorHAnsi" w:eastAsiaTheme="majorEastAsia" w:hAnsiTheme="majorHAnsi" w:cstheme="majorBidi" w:hint="default"/>
        <w:color w:val="4472C4" w:themeColor="accent1"/>
        <w:sz w:val="24"/>
      </w:rPr>
    </w:lvl>
    <w:lvl w:ilvl="8">
      <w:start w:val="1"/>
      <w:numFmt w:val="decimal"/>
      <w:lvlText w:val="%1.%2.%3.%4.%5.%6.%7.%8.%9"/>
      <w:lvlJc w:val="left"/>
      <w:pPr>
        <w:ind w:left="1800" w:hanging="1800"/>
      </w:pPr>
      <w:rPr>
        <w:rFonts w:asciiTheme="majorHAnsi" w:eastAsiaTheme="majorEastAsia" w:hAnsiTheme="majorHAnsi" w:cstheme="majorBidi" w:hint="default"/>
        <w:color w:val="4472C4" w:themeColor="accent1"/>
        <w:sz w:val="24"/>
      </w:rPr>
    </w:lvl>
  </w:abstractNum>
  <w:abstractNum w:abstractNumId="19" w15:restartNumberingAfterBreak="0">
    <w:nsid w:val="4DC43056"/>
    <w:multiLevelType w:val="hybridMultilevel"/>
    <w:tmpl w:val="1436A800"/>
    <w:lvl w:ilvl="0" w:tplc="34F2AE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23DF8"/>
    <w:multiLevelType w:val="multilevel"/>
    <w:tmpl w:val="D7BC00EE"/>
    <w:lvl w:ilvl="0">
      <w:start w:val="5"/>
      <w:numFmt w:val="decimal"/>
      <w:lvlText w:val="%1"/>
      <w:lvlJc w:val="left"/>
      <w:pPr>
        <w:ind w:left="480" w:hanging="480"/>
      </w:pPr>
      <w:rPr>
        <w:rFonts w:asciiTheme="majorHAnsi" w:eastAsiaTheme="majorEastAsia" w:hAnsiTheme="majorHAnsi" w:cstheme="majorBidi" w:hint="default"/>
        <w:color w:val="1F3763" w:themeColor="accent1" w:themeShade="7F"/>
        <w:sz w:val="24"/>
      </w:rPr>
    </w:lvl>
    <w:lvl w:ilvl="1">
      <w:start w:val="2"/>
      <w:numFmt w:val="decimal"/>
      <w:lvlText w:val="%1.%2"/>
      <w:lvlJc w:val="left"/>
      <w:pPr>
        <w:ind w:left="480" w:hanging="480"/>
      </w:pPr>
      <w:rPr>
        <w:rFonts w:asciiTheme="majorHAnsi" w:eastAsiaTheme="majorEastAsia" w:hAnsiTheme="majorHAnsi" w:cstheme="majorBidi" w:hint="default"/>
        <w:color w:val="1F3763" w:themeColor="accent1" w:themeShade="7F"/>
        <w:sz w:val="24"/>
      </w:rPr>
    </w:lvl>
    <w:lvl w:ilvl="2">
      <w:start w:val="1"/>
      <w:numFmt w:val="decimal"/>
      <w:lvlText w:val="%1.%2.%3"/>
      <w:lvlJc w:val="left"/>
      <w:pPr>
        <w:ind w:left="720" w:hanging="720"/>
      </w:pPr>
      <w:rPr>
        <w:rFonts w:asciiTheme="majorHAnsi" w:eastAsiaTheme="majorEastAsia" w:hAnsiTheme="majorHAnsi" w:cstheme="majorBidi" w:hint="default"/>
        <w:color w:val="1F3763" w:themeColor="accent1" w:themeShade="7F"/>
        <w:sz w:val="24"/>
      </w:rPr>
    </w:lvl>
    <w:lvl w:ilvl="3">
      <w:start w:val="1"/>
      <w:numFmt w:val="decimal"/>
      <w:lvlText w:val="%1.%2.%3.%4"/>
      <w:lvlJc w:val="left"/>
      <w:pPr>
        <w:ind w:left="720" w:hanging="720"/>
      </w:pPr>
      <w:rPr>
        <w:rFonts w:asciiTheme="majorHAnsi" w:eastAsiaTheme="majorEastAsia" w:hAnsiTheme="majorHAnsi" w:cstheme="majorBidi" w:hint="default"/>
        <w:color w:val="1F3763" w:themeColor="accent1" w:themeShade="7F"/>
        <w:sz w:val="24"/>
      </w:rPr>
    </w:lvl>
    <w:lvl w:ilvl="4">
      <w:start w:val="1"/>
      <w:numFmt w:val="decimal"/>
      <w:lvlText w:val="%1.%2.%3.%4.%5"/>
      <w:lvlJc w:val="left"/>
      <w:pPr>
        <w:ind w:left="1080" w:hanging="1080"/>
      </w:pPr>
      <w:rPr>
        <w:rFonts w:asciiTheme="majorHAnsi" w:eastAsiaTheme="majorEastAsia" w:hAnsiTheme="majorHAnsi" w:cstheme="majorBidi" w:hint="default"/>
        <w:color w:val="1F3763" w:themeColor="accent1" w:themeShade="7F"/>
        <w:sz w:val="24"/>
      </w:rPr>
    </w:lvl>
    <w:lvl w:ilvl="5">
      <w:start w:val="1"/>
      <w:numFmt w:val="decimal"/>
      <w:lvlText w:val="%1.%2.%3.%4.%5.%6"/>
      <w:lvlJc w:val="left"/>
      <w:pPr>
        <w:ind w:left="1080" w:hanging="1080"/>
      </w:pPr>
      <w:rPr>
        <w:rFonts w:asciiTheme="majorHAnsi" w:eastAsiaTheme="majorEastAsia" w:hAnsiTheme="majorHAnsi" w:cstheme="majorBidi" w:hint="default"/>
        <w:color w:val="1F3763" w:themeColor="accent1" w:themeShade="7F"/>
        <w:sz w:val="24"/>
      </w:rPr>
    </w:lvl>
    <w:lvl w:ilvl="6">
      <w:start w:val="1"/>
      <w:numFmt w:val="decimal"/>
      <w:lvlText w:val="%1.%2.%3.%4.%5.%6.%7"/>
      <w:lvlJc w:val="left"/>
      <w:pPr>
        <w:ind w:left="1440" w:hanging="1440"/>
      </w:pPr>
      <w:rPr>
        <w:rFonts w:asciiTheme="majorHAnsi" w:eastAsiaTheme="majorEastAsia" w:hAnsiTheme="majorHAnsi" w:cstheme="majorBidi" w:hint="default"/>
        <w:color w:val="1F3763" w:themeColor="accent1" w:themeShade="7F"/>
        <w:sz w:val="24"/>
      </w:rPr>
    </w:lvl>
    <w:lvl w:ilvl="7">
      <w:start w:val="1"/>
      <w:numFmt w:val="decimal"/>
      <w:lvlText w:val="%1.%2.%3.%4.%5.%6.%7.%8"/>
      <w:lvlJc w:val="left"/>
      <w:pPr>
        <w:ind w:left="1440" w:hanging="1440"/>
      </w:pPr>
      <w:rPr>
        <w:rFonts w:asciiTheme="majorHAnsi" w:eastAsiaTheme="majorEastAsia" w:hAnsiTheme="majorHAnsi" w:cstheme="majorBidi" w:hint="default"/>
        <w:color w:val="1F3763" w:themeColor="accent1" w:themeShade="7F"/>
        <w:sz w:val="24"/>
      </w:rPr>
    </w:lvl>
    <w:lvl w:ilvl="8">
      <w:start w:val="1"/>
      <w:numFmt w:val="decimal"/>
      <w:lvlText w:val="%1.%2.%3.%4.%5.%6.%7.%8.%9"/>
      <w:lvlJc w:val="left"/>
      <w:pPr>
        <w:ind w:left="1440" w:hanging="1440"/>
      </w:pPr>
      <w:rPr>
        <w:rFonts w:asciiTheme="majorHAnsi" w:eastAsiaTheme="majorEastAsia" w:hAnsiTheme="majorHAnsi" w:cstheme="majorBidi" w:hint="default"/>
        <w:color w:val="1F3763" w:themeColor="accent1" w:themeShade="7F"/>
        <w:sz w:val="24"/>
      </w:rPr>
    </w:lvl>
  </w:abstractNum>
  <w:abstractNum w:abstractNumId="21" w15:restartNumberingAfterBreak="0">
    <w:nsid w:val="597E1069"/>
    <w:multiLevelType w:val="hybridMultilevel"/>
    <w:tmpl w:val="C4AA5126"/>
    <w:lvl w:ilvl="0" w:tplc="B5CA85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E010F"/>
    <w:multiLevelType w:val="hybridMultilevel"/>
    <w:tmpl w:val="CCDA5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807979"/>
    <w:multiLevelType w:val="hybridMultilevel"/>
    <w:tmpl w:val="D05CE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BE1809"/>
    <w:multiLevelType w:val="hybridMultilevel"/>
    <w:tmpl w:val="70644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F3457C"/>
    <w:multiLevelType w:val="hybridMultilevel"/>
    <w:tmpl w:val="690A198E"/>
    <w:lvl w:ilvl="0" w:tplc="7A22F0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152422B"/>
    <w:multiLevelType w:val="hybridMultilevel"/>
    <w:tmpl w:val="370067D6"/>
    <w:lvl w:ilvl="0" w:tplc="7A22F0BA">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E85D01"/>
    <w:multiLevelType w:val="hybridMultilevel"/>
    <w:tmpl w:val="46860BAC"/>
    <w:lvl w:ilvl="0" w:tplc="9A5E7C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445C27"/>
    <w:multiLevelType w:val="multilevel"/>
    <w:tmpl w:val="01E4C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7E7E3F"/>
    <w:multiLevelType w:val="hybridMultilevel"/>
    <w:tmpl w:val="065E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212E5"/>
    <w:multiLevelType w:val="multilevel"/>
    <w:tmpl w:val="3A32ECB8"/>
    <w:lvl w:ilvl="0">
      <w:start w:val="4"/>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FF14243"/>
    <w:multiLevelType w:val="hybridMultilevel"/>
    <w:tmpl w:val="EB90A5A8"/>
    <w:lvl w:ilvl="0" w:tplc="34F2AE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F3A80"/>
    <w:multiLevelType w:val="hybridMultilevel"/>
    <w:tmpl w:val="3D02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037804"/>
    <w:multiLevelType w:val="hybridMultilevel"/>
    <w:tmpl w:val="0C4AF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1E3E73"/>
    <w:multiLevelType w:val="multilevel"/>
    <w:tmpl w:val="013A7BF8"/>
    <w:lvl w:ilvl="0">
      <w:start w:val="1"/>
      <w:numFmt w:val="decimal"/>
      <w:lvlText w:val="%1"/>
      <w:lvlJc w:val="left"/>
      <w:pPr>
        <w:ind w:left="480" w:hanging="480"/>
      </w:pPr>
      <w:rPr>
        <w:rFonts w:asciiTheme="majorHAnsi" w:eastAsiaTheme="majorEastAsia" w:hAnsiTheme="majorHAnsi" w:cstheme="majorBidi" w:hint="default"/>
        <w:color w:val="1F3763" w:themeColor="accent1" w:themeShade="7F"/>
        <w:sz w:val="24"/>
      </w:rPr>
    </w:lvl>
    <w:lvl w:ilvl="1">
      <w:start w:val="1"/>
      <w:numFmt w:val="decimal"/>
      <w:lvlText w:val="%2."/>
      <w:lvlJc w:val="left"/>
      <w:pPr>
        <w:ind w:left="480" w:hanging="480"/>
      </w:pPr>
      <w:rPr>
        <w:rFonts w:hint="default"/>
        <w:color w:val="1F3763" w:themeColor="accent1" w:themeShade="7F"/>
        <w:sz w:val="24"/>
      </w:rPr>
    </w:lvl>
    <w:lvl w:ilvl="2">
      <w:start w:val="3"/>
      <w:numFmt w:val="decimal"/>
      <w:lvlText w:val="%1.%2.%3"/>
      <w:lvlJc w:val="left"/>
      <w:pPr>
        <w:ind w:left="720" w:hanging="720"/>
      </w:pPr>
      <w:rPr>
        <w:rFonts w:asciiTheme="majorHAnsi" w:eastAsiaTheme="majorEastAsia" w:hAnsiTheme="majorHAnsi" w:cstheme="majorBidi" w:hint="default"/>
        <w:color w:val="1F3763" w:themeColor="accent1" w:themeShade="7F"/>
        <w:sz w:val="24"/>
      </w:rPr>
    </w:lvl>
    <w:lvl w:ilvl="3">
      <w:start w:val="1"/>
      <w:numFmt w:val="decimal"/>
      <w:lvlText w:val="%1.%2.%3.%4"/>
      <w:lvlJc w:val="left"/>
      <w:pPr>
        <w:ind w:left="720" w:hanging="720"/>
      </w:pPr>
      <w:rPr>
        <w:rFonts w:asciiTheme="majorHAnsi" w:eastAsiaTheme="majorEastAsia" w:hAnsiTheme="majorHAnsi" w:cstheme="majorBidi" w:hint="default"/>
        <w:color w:val="1F3763" w:themeColor="accent1" w:themeShade="7F"/>
        <w:sz w:val="24"/>
      </w:rPr>
    </w:lvl>
    <w:lvl w:ilvl="4">
      <w:start w:val="1"/>
      <w:numFmt w:val="decimal"/>
      <w:lvlText w:val="%1.%2.%3.%4.%5"/>
      <w:lvlJc w:val="left"/>
      <w:pPr>
        <w:ind w:left="1080" w:hanging="1080"/>
      </w:pPr>
      <w:rPr>
        <w:rFonts w:asciiTheme="majorHAnsi" w:eastAsiaTheme="majorEastAsia" w:hAnsiTheme="majorHAnsi" w:cstheme="majorBidi" w:hint="default"/>
        <w:color w:val="1F3763" w:themeColor="accent1" w:themeShade="7F"/>
        <w:sz w:val="24"/>
      </w:rPr>
    </w:lvl>
    <w:lvl w:ilvl="5">
      <w:start w:val="1"/>
      <w:numFmt w:val="decimal"/>
      <w:lvlText w:val="%1.%2.%3.%4.%5.%6"/>
      <w:lvlJc w:val="left"/>
      <w:pPr>
        <w:ind w:left="1080" w:hanging="1080"/>
      </w:pPr>
      <w:rPr>
        <w:rFonts w:asciiTheme="majorHAnsi" w:eastAsiaTheme="majorEastAsia" w:hAnsiTheme="majorHAnsi" w:cstheme="majorBidi" w:hint="default"/>
        <w:color w:val="1F3763" w:themeColor="accent1" w:themeShade="7F"/>
        <w:sz w:val="24"/>
      </w:rPr>
    </w:lvl>
    <w:lvl w:ilvl="6">
      <w:start w:val="1"/>
      <w:numFmt w:val="decimal"/>
      <w:lvlText w:val="%1.%2.%3.%4.%5.%6.%7"/>
      <w:lvlJc w:val="left"/>
      <w:pPr>
        <w:ind w:left="1440" w:hanging="1440"/>
      </w:pPr>
      <w:rPr>
        <w:rFonts w:asciiTheme="majorHAnsi" w:eastAsiaTheme="majorEastAsia" w:hAnsiTheme="majorHAnsi" w:cstheme="majorBidi" w:hint="default"/>
        <w:color w:val="1F3763" w:themeColor="accent1" w:themeShade="7F"/>
        <w:sz w:val="24"/>
      </w:rPr>
    </w:lvl>
    <w:lvl w:ilvl="7">
      <w:start w:val="1"/>
      <w:numFmt w:val="decimal"/>
      <w:lvlText w:val="%1.%2.%3.%4.%5.%6.%7.%8"/>
      <w:lvlJc w:val="left"/>
      <w:pPr>
        <w:ind w:left="1440" w:hanging="1440"/>
      </w:pPr>
      <w:rPr>
        <w:rFonts w:asciiTheme="majorHAnsi" w:eastAsiaTheme="majorEastAsia" w:hAnsiTheme="majorHAnsi" w:cstheme="majorBidi" w:hint="default"/>
        <w:color w:val="1F3763" w:themeColor="accent1" w:themeShade="7F"/>
        <w:sz w:val="24"/>
      </w:rPr>
    </w:lvl>
    <w:lvl w:ilvl="8">
      <w:start w:val="1"/>
      <w:numFmt w:val="decimal"/>
      <w:lvlText w:val="%1.%2.%3.%4.%5.%6.%7.%8.%9"/>
      <w:lvlJc w:val="left"/>
      <w:pPr>
        <w:ind w:left="1440" w:hanging="1440"/>
      </w:pPr>
      <w:rPr>
        <w:rFonts w:asciiTheme="majorHAnsi" w:eastAsiaTheme="majorEastAsia" w:hAnsiTheme="majorHAnsi" w:cstheme="majorBidi" w:hint="default"/>
        <w:color w:val="1F3763" w:themeColor="accent1" w:themeShade="7F"/>
        <w:sz w:val="24"/>
      </w:rPr>
    </w:lvl>
  </w:abstractNum>
  <w:num w:numId="1" w16cid:durableId="603075066">
    <w:abstractNumId w:val="8"/>
  </w:num>
  <w:num w:numId="2" w16cid:durableId="870802092">
    <w:abstractNumId w:val="16"/>
  </w:num>
  <w:num w:numId="3" w16cid:durableId="232207328">
    <w:abstractNumId w:val="34"/>
  </w:num>
  <w:num w:numId="4" w16cid:durableId="701977224">
    <w:abstractNumId w:val="11"/>
  </w:num>
  <w:num w:numId="5" w16cid:durableId="1160853330">
    <w:abstractNumId w:val="30"/>
  </w:num>
  <w:num w:numId="6" w16cid:durableId="188417133">
    <w:abstractNumId w:val="23"/>
  </w:num>
  <w:num w:numId="7" w16cid:durableId="1108738144">
    <w:abstractNumId w:val="28"/>
  </w:num>
  <w:num w:numId="8" w16cid:durableId="1981568246">
    <w:abstractNumId w:val="0"/>
  </w:num>
  <w:num w:numId="9" w16cid:durableId="1238906396">
    <w:abstractNumId w:val="3"/>
  </w:num>
  <w:num w:numId="10" w16cid:durableId="1294485457">
    <w:abstractNumId w:val="15"/>
  </w:num>
  <w:num w:numId="11" w16cid:durableId="1429304120">
    <w:abstractNumId w:val="32"/>
  </w:num>
  <w:num w:numId="12" w16cid:durableId="684332343">
    <w:abstractNumId w:val="10"/>
  </w:num>
  <w:num w:numId="13" w16cid:durableId="631058100">
    <w:abstractNumId w:val="20"/>
  </w:num>
  <w:num w:numId="14" w16cid:durableId="1936471154">
    <w:abstractNumId w:val="33"/>
  </w:num>
  <w:num w:numId="15" w16cid:durableId="518934888">
    <w:abstractNumId w:val="25"/>
  </w:num>
  <w:num w:numId="16" w16cid:durableId="1720322041">
    <w:abstractNumId w:val="26"/>
  </w:num>
  <w:num w:numId="17" w16cid:durableId="570889315">
    <w:abstractNumId w:val="5"/>
  </w:num>
  <w:num w:numId="18" w16cid:durableId="1801532615">
    <w:abstractNumId w:val="17"/>
  </w:num>
  <w:num w:numId="19" w16cid:durableId="142282723">
    <w:abstractNumId w:val="24"/>
  </w:num>
  <w:num w:numId="20" w16cid:durableId="1249191968">
    <w:abstractNumId w:val="4"/>
  </w:num>
  <w:num w:numId="21" w16cid:durableId="496264897">
    <w:abstractNumId w:val="18"/>
  </w:num>
  <w:num w:numId="22" w16cid:durableId="2030401764">
    <w:abstractNumId w:val="6"/>
  </w:num>
  <w:num w:numId="23" w16cid:durableId="2120835847">
    <w:abstractNumId w:val="31"/>
  </w:num>
  <w:num w:numId="24" w16cid:durableId="1079710419">
    <w:abstractNumId w:val="19"/>
  </w:num>
  <w:num w:numId="25" w16cid:durableId="2038001465">
    <w:abstractNumId w:val="9"/>
  </w:num>
  <w:num w:numId="26" w16cid:durableId="809443556">
    <w:abstractNumId w:val="7"/>
  </w:num>
  <w:num w:numId="27" w16cid:durableId="1299409845">
    <w:abstractNumId w:val="1"/>
  </w:num>
  <w:num w:numId="28" w16cid:durableId="211382861">
    <w:abstractNumId w:val="13"/>
  </w:num>
  <w:num w:numId="29" w16cid:durableId="1349018768">
    <w:abstractNumId w:val="29"/>
  </w:num>
  <w:num w:numId="30" w16cid:durableId="1346054443">
    <w:abstractNumId w:val="22"/>
  </w:num>
  <w:num w:numId="31" w16cid:durableId="174465043">
    <w:abstractNumId w:val="21"/>
  </w:num>
  <w:num w:numId="32" w16cid:durableId="504323384">
    <w:abstractNumId w:val="27"/>
  </w:num>
  <w:num w:numId="33" w16cid:durableId="108090357">
    <w:abstractNumId w:val="2"/>
  </w:num>
  <w:num w:numId="34" w16cid:durableId="1787458150">
    <w:abstractNumId w:val="12"/>
  </w:num>
  <w:num w:numId="35" w16cid:durableId="15657496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DA"/>
    <w:rsid w:val="0001096F"/>
    <w:rsid w:val="0001645D"/>
    <w:rsid w:val="000240FD"/>
    <w:rsid w:val="000247E0"/>
    <w:rsid w:val="00031DA0"/>
    <w:rsid w:val="000365F5"/>
    <w:rsid w:val="00053AA9"/>
    <w:rsid w:val="00057CD5"/>
    <w:rsid w:val="00061499"/>
    <w:rsid w:val="00064BC4"/>
    <w:rsid w:val="00080E17"/>
    <w:rsid w:val="000850A1"/>
    <w:rsid w:val="00091658"/>
    <w:rsid w:val="00096A24"/>
    <w:rsid w:val="00097312"/>
    <w:rsid w:val="000A33E4"/>
    <w:rsid w:val="000D0EC7"/>
    <w:rsid w:val="000D424A"/>
    <w:rsid w:val="00110CF1"/>
    <w:rsid w:val="00112788"/>
    <w:rsid w:val="0012728C"/>
    <w:rsid w:val="00131EC7"/>
    <w:rsid w:val="001335D4"/>
    <w:rsid w:val="001347DF"/>
    <w:rsid w:val="00142523"/>
    <w:rsid w:val="00144FB3"/>
    <w:rsid w:val="001455F8"/>
    <w:rsid w:val="0015023D"/>
    <w:rsid w:val="00154CD3"/>
    <w:rsid w:val="00161BB6"/>
    <w:rsid w:val="001A11B6"/>
    <w:rsid w:val="001B7710"/>
    <w:rsid w:val="001C5167"/>
    <w:rsid w:val="001C7935"/>
    <w:rsid w:val="001E29E6"/>
    <w:rsid w:val="001E5AC4"/>
    <w:rsid w:val="001F0F7F"/>
    <w:rsid w:val="001F27C0"/>
    <w:rsid w:val="001F463D"/>
    <w:rsid w:val="001F7689"/>
    <w:rsid w:val="002028F3"/>
    <w:rsid w:val="00211595"/>
    <w:rsid w:val="0022013D"/>
    <w:rsid w:val="00227231"/>
    <w:rsid w:val="00246B9F"/>
    <w:rsid w:val="002522B8"/>
    <w:rsid w:val="002528B6"/>
    <w:rsid w:val="00265557"/>
    <w:rsid w:val="002766A7"/>
    <w:rsid w:val="00281CA3"/>
    <w:rsid w:val="002921D6"/>
    <w:rsid w:val="00292935"/>
    <w:rsid w:val="002C140E"/>
    <w:rsid w:val="002D0E5A"/>
    <w:rsid w:val="002E4FF3"/>
    <w:rsid w:val="002E79EA"/>
    <w:rsid w:val="002F4AE6"/>
    <w:rsid w:val="002F7CC6"/>
    <w:rsid w:val="003003D2"/>
    <w:rsid w:val="0030426D"/>
    <w:rsid w:val="00304FCD"/>
    <w:rsid w:val="003227BA"/>
    <w:rsid w:val="0032284D"/>
    <w:rsid w:val="00323AA8"/>
    <w:rsid w:val="00326C14"/>
    <w:rsid w:val="0032734E"/>
    <w:rsid w:val="00342C54"/>
    <w:rsid w:val="0034332A"/>
    <w:rsid w:val="003478EA"/>
    <w:rsid w:val="00357093"/>
    <w:rsid w:val="0036094A"/>
    <w:rsid w:val="0036642D"/>
    <w:rsid w:val="0038569C"/>
    <w:rsid w:val="00386F12"/>
    <w:rsid w:val="00391319"/>
    <w:rsid w:val="00395F91"/>
    <w:rsid w:val="003A1064"/>
    <w:rsid w:val="003A7018"/>
    <w:rsid w:val="003A743C"/>
    <w:rsid w:val="003A7BCC"/>
    <w:rsid w:val="003B1553"/>
    <w:rsid w:val="003B673B"/>
    <w:rsid w:val="003C2E9A"/>
    <w:rsid w:val="003C5A6A"/>
    <w:rsid w:val="003C5B53"/>
    <w:rsid w:val="003E16DB"/>
    <w:rsid w:val="003F34FA"/>
    <w:rsid w:val="00415FD0"/>
    <w:rsid w:val="00416920"/>
    <w:rsid w:val="00431FAF"/>
    <w:rsid w:val="00441107"/>
    <w:rsid w:val="00441DEA"/>
    <w:rsid w:val="00447592"/>
    <w:rsid w:val="0045671D"/>
    <w:rsid w:val="004609A7"/>
    <w:rsid w:val="004615FB"/>
    <w:rsid w:val="00461943"/>
    <w:rsid w:val="00462398"/>
    <w:rsid w:val="00465883"/>
    <w:rsid w:val="0047086E"/>
    <w:rsid w:val="00487BF5"/>
    <w:rsid w:val="0049643B"/>
    <w:rsid w:val="004B2323"/>
    <w:rsid w:val="004B24DA"/>
    <w:rsid w:val="004C490F"/>
    <w:rsid w:val="004D1BEC"/>
    <w:rsid w:val="004D221D"/>
    <w:rsid w:val="004D6779"/>
    <w:rsid w:val="004E3E47"/>
    <w:rsid w:val="00510416"/>
    <w:rsid w:val="00510EC2"/>
    <w:rsid w:val="0051188E"/>
    <w:rsid w:val="00512720"/>
    <w:rsid w:val="00522385"/>
    <w:rsid w:val="005316D0"/>
    <w:rsid w:val="005318BB"/>
    <w:rsid w:val="005462D9"/>
    <w:rsid w:val="005468E3"/>
    <w:rsid w:val="0056071D"/>
    <w:rsid w:val="00564522"/>
    <w:rsid w:val="00571D0E"/>
    <w:rsid w:val="005756A8"/>
    <w:rsid w:val="00583087"/>
    <w:rsid w:val="00594C92"/>
    <w:rsid w:val="005A0D85"/>
    <w:rsid w:val="005B3550"/>
    <w:rsid w:val="005B5754"/>
    <w:rsid w:val="005C13BC"/>
    <w:rsid w:val="005C1BCC"/>
    <w:rsid w:val="005C23BC"/>
    <w:rsid w:val="005C2548"/>
    <w:rsid w:val="005C7F28"/>
    <w:rsid w:val="005D0EFE"/>
    <w:rsid w:val="005D299C"/>
    <w:rsid w:val="005D3E97"/>
    <w:rsid w:val="005E6490"/>
    <w:rsid w:val="005F0F23"/>
    <w:rsid w:val="005F2201"/>
    <w:rsid w:val="005F44AD"/>
    <w:rsid w:val="005F5221"/>
    <w:rsid w:val="00606181"/>
    <w:rsid w:val="00606D77"/>
    <w:rsid w:val="00611889"/>
    <w:rsid w:val="006335B8"/>
    <w:rsid w:val="00641F6E"/>
    <w:rsid w:val="006440B9"/>
    <w:rsid w:val="0065387C"/>
    <w:rsid w:val="00656B45"/>
    <w:rsid w:val="00661CF7"/>
    <w:rsid w:val="00663B2E"/>
    <w:rsid w:val="00677DF1"/>
    <w:rsid w:val="006860E0"/>
    <w:rsid w:val="00686D1B"/>
    <w:rsid w:val="00686EC5"/>
    <w:rsid w:val="006A0788"/>
    <w:rsid w:val="006A0A36"/>
    <w:rsid w:val="006A1307"/>
    <w:rsid w:val="006B5168"/>
    <w:rsid w:val="006C2773"/>
    <w:rsid w:val="006D40AC"/>
    <w:rsid w:val="006E528A"/>
    <w:rsid w:val="006E5A58"/>
    <w:rsid w:val="006E6F38"/>
    <w:rsid w:val="006F5965"/>
    <w:rsid w:val="00700817"/>
    <w:rsid w:val="00740BD5"/>
    <w:rsid w:val="0074441D"/>
    <w:rsid w:val="007511FA"/>
    <w:rsid w:val="0076744D"/>
    <w:rsid w:val="00772F3F"/>
    <w:rsid w:val="00780A58"/>
    <w:rsid w:val="00784187"/>
    <w:rsid w:val="00785192"/>
    <w:rsid w:val="00794F82"/>
    <w:rsid w:val="0079741F"/>
    <w:rsid w:val="007B0210"/>
    <w:rsid w:val="007B2B60"/>
    <w:rsid w:val="007B42B8"/>
    <w:rsid w:val="007B564E"/>
    <w:rsid w:val="007C39BD"/>
    <w:rsid w:val="007D6488"/>
    <w:rsid w:val="007E74AA"/>
    <w:rsid w:val="007F6E7C"/>
    <w:rsid w:val="0080019C"/>
    <w:rsid w:val="00803A43"/>
    <w:rsid w:val="00806681"/>
    <w:rsid w:val="00811286"/>
    <w:rsid w:val="008144D7"/>
    <w:rsid w:val="0081716E"/>
    <w:rsid w:val="00820422"/>
    <w:rsid w:val="00826A5C"/>
    <w:rsid w:val="008278FC"/>
    <w:rsid w:val="0083326F"/>
    <w:rsid w:val="0083399A"/>
    <w:rsid w:val="00837088"/>
    <w:rsid w:val="008411CC"/>
    <w:rsid w:val="00843618"/>
    <w:rsid w:val="00877D8F"/>
    <w:rsid w:val="0088211B"/>
    <w:rsid w:val="0088700C"/>
    <w:rsid w:val="008945C4"/>
    <w:rsid w:val="00896B77"/>
    <w:rsid w:val="00897A01"/>
    <w:rsid w:val="008B0F6F"/>
    <w:rsid w:val="008B73F6"/>
    <w:rsid w:val="008D15D0"/>
    <w:rsid w:val="008D4E41"/>
    <w:rsid w:val="008E4C46"/>
    <w:rsid w:val="00902DEC"/>
    <w:rsid w:val="00903076"/>
    <w:rsid w:val="00920B7C"/>
    <w:rsid w:val="009233E4"/>
    <w:rsid w:val="00933C41"/>
    <w:rsid w:val="00941C2D"/>
    <w:rsid w:val="00960B51"/>
    <w:rsid w:val="009626C4"/>
    <w:rsid w:val="0096744A"/>
    <w:rsid w:val="00980F95"/>
    <w:rsid w:val="009905E2"/>
    <w:rsid w:val="00995187"/>
    <w:rsid w:val="009B48C9"/>
    <w:rsid w:val="009C40AB"/>
    <w:rsid w:val="009C73B2"/>
    <w:rsid w:val="009E78C9"/>
    <w:rsid w:val="009F45F4"/>
    <w:rsid w:val="009F4C3B"/>
    <w:rsid w:val="00A014A2"/>
    <w:rsid w:val="00A07278"/>
    <w:rsid w:val="00A10883"/>
    <w:rsid w:val="00A20666"/>
    <w:rsid w:val="00A312E0"/>
    <w:rsid w:val="00A42D5E"/>
    <w:rsid w:val="00A455D6"/>
    <w:rsid w:val="00A45D45"/>
    <w:rsid w:val="00A51F82"/>
    <w:rsid w:val="00A84BD4"/>
    <w:rsid w:val="00A872CB"/>
    <w:rsid w:val="00A9549A"/>
    <w:rsid w:val="00AA34A4"/>
    <w:rsid w:val="00AC2616"/>
    <w:rsid w:val="00AC32E3"/>
    <w:rsid w:val="00AC4879"/>
    <w:rsid w:val="00AD2592"/>
    <w:rsid w:val="00AD5170"/>
    <w:rsid w:val="00AE46DC"/>
    <w:rsid w:val="00AF387D"/>
    <w:rsid w:val="00B00894"/>
    <w:rsid w:val="00B06B99"/>
    <w:rsid w:val="00B06FC9"/>
    <w:rsid w:val="00B1544E"/>
    <w:rsid w:val="00B17374"/>
    <w:rsid w:val="00B341C8"/>
    <w:rsid w:val="00B51933"/>
    <w:rsid w:val="00B62461"/>
    <w:rsid w:val="00B7120C"/>
    <w:rsid w:val="00B778BC"/>
    <w:rsid w:val="00B81994"/>
    <w:rsid w:val="00B84FA8"/>
    <w:rsid w:val="00B85337"/>
    <w:rsid w:val="00B8583E"/>
    <w:rsid w:val="00B86144"/>
    <w:rsid w:val="00B86A9A"/>
    <w:rsid w:val="00B94341"/>
    <w:rsid w:val="00B94A3B"/>
    <w:rsid w:val="00BA2776"/>
    <w:rsid w:val="00BA6699"/>
    <w:rsid w:val="00BB1EE6"/>
    <w:rsid w:val="00BB2D70"/>
    <w:rsid w:val="00BC4D03"/>
    <w:rsid w:val="00BD0054"/>
    <w:rsid w:val="00BD4170"/>
    <w:rsid w:val="00BE1C10"/>
    <w:rsid w:val="00BE49C6"/>
    <w:rsid w:val="00BF5665"/>
    <w:rsid w:val="00C0540F"/>
    <w:rsid w:val="00C06027"/>
    <w:rsid w:val="00C10D66"/>
    <w:rsid w:val="00C1768B"/>
    <w:rsid w:val="00C25286"/>
    <w:rsid w:val="00C33899"/>
    <w:rsid w:val="00C3435D"/>
    <w:rsid w:val="00C37F27"/>
    <w:rsid w:val="00C52034"/>
    <w:rsid w:val="00C53249"/>
    <w:rsid w:val="00C54F71"/>
    <w:rsid w:val="00C75123"/>
    <w:rsid w:val="00C76091"/>
    <w:rsid w:val="00C8730C"/>
    <w:rsid w:val="00C90416"/>
    <w:rsid w:val="00C97A96"/>
    <w:rsid w:val="00CA11CA"/>
    <w:rsid w:val="00CA71F8"/>
    <w:rsid w:val="00CB2E7C"/>
    <w:rsid w:val="00CB5464"/>
    <w:rsid w:val="00CD0D93"/>
    <w:rsid w:val="00CE4354"/>
    <w:rsid w:val="00CE7E12"/>
    <w:rsid w:val="00D01FC0"/>
    <w:rsid w:val="00D07313"/>
    <w:rsid w:val="00D63A1E"/>
    <w:rsid w:val="00D71378"/>
    <w:rsid w:val="00D71459"/>
    <w:rsid w:val="00D73D66"/>
    <w:rsid w:val="00D76DA0"/>
    <w:rsid w:val="00DB10C6"/>
    <w:rsid w:val="00DC6588"/>
    <w:rsid w:val="00DD0736"/>
    <w:rsid w:val="00DD115D"/>
    <w:rsid w:val="00DD5DD9"/>
    <w:rsid w:val="00DE1D4B"/>
    <w:rsid w:val="00DE5AF6"/>
    <w:rsid w:val="00DE75D5"/>
    <w:rsid w:val="00E22409"/>
    <w:rsid w:val="00E300D2"/>
    <w:rsid w:val="00E33389"/>
    <w:rsid w:val="00E42095"/>
    <w:rsid w:val="00E5489F"/>
    <w:rsid w:val="00E54FBE"/>
    <w:rsid w:val="00EB1EF9"/>
    <w:rsid w:val="00EB3E19"/>
    <w:rsid w:val="00EC193A"/>
    <w:rsid w:val="00EC2763"/>
    <w:rsid w:val="00EC4CE3"/>
    <w:rsid w:val="00ED46F1"/>
    <w:rsid w:val="00ED53C0"/>
    <w:rsid w:val="00EE1794"/>
    <w:rsid w:val="00EE185C"/>
    <w:rsid w:val="00EE203A"/>
    <w:rsid w:val="00EE3D18"/>
    <w:rsid w:val="00EF5DAE"/>
    <w:rsid w:val="00F06DAF"/>
    <w:rsid w:val="00F13BB5"/>
    <w:rsid w:val="00F155EF"/>
    <w:rsid w:val="00F156D6"/>
    <w:rsid w:val="00F16148"/>
    <w:rsid w:val="00F16E2F"/>
    <w:rsid w:val="00F306CB"/>
    <w:rsid w:val="00F32CCD"/>
    <w:rsid w:val="00F3632A"/>
    <w:rsid w:val="00F44F93"/>
    <w:rsid w:val="00F463B3"/>
    <w:rsid w:val="00F46495"/>
    <w:rsid w:val="00F53A28"/>
    <w:rsid w:val="00F5649A"/>
    <w:rsid w:val="00F63717"/>
    <w:rsid w:val="00F77D61"/>
    <w:rsid w:val="00F86211"/>
    <w:rsid w:val="00FA7F6D"/>
    <w:rsid w:val="00FD6329"/>
    <w:rsid w:val="00FF2EFB"/>
    <w:rsid w:val="00FF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2EB1"/>
  <w15:chartTrackingRefBased/>
  <w15:docId w15:val="{ECCE8704-BE58-4095-88BA-54C4DFAB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0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3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4DA"/>
  </w:style>
  <w:style w:type="paragraph" w:styleId="Footer">
    <w:name w:val="footer"/>
    <w:basedOn w:val="Normal"/>
    <w:link w:val="FooterChar"/>
    <w:uiPriority w:val="99"/>
    <w:unhideWhenUsed/>
    <w:rsid w:val="004B2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4DA"/>
  </w:style>
  <w:style w:type="paragraph" w:styleId="NoSpacing">
    <w:name w:val="No Spacing"/>
    <w:link w:val="NoSpacingChar"/>
    <w:uiPriority w:val="1"/>
    <w:qFormat/>
    <w:rsid w:val="00B341C8"/>
    <w:pPr>
      <w:spacing w:after="0" w:line="240" w:lineRule="auto"/>
    </w:pPr>
    <w:rPr>
      <w:rFonts w:ascii="Book Antiqua" w:eastAsia="Times New Roman" w:hAnsi="Book Antiqua" w:cs="Times New Roman"/>
      <w:lang w:val="en-US"/>
    </w:rPr>
  </w:style>
  <w:style w:type="character" w:customStyle="1" w:styleId="NoSpacingChar">
    <w:name w:val="No Spacing Char"/>
    <w:basedOn w:val="DefaultParagraphFont"/>
    <w:link w:val="NoSpacing"/>
    <w:uiPriority w:val="1"/>
    <w:rsid w:val="00B341C8"/>
    <w:rPr>
      <w:rFonts w:ascii="Book Antiqua" w:eastAsia="Times New Roman" w:hAnsi="Book Antiqua" w:cs="Times New Roman"/>
      <w:lang w:val="en-US"/>
    </w:rPr>
  </w:style>
  <w:style w:type="table" w:styleId="GridTable2-Accent1">
    <w:name w:val="Grid Table 2 Accent 1"/>
    <w:basedOn w:val="TableNormal"/>
    <w:uiPriority w:val="47"/>
    <w:rsid w:val="00B341C8"/>
    <w:pPr>
      <w:spacing w:after="0" w:line="240" w:lineRule="auto"/>
    </w:pPr>
    <w:rPr>
      <w:rFonts w:ascii="Book Antiqua" w:eastAsia="Book Antiqua" w:hAnsi="Book Antiqua"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0109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1096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1096F"/>
    <w:pPr>
      <w:ind w:left="720"/>
      <w:contextualSpacing/>
    </w:pPr>
  </w:style>
  <w:style w:type="paragraph" w:styleId="TOCHeading">
    <w:name w:val="TOC Heading"/>
    <w:basedOn w:val="Heading1"/>
    <w:next w:val="Normal"/>
    <w:uiPriority w:val="39"/>
    <w:unhideWhenUsed/>
    <w:qFormat/>
    <w:rsid w:val="00C52034"/>
    <w:pPr>
      <w:outlineLvl w:val="9"/>
    </w:pPr>
    <w:rPr>
      <w:lang w:val="en-US"/>
    </w:rPr>
  </w:style>
  <w:style w:type="paragraph" w:styleId="TOC1">
    <w:name w:val="toc 1"/>
    <w:basedOn w:val="Normal"/>
    <w:next w:val="Normal"/>
    <w:autoRedefine/>
    <w:uiPriority w:val="39"/>
    <w:unhideWhenUsed/>
    <w:rsid w:val="00C52034"/>
    <w:pPr>
      <w:spacing w:after="100"/>
    </w:pPr>
  </w:style>
  <w:style w:type="paragraph" w:styleId="TOC2">
    <w:name w:val="toc 2"/>
    <w:basedOn w:val="Normal"/>
    <w:next w:val="Normal"/>
    <w:autoRedefine/>
    <w:uiPriority w:val="39"/>
    <w:unhideWhenUsed/>
    <w:rsid w:val="00C52034"/>
    <w:pPr>
      <w:spacing w:after="100"/>
      <w:ind w:left="220"/>
    </w:pPr>
  </w:style>
  <w:style w:type="character" w:styleId="Hyperlink">
    <w:name w:val="Hyperlink"/>
    <w:basedOn w:val="DefaultParagraphFont"/>
    <w:uiPriority w:val="99"/>
    <w:unhideWhenUsed/>
    <w:rsid w:val="00C52034"/>
    <w:rPr>
      <w:color w:val="0563C1" w:themeColor="hyperlink"/>
      <w:u w:val="single"/>
    </w:rPr>
  </w:style>
  <w:style w:type="character" w:customStyle="1" w:styleId="Heading3Char">
    <w:name w:val="Heading 3 Char"/>
    <w:basedOn w:val="DefaultParagraphFont"/>
    <w:link w:val="Heading3"/>
    <w:uiPriority w:val="9"/>
    <w:rsid w:val="003F34FA"/>
    <w:rPr>
      <w:rFonts w:asciiTheme="majorHAnsi" w:eastAsiaTheme="majorEastAsia" w:hAnsiTheme="majorHAnsi" w:cstheme="majorBidi"/>
      <w:color w:val="1F3763" w:themeColor="accent1" w:themeShade="7F"/>
      <w:sz w:val="24"/>
      <w:szCs w:val="24"/>
    </w:rPr>
  </w:style>
  <w:style w:type="paragraph" w:customStyle="1" w:styleId="TableNormal1">
    <w:name w:val="Table Normal1"/>
    <w:basedOn w:val="Normal"/>
    <w:rsid w:val="003F34FA"/>
    <w:pPr>
      <w:spacing w:after="0" w:line="240" w:lineRule="auto"/>
    </w:pPr>
    <w:rPr>
      <w:rFonts w:ascii="Garamond" w:eastAsia="Times New Roman" w:hAnsi="Garamond" w:cs="Times New Roman"/>
      <w:szCs w:val="20"/>
    </w:rPr>
  </w:style>
  <w:style w:type="table" w:styleId="TableGrid">
    <w:name w:val="Table Grid"/>
    <w:basedOn w:val="TableNormal"/>
    <w:rsid w:val="003F34FA"/>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94341"/>
    <w:pPr>
      <w:keepNext/>
      <w:keepLines/>
      <w:spacing w:before="240" w:after="120" w:line="240" w:lineRule="auto"/>
      <w:ind w:left="567"/>
      <w:jc w:val="both"/>
    </w:pPr>
    <w:rPr>
      <w:rFonts w:ascii="Garamond" w:eastAsia="Times New Roman" w:hAnsi="Garamond" w:cs="Times New Roman"/>
      <w:b/>
      <w:bCs/>
      <w:sz w:val="20"/>
      <w:szCs w:val="20"/>
    </w:rPr>
  </w:style>
  <w:style w:type="paragraph" w:styleId="TOC3">
    <w:name w:val="toc 3"/>
    <w:basedOn w:val="Normal"/>
    <w:next w:val="Normal"/>
    <w:autoRedefine/>
    <w:uiPriority w:val="39"/>
    <w:unhideWhenUsed/>
    <w:rsid w:val="00292935"/>
    <w:pPr>
      <w:spacing w:after="100"/>
      <w:ind w:left="440"/>
    </w:pPr>
  </w:style>
  <w:style w:type="paragraph" w:styleId="BalloonText">
    <w:name w:val="Balloon Text"/>
    <w:basedOn w:val="Normal"/>
    <w:link w:val="BalloonTextChar"/>
    <w:uiPriority w:val="99"/>
    <w:semiHidden/>
    <w:unhideWhenUsed/>
    <w:rsid w:val="00995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187"/>
    <w:rPr>
      <w:rFonts w:ascii="Segoe UI" w:hAnsi="Segoe UI" w:cs="Segoe UI"/>
      <w:sz w:val="18"/>
      <w:szCs w:val="18"/>
    </w:rPr>
  </w:style>
  <w:style w:type="paragraph" w:styleId="BodyText">
    <w:name w:val="Body Text"/>
    <w:basedOn w:val="Normal"/>
    <w:link w:val="BodyTextChar"/>
    <w:uiPriority w:val="1"/>
    <w:qFormat/>
    <w:rsid w:val="008D4E4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8D4E41"/>
    <w:rPr>
      <w:rFonts w:ascii="Calibri" w:eastAsia="Calibri" w:hAnsi="Calibri" w:cs="Calibri"/>
      <w:lang w:eastAsia="en-GB" w:bidi="en-GB"/>
    </w:rPr>
  </w:style>
  <w:style w:type="paragraph" w:styleId="NormalWeb">
    <w:name w:val="Normal (Web)"/>
    <w:basedOn w:val="Normal"/>
    <w:uiPriority w:val="99"/>
    <w:semiHidden/>
    <w:unhideWhenUsed/>
    <w:rsid w:val="003C5B5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2">
    <w:name w:val="2"/>
    <w:basedOn w:val="TableNormal"/>
    <w:rsid w:val="00E300D2"/>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528B6"/>
    <w:pPr>
      <w:spacing w:after="0" w:line="240" w:lineRule="auto"/>
    </w:pPr>
  </w:style>
  <w:style w:type="character" w:customStyle="1" w:styleId="Blue">
    <w:name w:val="Blue"/>
    <w:basedOn w:val="DefaultParagraphFont"/>
    <w:uiPriority w:val="1"/>
    <w:qFormat/>
    <w:rsid w:val="00C8730C"/>
    <w:rPr>
      <w:color w:val="A5A5A5" w:themeColor="accent3"/>
    </w:rPr>
  </w:style>
  <w:style w:type="paragraph" w:customStyle="1" w:styleId="TableText">
    <w:name w:val="Table Text"/>
    <w:basedOn w:val="Normal"/>
    <w:qFormat/>
    <w:rsid w:val="00C8730C"/>
    <w:pPr>
      <w:spacing w:before="60" w:after="60" w:line="240" w:lineRule="auto"/>
      <w:ind w:left="85" w:right="85"/>
    </w:pPr>
    <w:rPr>
      <w:rFonts w:eastAsia="Times New Roman" w:cs="Times New Roman"/>
      <w:sz w:val="20"/>
      <w:szCs w:val="24"/>
    </w:rPr>
  </w:style>
  <w:style w:type="character" w:customStyle="1" w:styleId="Bold">
    <w:name w:val="Bold"/>
    <w:basedOn w:val="DefaultParagraphFont"/>
    <w:uiPriority w:val="1"/>
    <w:qFormat/>
    <w:rsid w:val="00C8730C"/>
    <w:rPr>
      <w:b/>
    </w:rPr>
  </w:style>
  <w:style w:type="character" w:customStyle="1" w:styleId="Red">
    <w:name w:val="Red"/>
    <w:basedOn w:val="DefaultParagraphFont"/>
    <w:uiPriority w:val="1"/>
    <w:qFormat/>
    <w:rsid w:val="00C8730C"/>
    <w:rPr>
      <w:color w:val="4472C4" w:themeColor="accent1"/>
    </w:rPr>
  </w:style>
  <w:style w:type="character" w:customStyle="1" w:styleId="RedBold">
    <w:name w:val="Red (Bold)"/>
    <w:basedOn w:val="DefaultParagraphFont"/>
    <w:uiPriority w:val="1"/>
    <w:qFormat/>
    <w:rsid w:val="00C8730C"/>
    <w:rPr>
      <w:b/>
      <w:color w:val="4472C4" w:themeColor="accent1"/>
    </w:rPr>
  </w:style>
  <w:style w:type="paragraph" w:customStyle="1" w:styleId="Default">
    <w:name w:val="Default"/>
    <w:rsid w:val="00C8730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0724">
      <w:bodyDiv w:val="1"/>
      <w:marLeft w:val="0"/>
      <w:marRight w:val="0"/>
      <w:marTop w:val="0"/>
      <w:marBottom w:val="0"/>
      <w:divBdr>
        <w:top w:val="none" w:sz="0" w:space="0" w:color="auto"/>
        <w:left w:val="none" w:sz="0" w:space="0" w:color="auto"/>
        <w:bottom w:val="none" w:sz="0" w:space="0" w:color="auto"/>
        <w:right w:val="none" w:sz="0" w:space="0" w:color="auto"/>
      </w:divBdr>
      <w:divsChild>
        <w:div w:id="1093013872">
          <w:marLeft w:val="0"/>
          <w:marRight w:val="0"/>
          <w:marTop w:val="0"/>
          <w:marBottom w:val="0"/>
          <w:divBdr>
            <w:top w:val="none" w:sz="0" w:space="0" w:color="auto"/>
            <w:left w:val="none" w:sz="0" w:space="0" w:color="auto"/>
            <w:bottom w:val="none" w:sz="0" w:space="0" w:color="auto"/>
            <w:right w:val="none" w:sz="0" w:space="0" w:color="auto"/>
          </w:divBdr>
          <w:divsChild>
            <w:div w:id="1115173937">
              <w:marLeft w:val="0"/>
              <w:marRight w:val="0"/>
              <w:marTop w:val="0"/>
              <w:marBottom w:val="0"/>
              <w:divBdr>
                <w:top w:val="none" w:sz="0" w:space="0" w:color="auto"/>
                <w:left w:val="none" w:sz="0" w:space="0" w:color="auto"/>
                <w:bottom w:val="none" w:sz="0" w:space="0" w:color="auto"/>
                <w:right w:val="none" w:sz="0" w:space="0" w:color="auto"/>
              </w:divBdr>
              <w:divsChild>
                <w:div w:id="855339448">
                  <w:marLeft w:val="0"/>
                  <w:marRight w:val="0"/>
                  <w:marTop w:val="0"/>
                  <w:marBottom w:val="0"/>
                  <w:divBdr>
                    <w:top w:val="none" w:sz="0" w:space="0" w:color="auto"/>
                    <w:left w:val="none" w:sz="0" w:space="0" w:color="auto"/>
                    <w:bottom w:val="none" w:sz="0" w:space="0" w:color="auto"/>
                    <w:right w:val="none" w:sz="0" w:space="0" w:color="auto"/>
                  </w:divBdr>
                  <w:divsChild>
                    <w:div w:id="15679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53665">
      <w:bodyDiv w:val="1"/>
      <w:marLeft w:val="0"/>
      <w:marRight w:val="0"/>
      <w:marTop w:val="0"/>
      <w:marBottom w:val="0"/>
      <w:divBdr>
        <w:top w:val="none" w:sz="0" w:space="0" w:color="auto"/>
        <w:left w:val="none" w:sz="0" w:space="0" w:color="auto"/>
        <w:bottom w:val="none" w:sz="0" w:space="0" w:color="auto"/>
        <w:right w:val="none" w:sz="0" w:space="0" w:color="auto"/>
      </w:divBdr>
    </w:div>
    <w:div w:id="1088036622">
      <w:bodyDiv w:val="1"/>
      <w:marLeft w:val="0"/>
      <w:marRight w:val="0"/>
      <w:marTop w:val="0"/>
      <w:marBottom w:val="0"/>
      <w:divBdr>
        <w:top w:val="none" w:sz="0" w:space="0" w:color="auto"/>
        <w:left w:val="none" w:sz="0" w:space="0" w:color="auto"/>
        <w:bottom w:val="none" w:sz="0" w:space="0" w:color="auto"/>
        <w:right w:val="none" w:sz="0" w:space="0" w:color="auto"/>
      </w:divBdr>
      <w:divsChild>
        <w:div w:id="2005430845">
          <w:marLeft w:val="0"/>
          <w:marRight w:val="0"/>
          <w:marTop w:val="0"/>
          <w:marBottom w:val="0"/>
          <w:divBdr>
            <w:top w:val="none" w:sz="0" w:space="0" w:color="auto"/>
            <w:left w:val="none" w:sz="0" w:space="0" w:color="auto"/>
            <w:bottom w:val="none" w:sz="0" w:space="0" w:color="auto"/>
            <w:right w:val="none" w:sz="0" w:space="0" w:color="auto"/>
          </w:divBdr>
          <w:divsChild>
            <w:div w:id="1192887576">
              <w:marLeft w:val="0"/>
              <w:marRight w:val="0"/>
              <w:marTop w:val="0"/>
              <w:marBottom w:val="0"/>
              <w:divBdr>
                <w:top w:val="none" w:sz="0" w:space="0" w:color="auto"/>
                <w:left w:val="none" w:sz="0" w:space="0" w:color="auto"/>
                <w:bottom w:val="none" w:sz="0" w:space="0" w:color="auto"/>
                <w:right w:val="none" w:sz="0" w:space="0" w:color="auto"/>
              </w:divBdr>
              <w:divsChild>
                <w:div w:id="1016807774">
                  <w:marLeft w:val="0"/>
                  <w:marRight w:val="0"/>
                  <w:marTop w:val="0"/>
                  <w:marBottom w:val="0"/>
                  <w:divBdr>
                    <w:top w:val="none" w:sz="0" w:space="0" w:color="auto"/>
                    <w:left w:val="none" w:sz="0" w:space="0" w:color="auto"/>
                    <w:bottom w:val="none" w:sz="0" w:space="0" w:color="auto"/>
                    <w:right w:val="none" w:sz="0" w:space="0" w:color="auto"/>
                  </w:divBdr>
                  <w:divsChild>
                    <w:div w:id="8375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40831">
      <w:bodyDiv w:val="1"/>
      <w:marLeft w:val="0"/>
      <w:marRight w:val="0"/>
      <w:marTop w:val="0"/>
      <w:marBottom w:val="0"/>
      <w:divBdr>
        <w:top w:val="none" w:sz="0" w:space="0" w:color="auto"/>
        <w:left w:val="none" w:sz="0" w:space="0" w:color="auto"/>
        <w:bottom w:val="none" w:sz="0" w:space="0" w:color="auto"/>
        <w:right w:val="none" w:sz="0" w:space="0" w:color="auto"/>
      </w:divBdr>
      <w:divsChild>
        <w:div w:id="1215115657">
          <w:marLeft w:val="0"/>
          <w:marRight w:val="0"/>
          <w:marTop w:val="0"/>
          <w:marBottom w:val="0"/>
          <w:divBdr>
            <w:top w:val="none" w:sz="0" w:space="0" w:color="auto"/>
            <w:left w:val="none" w:sz="0" w:space="0" w:color="auto"/>
            <w:bottom w:val="none" w:sz="0" w:space="0" w:color="auto"/>
            <w:right w:val="none" w:sz="0" w:space="0" w:color="auto"/>
          </w:divBdr>
          <w:divsChild>
            <w:div w:id="1067345072">
              <w:marLeft w:val="0"/>
              <w:marRight w:val="0"/>
              <w:marTop w:val="0"/>
              <w:marBottom w:val="0"/>
              <w:divBdr>
                <w:top w:val="none" w:sz="0" w:space="0" w:color="auto"/>
                <w:left w:val="none" w:sz="0" w:space="0" w:color="auto"/>
                <w:bottom w:val="none" w:sz="0" w:space="0" w:color="auto"/>
                <w:right w:val="none" w:sz="0" w:space="0" w:color="auto"/>
              </w:divBdr>
              <w:divsChild>
                <w:div w:id="1056469462">
                  <w:marLeft w:val="0"/>
                  <w:marRight w:val="0"/>
                  <w:marTop w:val="0"/>
                  <w:marBottom w:val="0"/>
                  <w:divBdr>
                    <w:top w:val="none" w:sz="0" w:space="0" w:color="auto"/>
                    <w:left w:val="none" w:sz="0" w:space="0" w:color="auto"/>
                    <w:bottom w:val="none" w:sz="0" w:space="0" w:color="auto"/>
                    <w:right w:val="none" w:sz="0" w:space="0" w:color="auto"/>
                  </w:divBdr>
                  <w:divsChild>
                    <w:div w:id="13335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5547">
      <w:bodyDiv w:val="1"/>
      <w:marLeft w:val="0"/>
      <w:marRight w:val="0"/>
      <w:marTop w:val="0"/>
      <w:marBottom w:val="0"/>
      <w:divBdr>
        <w:top w:val="none" w:sz="0" w:space="0" w:color="auto"/>
        <w:left w:val="none" w:sz="0" w:space="0" w:color="auto"/>
        <w:bottom w:val="none" w:sz="0" w:space="0" w:color="auto"/>
        <w:right w:val="none" w:sz="0" w:space="0" w:color="auto"/>
      </w:divBdr>
      <w:divsChild>
        <w:div w:id="518548460">
          <w:marLeft w:val="0"/>
          <w:marRight w:val="0"/>
          <w:marTop w:val="0"/>
          <w:marBottom w:val="0"/>
          <w:divBdr>
            <w:top w:val="none" w:sz="0" w:space="0" w:color="auto"/>
            <w:left w:val="none" w:sz="0" w:space="0" w:color="auto"/>
            <w:bottom w:val="none" w:sz="0" w:space="0" w:color="auto"/>
            <w:right w:val="none" w:sz="0" w:space="0" w:color="auto"/>
          </w:divBdr>
          <w:divsChild>
            <w:div w:id="1095134033">
              <w:marLeft w:val="0"/>
              <w:marRight w:val="0"/>
              <w:marTop w:val="0"/>
              <w:marBottom w:val="0"/>
              <w:divBdr>
                <w:top w:val="none" w:sz="0" w:space="0" w:color="auto"/>
                <w:left w:val="none" w:sz="0" w:space="0" w:color="auto"/>
                <w:bottom w:val="none" w:sz="0" w:space="0" w:color="auto"/>
                <w:right w:val="none" w:sz="0" w:space="0" w:color="auto"/>
              </w:divBdr>
              <w:divsChild>
                <w:div w:id="279728052">
                  <w:marLeft w:val="0"/>
                  <w:marRight w:val="0"/>
                  <w:marTop w:val="0"/>
                  <w:marBottom w:val="0"/>
                  <w:divBdr>
                    <w:top w:val="none" w:sz="0" w:space="0" w:color="auto"/>
                    <w:left w:val="none" w:sz="0" w:space="0" w:color="auto"/>
                    <w:bottom w:val="none" w:sz="0" w:space="0" w:color="auto"/>
                    <w:right w:val="none" w:sz="0" w:space="0" w:color="auto"/>
                  </w:divBdr>
                  <w:divsChild>
                    <w:div w:id="10320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EB2BD8950964974589E8F296FF43FA9F" ma:contentTypeVersion="48" ma:contentTypeDescription="Create a new document." ma:contentTypeScope="" ma:versionID="be117932a2e2d25fd5efc7e33f5958cf">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aa31260-4adf-4b11-80fb-5f1c7e811fe3" targetNamespace="http://schemas.microsoft.com/office/2006/metadata/properties" ma:root="true" ma:fieldsID="8a33b86ad89f830356fe941dfd69647f" ns2:_="" ns3:_="" ns4:_="" ns5:_="" ns6:_="">
    <xsd:import namespace="8595a0ec-c146-4eeb-925a-270f4bc4be63"/>
    <xsd:import namespace="662745e8-e224-48e8-a2e3-254862b8c2f5"/>
    <xsd:import namespace="eebef177-55b5-4448-a5fb-28ea454417ee"/>
    <xsd:import namespace="5ffd8e36-f429-4edc-ab50-c5be84842779"/>
    <xsd:import namespace="1aa31260-4adf-4b11-80fb-5f1c7e811fe3"/>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2:SharedWithUsers" minOccurs="0"/>
                <xsd:element ref="ns2:SharedWithDetails" minOccurs="0"/>
                <xsd:element ref="ns6:MediaLengthInSeconds" minOccurs="0"/>
                <xsd:element ref="ns6:lcf76f155ced4ddcb4097134ff3c332f" minOccurs="0"/>
                <xsd:element ref="ns6:MediaServiceObjectDetectorVersions" minOccurs="0"/>
                <xsd:element ref="ns6:_Flow_SignoffStatu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42f49-6b66-4f2a-8d56-df238edb5946}"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42f49-6b66-4f2a-8d56-df238edb5946}"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dexed="tru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31260-4adf-4b11-80fb-5f1c7e811fe3"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_Flow_SignoffStatus" ma:index="64" nillable="true" ma:displayName="Sign-off status" ma:internalName="Sign_x002d_off_x0020_status">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2025-11-06T00:00:00+00:00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eawml 405941</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CessationDate xmlns="eebef177-55b5-4448-a5fb-28ea454417ee" xsi:nil="true"/>
    <NationalSecurity xmlns="eebef177-55b5-4448-a5fb-28ea454417ee">No</NationalSecurity>
    <lcf76f155ced4ddcb4097134ff3c332f xmlns="1aa31260-4adf-4b11-80fb-5f1c7e811fe3">
      <Terms xmlns="http://schemas.microsoft.com/office/infopath/2007/PartnerControls"/>
    </lcf76f155ced4ddcb4097134ff3c332f>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_Flow_SignoffStatus xmlns="1aa31260-4adf-4b11-80fb-5f1c7e811fe3" xsi:nil="true"/>
    <Customer_x002f_OperatorName xmlns="eebef177-55b5-4448-a5fb-28ea454417ee">Towens Of Weston Ltd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2025-11-06T00:00:00+00:00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EPR-HB3004KS</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TA7 0JS</FacilityAddressPostcode>
    <TaxCatchAll xmlns="662745e8-e224-48e8-a2e3-254862b8c2f5">
      <Value>41</Value>
      <Value>12</Value>
      <Value>10</Value>
      <Value>44</Value>
      <Value>22</Value>
    </TaxCatchAll>
    <ExternalAuthor xmlns="eebef177-55b5-4448-a5fb-28ea454417ee">Richard Melbourne</ExternalAuthor>
    <SiteName xmlns="eebef177-55b5-4448-a5fb-28ea454417ee">Towens Of Weston Ltd</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Former Airfield 
Land Off A372 
Westonzoyland 
TA7 0JS</FacilityAddress>
  </documentManagement>
</p:properties>
</file>

<file path=customXml/itemProps1.xml><?xml version="1.0" encoding="utf-8"?>
<ds:datastoreItem xmlns:ds="http://schemas.openxmlformats.org/officeDocument/2006/customXml" ds:itemID="{435FA13B-EF91-4D6D-BBFB-0B3AEEA20708}">
  <ds:schemaRefs>
    <ds:schemaRef ds:uri="http://schemas.microsoft.com/sharepoint/v3/contenttype/forms"/>
  </ds:schemaRefs>
</ds:datastoreItem>
</file>

<file path=customXml/itemProps2.xml><?xml version="1.0" encoding="utf-8"?>
<ds:datastoreItem xmlns:ds="http://schemas.openxmlformats.org/officeDocument/2006/customXml" ds:itemID="{B0F5A834-4D5C-41AA-A63F-A2FE1CDC9C9A}">
  <ds:schemaRefs>
    <ds:schemaRef ds:uri="http://schemas.openxmlformats.org/officeDocument/2006/bibliography"/>
  </ds:schemaRefs>
</ds:datastoreItem>
</file>

<file path=customXml/itemProps3.xml><?xml version="1.0" encoding="utf-8"?>
<ds:datastoreItem xmlns:ds="http://schemas.openxmlformats.org/officeDocument/2006/customXml" ds:itemID="{90117547-55A8-4317-89C5-F3356A1E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1aa31260-4adf-4b11-80fb-5f1c7e811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88296-5270-468D-AAAE-9F5F8EF3F83A}">
  <ds:schemaRefs>
    <ds:schemaRef ds:uri="http://schemas.microsoft.com/office/2006/metadata/properties"/>
    <ds:schemaRef ds:uri="http://schemas.microsoft.com/office/infopath/2007/PartnerControls"/>
    <ds:schemaRef ds:uri="eebef177-55b5-4448-a5fb-28ea454417ee"/>
    <ds:schemaRef ds:uri="8595a0ec-c146-4eeb-925a-270f4bc4be63"/>
    <ds:schemaRef ds:uri="1aa31260-4adf-4b11-80fb-5f1c7e811fe3"/>
    <ds:schemaRef ds:uri="5ffd8e36-f429-4edc-ab50-c5be84842779"/>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2110</Words>
  <Characters>11345</Characters>
  <Application>Microsoft Office Word</Application>
  <DocSecurity>0</DocSecurity>
  <Lines>313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Trudy Anne Stones</cp:lastModifiedBy>
  <cp:revision>11</cp:revision>
  <cp:lastPrinted>2025-10-15T10:50:00Z</cp:lastPrinted>
  <dcterms:created xsi:type="dcterms:W3CDTF">2025-10-01T11:27:00Z</dcterms:created>
  <dcterms:modified xsi:type="dcterms:W3CDTF">2025-11-14T09:39:00Z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0x0101000E9AD557692E154F9D2697C8C6432F7600EB2BD8950964974589E8F296FF43FA9F</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44;#Bespoke|743fbb82-64b4-442a-8bac-afa632175399</vt:lpwstr>
  </property>
  <property fmtid="{D5CDD505-2E9C-101B-9397-08002B2CF9AE}" pid="6" name="DisclosureStatus">
    <vt:lpwstr>41;#Internal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22;#Waste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SysUpdateNoER">
    <vt:lpwstr>No</vt:lpwstr>
  </property>
</Properties>
</file>