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DCFDB" w14:textId="68C02D24" w:rsidR="00F15E5E" w:rsidRDefault="00B5692B" w:rsidP="0093611D">
      <w:pPr>
        <w:rPr>
          <w:b/>
          <w:bCs/>
          <w:sz w:val="28"/>
          <w:szCs w:val="28"/>
          <w:u w:val="single"/>
        </w:rPr>
      </w:pPr>
      <w:r w:rsidRPr="00F37C27">
        <w:rPr>
          <w:b/>
          <w:bCs/>
          <w:sz w:val="28"/>
          <w:szCs w:val="28"/>
          <w:u w:val="single"/>
        </w:rPr>
        <w:t>Packaging For Recycling/Reuse</w:t>
      </w:r>
    </w:p>
    <w:p w14:paraId="3F3C4074" w14:textId="77777777" w:rsidR="00F37C27" w:rsidRPr="00F37C27" w:rsidRDefault="00F37C27" w:rsidP="0093611D">
      <w:pPr>
        <w:rPr>
          <w:b/>
          <w:bCs/>
          <w:sz w:val="28"/>
          <w:szCs w:val="28"/>
          <w:u w:val="single"/>
        </w:rPr>
      </w:pPr>
    </w:p>
    <w:p w14:paraId="2BF13D2C" w14:textId="7542CEFD" w:rsidR="00B5692B" w:rsidRDefault="00B5692B" w:rsidP="0093611D">
      <w:r w:rsidRPr="00F37C27">
        <w:rPr>
          <w:b/>
          <w:bCs/>
        </w:rPr>
        <w:t>EWC</w:t>
      </w:r>
      <w:r w:rsidR="00F37C27" w:rsidRPr="00F37C27">
        <w:rPr>
          <w:b/>
          <w:bCs/>
        </w:rPr>
        <w:t>s Accepted</w:t>
      </w:r>
      <w:r>
        <w:t xml:space="preserve"> – 15-01-10*</w:t>
      </w:r>
      <w:r w:rsidR="001F7771">
        <w:t>, 150102, 150104</w:t>
      </w:r>
    </w:p>
    <w:p w14:paraId="353D46F9" w14:textId="020D339F" w:rsidR="00B5692B" w:rsidRDefault="00F37C27" w:rsidP="0093611D">
      <w:r w:rsidRPr="00F37C27">
        <w:rPr>
          <w:b/>
          <w:bCs/>
        </w:rPr>
        <w:t>Container Sizes</w:t>
      </w:r>
      <w:r w:rsidR="00B5692B">
        <w:t xml:space="preserve"> – IBCs, 25L, 60L, 120L, 205L, &lt;25L, &lt;1L only with prior consent and additional info supplier</w:t>
      </w:r>
    </w:p>
    <w:p w14:paraId="7B54CC38" w14:textId="16B893FA" w:rsidR="00B5692B" w:rsidRDefault="00B5692B" w:rsidP="0093611D">
      <w:r w:rsidRPr="00F37C27">
        <w:rPr>
          <w:b/>
          <w:bCs/>
        </w:rPr>
        <w:t xml:space="preserve">Conditions </w:t>
      </w:r>
      <w:r>
        <w:t>- &lt;1% contamination by volume, contaminants must be readily removable in aqueous conditions. No POPs, No Water/Air Reactive, Non</w:t>
      </w:r>
      <w:r w:rsidR="00B07B20">
        <w:t>-</w:t>
      </w:r>
      <w:r>
        <w:t>Highly Toxic, Non</w:t>
      </w:r>
      <w:r w:rsidR="00CB46C1">
        <w:t>-</w:t>
      </w:r>
      <w:r>
        <w:t>malodorous</w:t>
      </w:r>
      <w:r w:rsidR="00362BD5">
        <w:t>, no residues of prescribed substances</w:t>
      </w:r>
      <w:r w:rsidR="00F37C27">
        <w:t>, No</w:t>
      </w:r>
      <w:r w:rsidR="00F53D65">
        <w:t>-</w:t>
      </w:r>
      <w:r w:rsidR="00F37C27">
        <w:t>pressurised containers</w:t>
      </w:r>
      <w:r w:rsidR="004E7072">
        <w:t>, no metallic or fine organic powders that may present an explosion / reactivity hazard</w:t>
      </w:r>
      <w:r w:rsidR="00B07B20">
        <w:t>. Materials may be assessed upon receipt to confirm suitability by waste acceptance testing</w:t>
      </w:r>
      <w:r w:rsidR="00F53D65">
        <w:t xml:space="preserve"> through onsite laboratory or information on chemical composition</w:t>
      </w:r>
    </w:p>
    <w:p w14:paraId="1DE888DD" w14:textId="77777777" w:rsidR="004E7072" w:rsidRDefault="004E7072" w:rsidP="0093611D"/>
    <w:p w14:paraId="0B7CE67C" w14:textId="06F86A69" w:rsidR="00B5692B" w:rsidRDefault="00B5692B" w:rsidP="0093611D">
      <w:r w:rsidRPr="00F37C27">
        <w:rPr>
          <w:b/>
          <w:bCs/>
        </w:rPr>
        <w:t>Materials</w:t>
      </w:r>
      <w:r>
        <w:t xml:space="preserve"> – Plastic, Steel, Glass </w:t>
      </w:r>
    </w:p>
    <w:p w14:paraId="0316E21D" w14:textId="46DEA5FE" w:rsidR="00B5692B" w:rsidRDefault="00B5692B" w:rsidP="0093611D">
      <w:r w:rsidRPr="00F37C27">
        <w:rPr>
          <w:b/>
          <w:bCs/>
        </w:rPr>
        <w:t xml:space="preserve">HP Codes </w:t>
      </w:r>
      <w:r w:rsidR="00F37C27" w:rsidRPr="00F37C27">
        <w:rPr>
          <w:b/>
          <w:bCs/>
        </w:rPr>
        <w:t>Accepted</w:t>
      </w:r>
      <w:r w:rsidR="00F37C27">
        <w:t xml:space="preserve"> </w:t>
      </w:r>
      <w:r>
        <w:t>–</w:t>
      </w:r>
      <w:r w:rsidR="00CB46C1">
        <w:t xml:space="preserve"> HP2 (with pre-treatment), HP3 (with pre-treatment)</w:t>
      </w:r>
      <w:r>
        <w:t xml:space="preserve"> HP4, HP5, HP6 (cat 3,4 only), HP7, HP8, HP10, HP11, HP12, HP13, HP14, HP15</w:t>
      </w:r>
    </w:p>
    <w:p w14:paraId="4D827CD6" w14:textId="77777777" w:rsidR="00F37C27" w:rsidRDefault="00F37C27" w:rsidP="0093611D"/>
    <w:p w14:paraId="6E514B81" w14:textId="035C4E13" w:rsidR="00B5692B" w:rsidRPr="00F37C27" w:rsidRDefault="00362BD5" w:rsidP="0093611D">
      <w:pPr>
        <w:rPr>
          <w:b/>
          <w:bCs/>
        </w:rPr>
      </w:pPr>
      <w:r w:rsidRPr="00F37C27">
        <w:rPr>
          <w:b/>
          <w:bCs/>
        </w:rPr>
        <w:t xml:space="preserve">Hazard Statements </w:t>
      </w:r>
      <w:r w:rsidRPr="004E7072">
        <w:rPr>
          <w:b/>
          <w:bCs/>
          <w:u w:val="single"/>
        </w:rPr>
        <w:t>Unsuitable</w:t>
      </w:r>
      <w:r w:rsidRPr="00F37C27">
        <w:rPr>
          <w:b/>
          <w:bCs/>
        </w:rPr>
        <w:t xml:space="preserve"> for Treatment</w:t>
      </w:r>
      <w:r w:rsidR="00F37C27" w:rsidRPr="00F37C27">
        <w:rPr>
          <w:b/>
          <w:bCs/>
        </w:rPr>
        <w:t xml:space="preserve"> – Not accepted </w:t>
      </w:r>
      <w:r w:rsidR="00B07B20">
        <w:rPr>
          <w:b/>
          <w:bCs/>
        </w:rPr>
        <w:t xml:space="preserve">for </w:t>
      </w:r>
      <w:r w:rsidR="00F53D65">
        <w:rPr>
          <w:b/>
          <w:bCs/>
        </w:rPr>
        <w:t>Treatment</w:t>
      </w:r>
    </w:p>
    <w:p w14:paraId="7DE20109" w14:textId="4738D79F" w:rsidR="00362BD5" w:rsidRDefault="00362BD5" w:rsidP="0093611D">
      <w:r>
        <w:t>HP1 (or reactivity) – H200, H201, H202, H203, H204, H205</w:t>
      </w:r>
    </w:p>
    <w:p w14:paraId="4CBC951E" w14:textId="5DE02C75" w:rsidR="00CB46C1" w:rsidRDefault="00CB46C1" w:rsidP="00CB46C1">
      <w:r>
        <w:t>HP3 – H220, H221, H222, H223,</w:t>
      </w:r>
      <w:r w:rsidR="001E450F">
        <w:t xml:space="preserve"> H230, H231, H232,</w:t>
      </w:r>
      <w:r>
        <w:t xml:space="preserve"> H240, H241, H242, H250, H251, H260, H261</w:t>
      </w:r>
    </w:p>
    <w:p w14:paraId="7220F9CB" w14:textId="7C167784" w:rsidR="00F37C27" w:rsidRDefault="00F37C27" w:rsidP="0093611D">
      <w:r>
        <w:t>HP6 – H300, H310, H330</w:t>
      </w:r>
    </w:p>
    <w:p w14:paraId="04F3FC31" w14:textId="1E36D0C1" w:rsidR="00F53D65" w:rsidRDefault="00F53D65" w:rsidP="0093611D">
      <w:r>
        <w:t>Gases – H229, H280</w:t>
      </w:r>
    </w:p>
    <w:p w14:paraId="1645B35F" w14:textId="3379192F" w:rsidR="00F37C27" w:rsidRDefault="00F37C27" w:rsidP="0093611D">
      <w:r>
        <w:t>Supplemental Hazards – EUH001, EUH006, EUH014, EUH018, EUH029</w:t>
      </w:r>
    </w:p>
    <w:p w14:paraId="47C7E1A3" w14:textId="5A280194" w:rsidR="00CB46C1" w:rsidRDefault="00CB46C1" w:rsidP="0093611D"/>
    <w:p w14:paraId="78790CF4" w14:textId="2D349735" w:rsidR="00CB46C1" w:rsidRDefault="00CB46C1" w:rsidP="0093611D">
      <w:pPr>
        <w:rPr>
          <w:b/>
          <w:bCs/>
        </w:rPr>
      </w:pPr>
      <w:r>
        <w:rPr>
          <w:b/>
          <w:bCs/>
        </w:rPr>
        <w:t xml:space="preserve">Suitable for </w:t>
      </w:r>
      <w:r w:rsidR="00606647">
        <w:rPr>
          <w:b/>
          <w:bCs/>
        </w:rPr>
        <w:t>P</w:t>
      </w:r>
      <w:r>
        <w:rPr>
          <w:b/>
          <w:bCs/>
        </w:rPr>
        <w:t>re-treatment (see pre-treatment process)</w:t>
      </w:r>
    </w:p>
    <w:p w14:paraId="0528E5EB" w14:textId="77777777" w:rsidR="00F53D65" w:rsidRDefault="00F53D65" w:rsidP="0093611D">
      <w:pPr>
        <w:rPr>
          <w:b/>
          <w:bCs/>
        </w:rPr>
      </w:pPr>
    </w:p>
    <w:p w14:paraId="71604A1C" w14:textId="77777777" w:rsidR="00CB46C1" w:rsidRDefault="00CB46C1" w:rsidP="00CB46C1">
      <w:r>
        <w:t>HP2 – H270, H271, H272</w:t>
      </w:r>
    </w:p>
    <w:p w14:paraId="1607F761" w14:textId="685D073D" w:rsidR="00CB46C1" w:rsidRDefault="00CB46C1" w:rsidP="00CB46C1">
      <w:r>
        <w:t>HP3</w:t>
      </w:r>
      <w:r w:rsidR="00F53D65">
        <w:t xml:space="preserve"> -</w:t>
      </w:r>
      <w:r>
        <w:t xml:space="preserve"> H225, H226, H228, H242</w:t>
      </w:r>
    </w:p>
    <w:p w14:paraId="2F72FD0B" w14:textId="69625726" w:rsidR="00F53D65" w:rsidRDefault="00F53D65" w:rsidP="00CB46C1"/>
    <w:p w14:paraId="3F762623" w14:textId="22EDEC19" w:rsidR="00F37C27" w:rsidRDefault="004E7072" w:rsidP="0093611D">
      <w:pPr>
        <w:rPr>
          <w:b/>
          <w:bCs/>
        </w:rPr>
      </w:pPr>
      <w:r>
        <w:rPr>
          <w:b/>
          <w:bCs/>
        </w:rPr>
        <w:lastRenderedPageBreak/>
        <w:t>Pre-a</w:t>
      </w:r>
      <w:r w:rsidR="00F37C27">
        <w:rPr>
          <w:b/>
          <w:bCs/>
        </w:rPr>
        <w:t>cceptance checks</w:t>
      </w:r>
    </w:p>
    <w:p w14:paraId="1C873022" w14:textId="77777777" w:rsidR="00E65095" w:rsidRDefault="00E65095" w:rsidP="0093611D">
      <w:pPr>
        <w:rPr>
          <w:b/>
          <w:bCs/>
        </w:rPr>
      </w:pPr>
    </w:p>
    <w:p w14:paraId="7FF704E4" w14:textId="335EC8C0" w:rsidR="00F37C27" w:rsidRDefault="00F37C27" w:rsidP="0093611D">
      <w:r>
        <w:t>Material must be clearly labelled with nature of previous contents</w:t>
      </w:r>
      <w:r w:rsidR="004E7072">
        <w:t xml:space="preserve"> and full list supplied</w:t>
      </w:r>
      <w:r w:rsidR="00F12163">
        <w:t xml:space="preserve"> for technical assessment</w:t>
      </w:r>
      <w:r>
        <w:t>. Containers must be nominally empty. Material must be presented palletised or in suitable containers to enable offloading a forklift truck</w:t>
      </w:r>
    </w:p>
    <w:p w14:paraId="0DE3C4C0" w14:textId="07650B9B" w:rsidR="00F37C27" w:rsidRDefault="004E7072" w:rsidP="0093611D">
      <w:r>
        <w:t>Containers must have lids and be sealed if they contain any liquid residues</w:t>
      </w:r>
    </w:p>
    <w:p w14:paraId="751CE409" w14:textId="1F0BB40D" w:rsidR="0093611D" w:rsidRDefault="004E7072" w:rsidP="0093611D">
      <w:r>
        <w:t>Containers must be transported in accordance with ADR as appropriate</w:t>
      </w:r>
    </w:p>
    <w:p w14:paraId="1F071F2E" w14:textId="77777777" w:rsidR="001F7771" w:rsidRPr="0093611D" w:rsidRDefault="001F7771" w:rsidP="0093611D">
      <w:pPr>
        <w:rPr>
          <w:rFonts w:ascii="Calibri Light" w:eastAsia="Times New Roman" w:hAnsi="Calibri Light" w:cs="Calibri Light"/>
          <w:color w:val="000000"/>
          <w:sz w:val="32"/>
          <w:szCs w:val="32"/>
          <w:lang w:eastAsia="en-GB"/>
        </w:rPr>
      </w:pPr>
    </w:p>
    <w:p w14:paraId="315A5F8A" w14:textId="3491CFCA" w:rsidR="0093611D" w:rsidRDefault="00496F77" w:rsidP="0093611D">
      <w:pPr>
        <w:rPr>
          <w:b/>
          <w:bCs/>
        </w:rPr>
      </w:pPr>
      <w:r w:rsidRPr="00496F77">
        <w:rPr>
          <w:b/>
          <w:bCs/>
        </w:rPr>
        <w:t>Acceptance Checks</w:t>
      </w:r>
    </w:p>
    <w:p w14:paraId="58DD3C1E" w14:textId="3A582C88" w:rsidR="00496F77" w:rsidRDefault="00496F77" w:rsidP="0093611D">
      <w:pPr>
        <w:rPr>
          <w:b/>
          <w:bCs/>
        </w:rPr>
      </w:pPr>
    </w:p>
    <w:p w14:paraId="63B12AE1" w14:textId="629668B8" w:rsidR="00496F77" w:rsidRPr="00496F77" w:rsidRDefault="00496F77" w:rsidP="0093611D">
      <w:r>
        <w:t>Materials received are checked for compliance against pre-acceptance information supplied by customer against pre-acceptance information for suitability for washing process by site chemists. Any containers containing excess residues (&gt;1%) and quarantined and customer is informed. Any containers received falling outside of scope of pre-acceptance information are quarantined pending approval of suitability to process or routing to third party disposal site (such as Highly Toxic materials or pressurised containers). Materials with excess residues will be assessed in-line with site waste acceptance procedures and residues sampled to enable compliant disposal. Where containers are received without previous contents being identified these are quarantined pending supplementary information supplied by the customer.</w:t>
      </w:r>
    </w:p>
    <w:sectPr w:rsidR="00496F77" w:rsidRPr="00496F77" w:rsidSect="0058436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6D3A" w14:textId="77777777" w:rsidR="006F0D8D" w:rsidRDefault="006F0D8D" w:rsidP="00960AF7">
      <w:pPr>
        <w:spacing w:after="0" w:line="240" w:lineRule="auto"/>
      </w:pPr>
      <w:r>
        <w:separator/>
      </w:r>
    </w:p>
  </w:endnote>
  <w:endnote w:type="continuationSeparator" w:id="0">
    <w:p w14:paraId="2DC866CA" w14:textId="77777777" w:rsidR="006F0D8D" w:rsidRDefault="006F0D8D" w:rsidP="0096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792A4" w14:textId="77777777" w:rsidR="006F0D8D" w:rsidRDefault="006F0D8D" w:rsidP="00960AF7">
      <w:pPr>
        <w:spacing w:after="0" w:line="240" w:lineRule="auto"/>
      </w:pPr>
      <w:r>
        <w:separator/>
      </w:r>
    </w:p>
  </w:footnote>
  <w:footnote w:type="continuationSeparator" w:id="0">
    <w:p w14:paraId="24B7BB4F" w14:textId="77777777" w:rsidR="006F0D8D" w:rsidRDefault="006F0D8D" w:rsidP="00960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BC9A" w14:textId="77777777" w:rsidR="00B5692B" w:rsidRDefault="00CB07B9" w:rsidP="00CB07B9">
    <w:pPr>
      <w:rPr>
        <w:b/>
        <w:bCs/>
        <w:noProof/>
        <w:sz w:val="36"/>
        <w:lang w:eastAsia="en-GB"/>
      </w:rPr>
    </w:pPr>
    <w:r>
      <w:rPr>
        <w:b/>
        <w:bCs/>
        <w:noProof/>
        <w:sz w:val="36"/>
        <w:lang w:eastAsia="en-GB"/>
      </w:rPr>
      <w:drawing>
        <wp:anchor distT="0" distB="0" distL="114300" distR="114300" simplePos="0" relativeHeight="251659776" behindDoc="1" locked="0" layoutInCell="1" allowOverlap="1" wp14:anchorId="2627A86F" wp14:editId="1EAC8F7E">
          <wp:simplePos x="0" y="0"/>
          <wp:positionH relativeFrom="column">
            <wp:posOffset>4084320</wp:posOffset>
          </wp:positionH>
          <wp:positionV relativeFrom="paragraph">
            <wp:posOffset>-266065</wp:posOffset>
          </wp:positionV>
          <wp:extent cx="1645920" cy="732155"/>
          <wp:effectExtent l="0" t="0" r="0" b="0"/>
          <wp:wrapTight wrapText="bothSides">
            <wp:wrapPolygon edited="0">
              <wp:start x="0" y="0"/>
              <wp:lineTo x="0" y="20794"/>
              <wp:lineTo x="21250" y="20794"/>
              <wp:lineTo x="212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5920" cy="732155"/>
                  </a:xfrm>
                  <a:prstGeom prst="rect">
                    <a:avLst/>
                  </a:prstGeom>
                </pic:spPr>
              </pic:pic>
            </a:graphicData>
          </a:graphic>
          <wp14:sizeRelH relativeFrom="page">
            <wp14:pctWidth>0</wp14:pctWidth>
          </wp14:sizeRelH>
          <wp14:sizeRelV relativeFrom="page">
            <wp14:pctHeight>0</wp14:pctHeight>
          </wp14:sizeRelV>
        </wp:anchor>
      </w:drawing>
    </w:r>
    <w:bookmarkStart w:id="0" w:name="_Hlk45714638"/>
    <w:r w:rsidR="00B5692B">
      <w:rPr>
        <w:b/>
        <w:bCs/>
        <w:noProof/>
        <w:sz w:val="36"/>
        <w:lang w:eastAsia="en-GB"/>
      </w:rPr>
      <w:t>Hazardous Packaging Acceptance Criteria</w:t>
    </w:r>
  </w:p>
  <w:p w14:paraId="05506F15" w14:textId="307A8676" w:rsidR="00CB07B9" w:rsidRPr="0001697D" w:rsidRDefault="0001697D" w:rsidP="00CB07B9">
    <w:pPr>
      <w:rPr>
        <w:b/>
        <w:bCs/>
        <w:sz w:val="24"/>
        <w:szCs w:val="24"/>
      </w:rPr>
    </w:pPr>
    <w:r w:rsidRPr="0001697D">
      <w:rPr>
        <w:b/>
        <w:bCs/>
        <w:sz w:val="20"/>
        <w:szCs w:val="20"/>
      </w:rPr>
      <w:t>EPR/FP3599LH</w:t>
    </w:r>
    <w:r w:rsidR="00B5692B">
      <w:rPr>
        <w:b/>
        <w:bCs/>
        <w:sz w:val="20"/>
        <w:szCs w:val="20"/>
      </w:rPr>
      <w:t xml:space="preserve"> V.00</w:t>
    </w:r>
    <w:r w:rsidR="00F53D65">
      <w:rPr>
        <w:b/>
        <w:bCs/>
        <w:sz w:val="20"/>
        <w:szCs w:val="20"/>
      </w:rPr>
      <w:t>3 – 20-10-22</w:t>
    </w:r>
  </w:p>
  <w:bookmarkEnd w:id="0"/>
  <w:p w14:paraId="55E6BC04" w14:textId="76E0A3AA" w:rsidR="003F0A4B" w:rsidRPr="00960AF7" w:rsidRDefault="003F0A4B" w:rsidP="0093611D">
    <w:pPr>
      <w:spacing w:after="0" w:line="240" w:lineRule="auto"/>
      <w:ind w:left="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40C60"/>
    <w:multiLevelType w:val="hybridMultilevel"/>
    <w:tmpl w:val="D2D4AED4"/>
    <w:lvl w:ilvl="0" w:tplc="83E08952">
      <w:start w:val="1"/>
      <w:numFmt w:val="lowerLetter"/>
      <w:lvlText w:val="(%1)"/>
      <w:lvlJc w:val="left"/>
      <w:pPr>
        <w:tabs>
          <w:tab w:val="num" w:pos="502"/>
        </w:tabs>
        <w:ind w:left="502" w:hanging="360"/>
      </w:pPr>
      <w:rPr>
        <w:rFonts w:hint="default"/>
        <w:b w:val="0"/>
        <w:bCs w:val="0"/>
        <w:sz w:val="16"/>
        <w:szCs w:val="1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4F72C62"/>
    <w:multiLevelType w:val="hybridMultilevel"/>
    <w:tmpl w:val="C778C1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F7043F"/>
    <w:multiLevelType w:val="hybridMultilevel"/>
    <w:tmpl w:val="B00A2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7057695">
    <w:abstractNumId w:val="1"/>
  </w:num>
  <w:num w:numId="2" w16cid:durableId="152765740">
    <w:abstractNumId w:val="2"/>
  </w:num>
  <w:num w:numId="3" w16cid:durableId="58133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F7"/>
    <w:rsid w:val="0001697D"/>
    <w:rsid w:val="0006440D"/>
    <w:rsid w:val="000B5E66"/>
    <w:rsid w:val="000B5F34"/>
    <w:rsid w:val="000E23CA"/>
    <w:rsid w:val="000F3206"/>
    <w:rsid w:val="001207E8"/>
    <w:rsid w:val="001213F6"/>
    <w:rsid w:val="00142A40"/>
    <w:rsid w:val="00161068"/>
    <w:rsid w:val="001E450F"/>
    <w:rsid w:val="001E46F9"/>
    <w:rsid w:val="001F7771"/>
    <w:rsid w:val="0026040C"/>
    <w:rsid w:val="00266BC1"/>
    <w:rsid w:val="002879AF"/>
    <w:rsid w:val="00297384"/>
    <w:rsid w:val="002A7604"/>
    <w:rsid w:val="002B187B"/>
    <w:rsid w:val="00362BD5"/>
    <w:rsid w:val="003E142D"/>
    <w:rsid w:val="003F0A4B"/>
    <w:rsid w:val="00446D89"/>
    <w:rsid w:val="00457B3A"/>
    <w:rsid w:val="00471963"/>
    <w:rsid w:val="00496F77"/>
    <w:rsid w:val="004970AE"/>
    <w:rsid w:val="004E7072"/>
    <w:rsid w:val="0058436F"/>
    <w:rsid w:val="005B3691"/>
    <w:rsid w:val="005B4A00"/>
    <w:rsid w:val="005E5010"/>
    <w:rsid w:val="00606231"/>
    <w:rsid w:val="00606647"/>
    <w:rsid w:val="00646AA1"/>
    <w:rsid w:val="006560F6"/>
    <w:rsid w:val="00661229"/>
    <w:rsid w:val="00685FE4"/>
    <w:rsid w:val="006B365C"/>
    <w:rsid w:val="006B6C42"/>
    <w:rsid w:val="006C183D"/>
    <w:rsid w:val="006D18F6"/>
    <w:rsid w:val="006F0D8D"/>
    <w:rsid w:val="007113C1"/>
    <w:rsid w:val="00737B25"/>
    <w:rsid w:val="00765B47"/>
    <w:rsid w:val="00776946"/>
    <w:rsid w:val="007D689C"/>
    <w:rsid w:val="007E4073"/>
    <w:rsid w:val="008060C7"/>
    <w:rsid w:val="00812ECA"/>
    <w:rsid w:val="00862E59"/>
    <w:rsid w:val="00864BC2"/>
    <w:rsid w:val="00865D7B"/>
    <w:rsid w:val="008A1676"/>
    <w:rsid w:val="008A21EA"/>
    <w:rsid w:val="008C3E89"/>
    <w:rsid w:val="00902AE5"/>
    <w:rsid w:val="00916396"/>
    <w:rsid w:val="0093611D"/>
    <w:rsid w:val="00940758"/>
    <w:rsid w:val="0095697D"/>
    <w:rsid w:val="009569F2"/>
    <w:rsid w:val="00960AF7"/>
    <w:rsid w:val="00990FD0"/>
    <w:rsid w:val="00A96DF0"/>
    <w:rsid w:val="00AB7474"/>
    <w:rsid w:val="00AC6983"/>
    <w:rsid w:val="00B07B20"/>
    <w:rsid w:val="00B10650"/>
    <w:rsid w:val="00B12B82"/>
    <w:rsid w:val="00B5692B"/>
    <w:rsid w:val="00B57A7B"/>
    <w:rsid w:val="00B63016"/>
    <w:rsid w:val="00B8400B"/>
    <w:rsid w:val="00B858CB"/>
    <w:rsid w:val="00B97AAF"/>
    <w:rsid w:val="00C067B9"/>
    <w:rsid w:val="00C07687"/>
    <w:rsid w:val="00C47B13"/>
    <w:rsid w:val="00CA572F"/>
    <w:rsid w:val="00CB07B9"/>
    <w:rsid w:val="00CB46C1"/>
    <w:rsid w:val="00CD7D73"/>
    <w:rsid w:val="00CE2673"/>
    <w:rsid w:val="00CE3ABC"/>
    <w:rsid w:val="00D01AFE"/>
    <w:rsid w:val="00D043EA"/>
    <w:rsid w:val="00D13842"/>
    <w:rsid w:val="00D36F6F"/>
    <w:rsid w:val="00D72A6E"/>
    <w:rsid w:val="00DA41CA"/>
    <w:rsid w:val="00DB2850"/>
    <w:rsid w:val="00E65095"/>
    <w:rsid w:val="00EA0763"/>
    <w:rsid w:val="00EA0CCE"/>
    <w:rsid w:val="00EE55AF"/>
    <w:rsid w:val="00F12163"/>
    <w:rsid w:val="00F15E5E"/>
    <w:rsid w:val="00F1722B"/>
    <w:rsid w:val="00F31106"/>
    <w:rsid w:val="00F37C27"/>
    <w:rsid w:val="00F53D65"/>
    <w:rsid w:val="00F93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5050C"/>
  <w15:docId w15:val="{DDE7404E-F308-462C-8F82-A3713974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A1"/>
  </w:style>
  <w:style w:type="paragraph" w:styleId="Heading1">
    <w:name w:val="heading 1"/>
    <w:basedOn w:val="Normal"/>
    <w:next w:val="Normal"/>
    <w:link w:val="Heading1Char"/>
    <w:qFormat/>
    <w:rsid w:val="00266BC1"/>
    <w:pPr>
      <w:keepNext/>
      <w:spacing w:after="0" w:line="240" w:lineRule="auto"/>
      <w:outlineLvl w:val="0"/>
    </w:pPr>
    <w:rPr>
      <w:rFonts w:ascii="Tahoma" w:eastAsia="Times New Roman" w:hAnsi="Tahoma" w:cs="Tahoma"/>
      <w:b/>
      <w:bCs/>
      <w:sz w:val="16"/>
      <w:szCs w:val="24"/>
    </w:rPr>
  </w:style>
  <w:style w:type="paragraph" w:styleId="Heading2">
    <w:name w:val="heading 2"/>
    <w:basedOn w:val="Normal"/>
    <w:next w:val="Normal"/>
    <w:link w:val="Heading2Char"/>
    <w:qFormat/>
    <w:rsid w:val="001207E8"/>
    <w:pPr>
      <w:keepNext/>
      <w:spacing w:after="0" w:line="240" w:lineRule="auto"/>
      <w:ind w:right="-108"/>
      <w:outlineLvl w:val="1"/>
    </w:pPr>
    <w:rPr>
      <w:rFonts w:ascii="Tahoma" w:eastAsia="Times New Roman" w:hAnsi="Tahoma" w:cs="Tahoma"/>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AF7"/>
  </w:style>
  <w:style w:type="paragraph" w:styleId="Footer">
    <w:name w:val="footer"/>
    <w:basedOn w:val="Normal"/>
    <w:link w:val="FooterChar"/>
    <w:uiPriority w:val="99"/>
    <w:unhideWhenUsed/>
    <w:rsid w:val="00960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AF7"/>
  </w:style>
  <w:style w:type="paragraph" w:styleId="BalloonText">
    <w:name w:val="Balloon Text"/>
    <w:basedOn w:val="Normal"/>
    <w:link w:val="BalloonTextChar"/>
    <w:uiPriority w:val="99"/>
    <w:semiHidden/>
    <w:unhideWhenUsed/>
    <w:rsid w:val="00960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AF7"/>
    <w:rPr>
      <w:rFonts w:ascii="Tahoma" w:hAnsi="Tahoma" w:cs="Tahoma"/>
      <w:sz w:val="16"/>
      <w:szCs w:val="16"/>
    </w:rPr>
  </w:style>
  <w:style w:type="table" w:styleId="TableGrid">
    <w:name w:val="Table Grid"/>
    <w:basedOn w:val="TableNormal"/>
    <w:uiPriority w:val="59"/>
    <w:rsid w:val="00A96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22B"/>
    <w:pPr>
      <w:ind w:left="720"/>
      <w:contextualSpacing/>
    </w:pPr>
  </w:style>
  <w:style w:type="character" w:styleId="PlaceholderText">
    <w:name w:val="Placeholder Text"/>
    <w:basedOn w:val="DefaultParagraphFont"/>
    <w:uiPriority w:val="99"/>
    <w:semiHidden/>
    <w:rsid w:val="00864BC2"/>
    <w:rPr>
      <w:color w:val="808080"/>
    </w:rPr>
  </w:style>
  <w:style w:type="character" w:customStyle="1" w:styleId="Heading1Char">
    <w:name w:val="Heading 1 Char"/>
    <w:basedOn w:val="DefaultParagraphFont"/>
    <w:link w:val="Heading1"/>
    <w:rsid w:val="00266BC1"/>
    <w:rPr>
      <w:rFonts w:ascii="Tahoma" w:eastAsia="Times New Roman" w:hAnsi="Tahoma" w:cs="Tahoma"/>
      <w:b/>
      <w:bCs/>
      <w:sz w:val="16"/>
      <w:szCs w:val="24"/>
    </w:rPr>
  </w:style>
  <w:style w:type="character" w:styleId="Hyperlink">
    <w:name w:val="Hyperlink"/>
    <w:basedOn w:val="DefaultParagraphFont"/>
    <w:semiHidden/>
    <w:rsid w:val="00CE3ABC"/>
    <w:rPr>
      <w:color w:val="0000FF"/>
      <w:u w:val="single"/>
    </w:rPr>
  </w:style>
  <w:style w:type="character" w:customStyle="1" w:styleId="Heading2Char">
    <w:name w:val="Heading 2 Char"/>
    <w:basedOn w:val="DefaultParagraphFont"/>
    <w:link w:val="Heading2"/>
    <w:rsid w:val="001207E8"/>
    <w:rPr>
      <w:rFonts w:ascii="Tahoma" w:eastAsia="Times New Roman" w:hAnsi="Tahoma" w:cs="Tahoma"/>
      <w:b/>
      <w:b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91376">
      <w:bodyDiv w:val="1"/>
      <w:marLeft w:val="0"/>
      <w:marRight w:val="0"/>
      <w:marTop w:val="0"/>
      <w:marBottom w:val="0"/>
      <w:divBdr>
        <w:top w:val="none" w:sz="0" w:space="0" w:color="auto"/>
        <w:left w:val="none" w:sz="0" w:space="0" w:color="auto"/>
        <w:bottom w:val="none" w:sz="0" w:space="0" w:color="auto"/>
        <w:right w:val="none" w:sz="0" w:space="0" w:color="auto"/>
      </w:divBdr>
    </w:div>
    <w:div w:id="6685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Props1.xml><?xml version="1.0" encoding="utf-8"?>
<ds:datastoreItem xmlns:ds="http://schemas.openxmlformats.org/officeDocument/2006/customXml" ds:itemID="{9A8FF2C1-30CD-46D2-A47D-3901F6C410C3}">
  <ds:schemaRefs>
    <ds:schemaRef ds:uri="http://schemas.openxmlformats.org/officeDocument/2006/bibliography"/>
  </ds:schemaRefs>
</ds:datastoreItem>
</file>

<file path=customXml/itemProps2.xml><?xml version="1.0" encoding="utf-8"?>
<ds:datastoreItem xmlns:ds="http://schemas.openxmlformats.org/officeDocument/2006/customXml" ds:itemID="{B026D938-D6D1-45BD-90A7-F614287B4067}"/>
</file>

<file path=customXml/itemProps3.xml><?xml version="1.0" encoding="utf-8"?>
<ds:datastoreItem xmlns:ds="http://schemas.openxmlformats.org/officeDocument/2006/customXml" ds:itemID="{43A3AF8D-3C2B-4FF3-8940-E33C6EC16E92}"/>
</file>

<file path=customXml/itemProps4.xml><?xml version="1.0" encoding="utf-8"?>
<ds:datastoreItem xmlns:ds="http://schemas.openxmlformats.org/officeDocument/2006/customXml" ds:itemID="{A3999F51-D1C1-4D8A-981C-314F2688369D}"/>
</file>

<file path=docProps/app.xml><?xml version="1.0" encoding="utf-8"?>
<Properties xmlns="http://schemas.openxmlformats.org/officeDocument/2006/extended-properties" xmlns:vt="http://schemas.openxmlformats.org/officeDocument/2006/docPropsVTypes">
  <Template>Normal</Template>
  <TotalTime>11</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ammar.maqsood</dc:creator>
  <cp:lastModifiedBy>Stuart McNish</cp:lastModifiedBy>
  <cp:revision>6</cp:revision>
  <cp:lastPrinted>2015-08-04T15:01:00Z</cp:lastPrinted>
  <dcterms:created xsi:type="dcterms:W3CDTF">2022-10-25T11:06:00Z</dcterms:created>
  <dcterms:modified xsi:type="dcterms:W3CDTF">2022-10-25T12:04:00Z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38;#Installations|645f1c9c-65df-490a-9ce3-4a2aa7c5ff7f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