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DBBE" w14:textId="77777777" w:rsidR="00E5611A" w:rsidRPr="00822C69" w:rsidRDefault="00E5611A">
      <w:pPr>
        <w:tabs>
          <w:tab w:val="left" w:pos="5040"/>
          <w:tab w:val="left" w:pos="5760"/>
          <w:tab w:val="left" w:pos="6480"/>
          <w:tab w:val="left" w:pos="6840"/>
        </w:tabs>
        <w:rPr>
          <w:rFonts w:ascii="Arial" w:hAnsi="Arial" w:cs="Arial"/>
        </w:rPr>
      </w:pPr>
      <w:r w:rsidRPr="00822C69">
        <w:rPr>
          <w:rFonts w:ascii="Arial" w:hAnsi="Arial" w:cs="Arial"/>
        </w:rPr>
        <w:tab/>
      </w:r>
    </w:p>
    <w:p w14:paraId="594AFB72" w14:textId="77777777" w:rsidR="006E2414" w:rsidRDefault="006E2414">
      <w:pPr>
        <w:pStyle w:val="Heading1"/>
        <w:rPr>
          <w:rFonts w:ascii="Arial" w:hAnsi="Arial" w:cs="Arial"/>
          <w:sz w:val="20"/>
        </w:rPr>
      </w:pPr>
      <w:r>
        <w:rPr>
          <w:rFonts w:ascii="Arial" w:hAnsi="Arial" w:cs="Arial"/>
          <w:sz w:val="20"/>
        </w:rPr>
        <w:t xml:space="preserve">QCP 5.08 CBE </w:t>
      </w:r>
    </w:p>
    <w:p w14:paraId="5FA1E5AF" w14:textId="0C9F60A3" w:rsidR="00E5611A" w:rsidRPr="00822C69" w:rsidRDefault="002A6A14">
      <w:pPr>
        <w:pStyle w:val="Heading1"/>
        <w:rPr>
          <w:rFonts w:ascii="Arial" w:hAnsi="Arial" w:cs="Arial"/>
          <w:b w:val="0"/>
          <w:sz w:val="20"/>
        </w:rPr>
      </w:pPr>
      <w:r w:rsidRPr="00822C69">
        <w:rPr>
          <w:rFonts w:ascii="Arial" w:hAnsi="Arial" w:cs="Arial"/>
          <w:sz w:val="20"/>
        </w:rPr>
        <w:t>SITE CLOSURE PLAN</w:t>
      </w:r>
    </w:p>
    <w:p w14:paraId="60F5465C" w14:textId="77777777" w:rsidR="00E5611A" w:rsidRPr="00822C69" w:rsidRDefault="00E5611A">
      <w:pPr>
        <w:numPr>
          <w:ilvl w:val="0"/>
          <w:numId w:val="1"/>
        </w:numPr>
        <w:tabs>
          <w:tab w:val="left" w:pos="720"/>
          <w:tab w:val="left" w:pos="5760"/>
          <w:tab w:val="left" w:pos="6480"/>
          <w:tab w:val="left" w:pos="6840"/>
        </w:tabs>
        <w:ind w:hanging="1080"/>
        <w:rPr>
          <w:rFonts w:ascii="Arial" w:hAnsi="Arial" w:cs="Arial"/>
          <w:u w:val="single"/>
        </w:rPr>
      </w:pPr>
      <w:r w:rsidRPr="00822C69">
        <w:rPr>
          <w:rFonts w:ascii="Arial" w:hAnsi="Arial" w:cs="Arial"/>
          <w:u w:val="single"/>
        </w:rPr>
        <w:t>Objective</w:t>
      </w:r>
    </w:p>
    <w:p w14:paraId="3C9924D1" w14:textId="77777777" w:rsidR="00E5611A" w:rsidRPr="00822C69" w:rsidRDefault="00E5611A">
      <w:pPr>
        <w:tabs>
          <w:tab w:val="left" w:pos="720"/>
          <w:tab w:val="left" w:pos="5760"/>
          <w:tab w:val="left" w:pos="6480"/>
          <w:tab w:val="left" w:pos="6840"/>
        </w:tabs>
        <w:rPr>
          <w:rFonts w:ascii="Arial" w:hAnsi="Arial" w:cs="Arial"/>
          <w:u w:val="single"/>
        </w:rPr>
      </w:pPr>
    </w:p>
    <w:p w14:paraId="5A264742" w14:textId="60F7AA48" w:rsidR="00D827D1" w:rsidRPr="00822C69" w:rsidRDefault="00D827D1" w:rsidP="00D827D1">
      <w:pPr>
        <w:pStyle w:val="ListParagraph"/>
        <w:ind w:left="709"/>
        <w:jc w:val="both"/>
        <w:rPr>
          <w:rFonts w:ascii="Arial" w:hAnsi="Arial" w:cs="Arial"/>
        </w:rPr>
      </w:pPr>
      <w:r w:rsidRPr="00822C69">
        <w:rPr>
          <w:rFonts w:ascii="Arial" w:hAnsi="Arial" w:cs="Arial"/>
        </w:rPr>
        <w:t xml:space="preserve">To set out the </w:t>
      </w:r>
      <w:r w:rsidR="00D10A82" w:rsidRPr="00822C69">
        <w:rPr>
          <w:rFonts w:ascii="Arial" w:hAnsi="Arial" w:cs="Arial"/>
        </w:rPr>
        <w:t xml:space="preserve">environmental considerations to be taken into account to </w:t>
      </w:r>
      <w:r w:rsidR="00563E77">
        <w:rPr>
          <w:rFonts w:ascii="Arial" w:hAnsi="Arial" w:cs="Arial"/>
        </w:rPr>
        <w:t>EPR</w:t>
      </w:r>
      <w:r w:rsidR="00D10A82" w:rsidRPr="00822C69">
        <w:rPr>
          <w:rFonts w:ascii="Arial" w:hAnsi="Arial" w:cs="Arial"/>
        </w:rPr>
        <w:t xml:space="preserve"> Permit requirements in the event of future permit surrender, site decommissioning or closure</w:t>
      </w:r>
      <w:r w:rsidRPr="00822C69">
        <w:rPr>
          <w:rFonts w:ascii="Arial" w:hAnsi="Arial" w:cs="Arial"/>
        </w:rPr>
        <w:t>.</w:t>
      </w:r>
    </w:p>
    <w:p w14:paraId="098886F2" w14:textId="77777777" w:rsidR="00E5611A" w:rsidRPr="00822C69" w:rsidRDefault="00E5611A">
      <w:pPr>
        <w:tabs>
          <w:tab w:val="left" w:pos="720"/>
          <w:tab w:val="left" w:pos="5760"/>
          <w:tab w:val="left" w:pos="6480"/>
          <w:tab w:val="left" w:pos="6840"/>
        </w:tabs>
        <w:ind w:left="720"/>
        <w:rPr>
          <w:rFonts w:ascii="Arial" w:hAnsi="Arial" w:cs="Arial"/>
        </w:rPr>
      </w:pPr>
    </w:p>
    <w:p w14:paraId="55ADAED4" w14:textId="77777777" w:rsidR="00E5611A" w:rsidRPr="00822C69" w:rsidRDefault="00E5611A">
      <w:pPr>
        <w:numPr>
          <w:ilvl w:val="0"/>
          <w:numId w:val="1"/>
        </w:numPr>
        <w:tabs>
          <w:tab w:val="left" w:pos="720"/>
          <w:tab w:val="left" w:pos="5760"/>
          <w:tab w:val="left" w:pos="6480"/>
          <w:tab w:val="left" w:pos="6840"/>
        </w:tabs>
        <w:ind w:hanging="1080"/>
        <w:rPr>
          <w:rFonts w:ascii="Arial" w:hAnsi="Arial" w:cs="Arial"/>
          <w:u w:val="single"/>
        </w:rPr>
      </w:pPr>
      <w:r w:rsidRPr="00822C69">
        <w:rPr>
          <w:rFonts w:ascii="Arial" w:hAnsi="Arial" w:cs="Arial"/>
          <w:u w:val="single"/>
        </w:rPr>
        <w:t>Scope</w:t>
      </w:r>
    </w:p>
    <w:p w14:paraId="0318EEB5" w14:textId="77777777" w:rsidR="00E5611A" w:rsidRPr="00822C69" w:rsidRDefault="00E5611A">
      <w:pPr>
        <w:tabs>
          <w:tab w:val="left" w:pos="720"/>
          <w:tab w:val="left" w:pos="5760"/>
          <w:tab w:val="left" w:pos="6480"/>
          <w:tab w:val="left" w:pos="6840"/>
        </w:tabs>
        <w:rPr>
          <w:rFonts w:ascii="Arial" w:hAnsi="Arial" w:cs="Arial"/>
          <w:u w:val="single"/>
        </w:rPr>
      </w:pPr>
    </w:p>
    <w:p w14:paraId="6E8A5A9C" w14:textId="036A00D5" w:rsidR="00E5611A" w:rsidRPr="00822C69" w:rsidRDefault="00E5611A">
      <w:pPr>
        <w:pStyle w:val="BodyTextIndent2"/>
        <w:rPr>
          <w:rFonts w:ascii="Arial" w:hAnsi="Arial" w:cs="Arial"/>
          <w:sz w:val="20"/>
        </w:rPr>
      </w:pPr>
      <w:r w:rsidRPr="00822C69">
        <w:rPr>
          <w:rFonts w:ascii="Arial" w:hAnsi="Arial" w:cs="Arial"/>
          <w:sz w:val="20"/>
        </w:rPr>
        <w:tab/>
        <w:t xml:space="preserve">This procedure </w:t>
      </w:r>
      <w:r w:rsidR="00D827D1" w:rsidRPr="00822C69">
        <w:rPr>
          <w:rFonts w:ascii="Arial" w:hAnsi="Arial" w:cs="Arial"/>
          <w:sz w:val="20"/>
        </w:rPr>
        <w:t>covers all elements of</w:t>
      </w:r>
      <w:r w:rsidR="00822C69" w:rsidRPr="00822C69">
        <w:rPr>
          <w:rFonts w:ascii="Arial" w:hAnsi="Arial" w:cs="Arial"/>
          <w:sz w:val="20"/>
        </w:rPr>
        <w:t xml:space="preserve"> </w:t>
      </w:r>
      <w:r w:rsidR="004E2DEC">
        <w:rPr>
          <w:rFonts w:ascii="Arial" w:hAnsi="Arial" w:cs="Arial"/>
          <w:sz w:val="20"/>
        </w:rPr>
        <w:t>CBE+</w:t>
      </w:r>
      <w:r w:rsidR="00822C69" w:rsidRPr="00822C69">
        <w:rPr>
          <w:rFonts w:ascii="Arial" w:hAnsi="Arial" w:cs="Arial"/>
          <w:sz w:val="20"/>
        </w:rPr>
        <w:t xml:space="preserve"> </w:t>
      </w:r>
      <w:r w:rsidR="00D827D1" w:rsidRPr="00822C69">
        <w:rPr>
          <w:rFonts w:ascii="Arial" w:hAnsi="Arial" w:cs="Arial"/>
          <w:sz w:val="20"/>
        </w:rPr>
        <w:t>activities, products or services that interact or can interact with the environment and fall within the scope of the EMS as set out in the Environment Manual</w:t>
      </w:r>
      <w:r w:rsidRPr="00822C69">
        <w:rPr>
          <w:rFonts w:ascii="Arial" w:hAnsi="Arial" w:cs="Arial"/>
          <w:sz w:val="20"/>
        </w:rPr>
        <w:t>.</w:t>
      </w:r>
    </w:p>
    <w:p w14:paraId="4CC3101B" w14:textId="77777777" w:rsidR="00E5611A" w:rsidRPr="00822C69" w:rsidRDefault="00E5611A">
      <w:pPr>
        <w:tabs>
          <w:tab w:val="left" w:pos="720"/>
          <w:tab w:val="left" w:pos="5760"/>
          <w:tab w:val="left" w:pos="6480"/>
          <w:tab w:val="left" w:pos="6840"/>
        </w:tabs>
        <w:ind w:left="720" w:hanging="720"/>
        <w:rPr>
          <w:rFonts w:ascii="Arial" w:hAnsi="Arial" w:cs="Arial"/>
        </w:rPr>
      </w:pPr>
    </w:p>
    <w:p w14:paraId="724DA8E8" w14:textId="77777777" w:rsidR="00E5611A" w:rsidRPr="00822C69" w:rsidRDefault="00E5611A">
      <w:pPr>
        <w:numPr>
          <w:ilvl w:val="0"/>
          <w:numId w:val="1"/>
        </w:numPr>
        <w:tabs>
          <w:tab w:val="left" w:pos="720"/>
          <w:tab w:val="left" w:pos="5760"/>
          <w:tab w:val="left" w:pos="6480"/>
          <w:tab w:val="left" w:pos="6840"/>
        </w:tabs>
        <w:ind w:hanging="1080"/>
        <w:rPr>
          <w:rFonts w:ascii="Arial" w:hAnsi="Arial" w:cs="Arial"/>
          <w:u w:val="single"/>
        </w:rPr>
      </w:pPr>
      <w:r w:rsidRPr="00822C69">
        <w:rPr>
          <w:rFonts w:ascii="Arial" w:hAnsi="Arial" w:cs="Arial"/>
          <w:u w:val="single"/>
        </w:rPr>
        <w:t>Responsibility</w:t>
      </w:r>
    </w:p>
    <w:p w14:paraId="2855C8F7" w14:textId="77777777" w:rsidR="00E5611A" w:rsidRPr="00822C69" w:rsidRDefault="00E5611A">
      <w:pPr>
        <w:tabs>
          <w:tab w:val="left" w:pos="720"/>
          <w:tab w:val="left" w:pos="5760"/>
          <w:tab w:val="left" w:pos="6480"/>
          <w:tab w:val="left" w:pos="6840"/>
        </w:tabs>
        <w:rPr>
          <w:rFonts w:ascii="Arial" w:hAnsi="Arial" w:cs="Arial"/>
          <w:u w:val="single"/>
        </w:rPr>
      </w:pPr>
    </w:p>
    <w:p w14:paraId="7E0B68CB" w14:textId="77777777" w:rsidR="00E5611A" w:rsidRPr="00822C69" w:rsidRDefault="00E5611A">
      <w:pPr>
        <w:numPr>
          <w:ilvl w:val="1"/>
          <w:numId w:val="1"/>
        </w:numPr>
        <w:tabs>
          <w:tab w:val="clear" w:pos="1080"/>
          <w:tab w:val="num" w:pos="720"/>
          <w:tab w:val="left" w:pos="5760"/>
          <w:tab w:val="left" w:pos="6480"/>
          <w:tab w:val="left" w:pos="6840"/>
        </w:tabs>
        <w:ind w:left="720"/>
        <w:rPr>
          <w:rFonts w:ascii="Arial" w:hAnsi="Arial" w:cs="Arial"/>
        </w:rPr>
      </w:pPr>
      <w:r w:rsidRPr="00822C69">
        <w:rPr>
          <w:rFonts w:ascii="Arial" w:hAnsi="Arial" w:cs="Arial"/>
        </w:rPr>
        <w:t xml:space="preserve">The Management Representative has overall responsibility for </w:t>
      </w:r>
      <w:r w:rsidR="00D827D1" w:rsidRPr="00822C69">
        <w:rPr>
          <w:rFonts w:ascii="Arial" w:hAnsi="Arial" w:cs="Arial"/>
        </w:rPr>
        <w:t xml:space="preserve">ensuring </w:t>
      </w:r>
      <w:r w:rsidR="00D10A82" w:rsidRPr="00822C69">
        <w:rPr>
          <w:rFonts w:ascii="Arial" w:hAnsi="Arial" w:cs="Arial"/>
        </w:rPr>
        <w:t>the Site Closure Plan is taken into account in planning of any future site closure</w:t>
      </w:r>
      <w:r w:rsidRPr="00822C69">
        <w:rPr>
          <w:rFonts w:ascii="Arial" w:hAnsi="Arial" w:cs="Arial"/>
        </w:rPr>
        <w:t>.</w:t>
      </w:r>
    </w:p>
    <w:p w14:paraId="16C03560" w14:textId="77777777" w:rsidR="00E5611A" w:rsidRPr="00822C69" w:rsidRDefault="00E5611A">
      <w:pPr>
        <w:tabs>
          <w:tab w:val="left" w:pos="720"/>
          <w:tab w:val="left" w:pos="5760"/>
          <w:tab w:val="left" w:pos="6480"/>
          <w:tab w:val="left" w:pos="6840"/>
        </w:tabs>
        <w:ind w:left="360"/>
        <w:rPr>
          <w:rFonts w:ascii="Arial" w:hAnsi="Arial" w:cs="Arial"/>
        </w:rPr>
      </w:pPr>
    </w:p>
    <w:p w14:paraId="66CC60A4" w14:textId="77777777" w:rsidR="00E5611A" w:rsidRPr="00822C69" w:rsidRDefault="00E5611A" w:rsidP="00CE5195">
      <w:pPr>
        <w:numPr>
          <w:ilvl w:val="1"/>
          <w:numId w:val="1"/>
        </w:numPr>
        <w:tabs>
          <w:tab w:val="clear" w:pos="1080"/>
          <w:tab w:val="num" w:pos="720"/>
          <w:tab w:val="left" w:pos="5760"/>
          <w:tab w:val="left" w:pos="6480"/>
          <w:tab w:val="left" w:pos="6840"/>
        </w:tabs>
        <w:ind w:left="720"/>
        <w:rPr>
          <w:rFonts w:ascii="Arial" w:hAnsi="Arial" w:cs="Arial"/>
        </w:rPr>
      </w:pPr>
      <w:r w:rsidRPr="00822C69">
        <w:rPr>
          <w:rFonts w:ascii="Arial" w:hAnsi="Arial" w:cs="Arial"/>
        </w:rPr>
        <w:t xml:space="preserve">Individual Departmental Managers/ Directors have the responsibility within their own departments for the </w:t>
      </w:r>
      <w:r w:rsidR="00D827D1" w:rsidRPr="00822C69">
        <w:rPr>
          <w:rFonts w:ascii="Arial" w:hAnsi="Arial" w:cs="Arial"/>
        </w:rPr>
        <w:t xml:space="preserve">identification and management of environmental </w:t>
      </w:r>
      <w:r w:rsidR="00D10A82" w:rsidRPr="00822C69">
        <w:rPr>
          <w:rFonts w:ascii="Arial" w:hAnsi="Arial" w:cs="Arial"/>
        </w:rPr>
        <w:t>impacts of elements of decommissioning under their control</w:t>
      </w:r>
      <w:r w:rsidR="006E57E2" w:rsidRPr="00822C69">
        <w:rPr>
          <w:rFonts w:ascii="Arial" w:hAnsi="Arial" w:cs="Arial"/>
        </w:rPr>
        <w:t>.</w:t>
      </w:r>
    </w:p>
    <w:p w14:paraId="49A45955" w14:textId="77777777" w:rsidR="00CE5195" w:rsidRPr="00822C69" w:rsidRDefault="00CE5195" w:rsidP="00CE5195">
      <w:pPr>
        <w:pStyle w:val="ListParagraph"/>
        <w:rPr>
          <w:rFonts w:ascii="Arial" w:hAnsi="Arial" w:cs="Arial"/>
        </w:rPr>
      </w:pPr>
    </w:p>
    <w:p w14:paraId="4103DEFB" w14:textId="77777777" w:rsidR="00CE5195" w:rsidRPr="00822C69" w:rsidRDefault="00CE5195" w:rsidP="00CE5195">
      <w:pPr>
        <w:tabs>
          <w:tab w:val="left" w:pos="720"/>
          <w:tab w:val="left" w:pos="5760"/>
          <w:tab w:val="left" w:pos="6480"/>
          <w:tab w:val="left" w:pos="6840"/>
        </w:tabs>
        <w:rPr>
          <w:rFonts w:ascii="Arial" w:hAnsi="Arial" w:cs="Arial"/>
        </w:rPr>
      </w:pPr>
    </w:p>
    <w:p w14:paraId="4C8E1980" w14:textId="77777777" w:rsidR="00E5611A" w:rsidRPr="00822C69" w:rsidRDefault="00E5611A">
      <w:pPr>
        <w:tabs>
          <w:tab w:val="left" w:pos="720"/>
          <w:tab w:val="left" w:pos="5760"/>
          <w:tab w:val="left" w:pos="6480"/>
          <w:tab w:val="left" w:pos="6840"/>
        </w:tabs>
        <w:rPr>
          <w:rFonts w:ascii="Arial" w:hAnsi="Arial" w:cs="Arial"/>
          <w:u w:val="single"/>
        </w:rPr>
      </w:pPr>
      <w:r w:rsidRPr="00822C69">
        <w:rPr>
          <w:rFonts w:ascii="Arial" w:hAnsi="Arial" w:cs="Arial"/>
          <w:u w:val="single"/>
        </w:rPr>
        <w:t>Procedure</w:t>
      </w:r>
    </w:p>
    <w:p w14:paraId="027526EF" w14:textId="77777777" w:rsidR="00C91E1C" w:rsidRPr="00822C69" w:rsidRDefault="00C91E1C">
      <w:pPr>
        <w:tabs>
          <w:tab w:val="left" w:pos="720"/>
          <w:tab w:val="left" w:pos="5760"/>
          <w:tab w:val="left" w:pos="6480"/>
          <w:tab w:val="left" w:pos="6840"/>
        </w:tabs>
        <w:rPr>
          <w:rFonts w:ascii="Arial" w:hAnsi="Arial" w:cs="Arial"/>
          <w:u w:val="single"/>
        </w:rPr>
      </w:pPr>
    </w:p>
    <w:p w14:paraId="636353B9" w14:textId="77777777" w:rsidR="00D827D1" w:rsidRPr="00822C69" w:rsidRDefault="00D827D1" w:rsidP="00D827D1">
      <w:pPr>
        <w:pStyle w:val="ListParagraph"/>
        <w:ind w:left="709" w:hanging="720"/>
        <w:jc w:val="both"/>
        <w:rPr>
          <w:rFonts w:ascii="Arial" w:hAnsi="Arial" w:cs="Arial"/>
        </w:rPr>
      </w:pPr>
    </w:p>
    <w:p w14:paraId="748FC330" w14:textId="77777777" w:rsidR="00D10A82" w:rsidRPr="00822C69" w:rsidRDefault="00D827D1" w:rsidP="00D10A82">
      <w:pPr>
        <w:pStyle w:val="BodyText"/>
        <w:spacing w:before="0" w:line="240" w:lineRule="auto"/>
        <w:ind w:left="709" w:hanging="709"/>
        <w:jc w:val="both"/>
        <w:rPr>
          <w:rFonts w:cs="Arial"/>
          <w:szCs w:val="20"/>
        </w:rPr>
      </w:pPr>
      <w:r w:rsidRPr="00822C69">
        <w:rPr>
          <w:rFonts w:cs="Arial"/>
          <w:szCs w:val="20"/>
        </w:rPr>
        <w:t>4.1</w:t>
      </w:r>
      <w:r w:rsidRPr="00822C69">
        <w:rPr>
          <w:rFonts w:cs="Arial"/>
          <w:szCs w:val="20"/>
        </w:rPr>
        <w:tab/>
      </w:r>
      <w:r w:rsidR="00D10A82" w:rsidRPr="00822C69">
        <w:rPr>
          <w:rFonts w:cs="Arial"/>
          <w:szCs w:val="20"/>
        </w:rPr>
        <w:t xml:space="preserve">The Operator </w:t>
      </w:r>
      <w:r w:rsidR="002A2A89" w:rsidRPr="00822C69">
        <w:rPr>
          <w:rFonts w:cs="Arial"/>
          <w:szCs w:val="20"/>
        </w:rPr>
        <w:t xml:space="preserve">is </w:t>
      </w:r>
      <w:r w:rsidR="00D10A82" w:rsidRPr="00822C69">
        <w:rPr>
          <w:rFonts w:cs="Arial"/>
          <w:szCs w:val="20"/>
        </w:rPr>
        <w:t>committed to site decommissioning activities for the Installation to be planned and implemented in order to minimise the potential for environmental impact through control of potential pollution, including from raw materials, surface water, dust, odour, noise, heat and vibration.</w:t>
      </w:r>
    </w:p>
    <w:p w14:paraId="4A3FF742" w14:textId="77777777" w:rsidR="00D10A82" w:rsidRPr="00822C69" w:rsidRDefault="00D10A82" w:rsidP="00D10A82">
      <w:pPr>
        <w:pStyle w:val="BodyText"/>
        <w:spacing w:before="0" w:line="240" w:lineRule="auto"/>
        <w:ind w:left="709" w:hanging="709"/>
        <w:jc w:val="both"/>
        <w:rPr>
          <w:rFonts w:cs="Arial"/>
          <w:szCs w:val="20"/>
        </w:rPr>
      </w:pPr>
    </w:p>
    <w:p w14:paraId="12FD6B55" w14:textId="77777777" w:rsidR="00D10A82" w:rsidRPr="00822C69" w:rsidRDefault="00D10A82" w:rsidP="00D10A82">
      <w:pPr>
        <w:pStyle w:val="BodyText"/>
        <w:spacing w:before="0" w:line="240" w:lineRule="auto"/>
        <w:ind w:left="709"/>
        <w:jc w:val="both"/>
        <w:rPr>
          <w:rFonts w:cs="Arial"/>
          <w:szCs w:val="20"/>
        </w:rPr>
      </w:pPr>
      <w:r w:rsidRPr="00822C69">
        <w:rPr>
          <w:rFonts w:cs="Arial"/>
          <w:szCs w:val="20"/>
        </w:rPr>
        <w:t>The approach taken can be summarised through the following stages:</w:t>
      </w:r>
    </w:p>
    <w:p w14:paraId="1F0B52E1" w14:textId="77777777" w:rsidR="00D827D1" w:rsidRPr="00822C69" w:rsidRDefault="00D827D1" w:rsidP="006E57E2">
      <w:pPr>
        <w:pStyle w:val="ListParagraph"/>
        <w:spacing w:after="160" w:line="259" w:lineRule="auto"/>
        <w:ind w:left="709" w:hanging="709"/>
        <w:contextualSpacing/>
        <w:jc w:val="both"/>
        <w:rPr>
          <w:rFonts w:ascii="Arial" w:hAnsi="Arial" w:cs="Arial"/>
        </w:rPr>
      </w:pPr>
    </w:p>
    <w:p w14:paraId="107741A8" w14:textId="77777777" w:rsidR="006E57E2" w:rsidRPr="00822C69" w:rsidRDefault="00D10A82" w:rsidP="00D827D1">
      <w:pPr>
        <w:pStyle w:val="ListParagraph"/>
        <w:spacing w:after="160" w:line="259" w:lineRule="auto"/>
        <w:ind w:left="0"/>
        <w:contextualSpacing/>
        <w:jc w:val="both"/>
        <w:rPr>
          <w:rFonts w:ascii="Arial" w:hAnsi="Arial" w:cs="Arial"/>
          <w:color w:val="000000"/>
        </w:rPr>
      </w:pPr>
      <w:r w:rsidRPr="00822C69">
        <w:rPr>
          <w:rFonts w:ascii="Arial" w:hAnsi="Arial" w:cs="Arial"/>
          <w:color w:val="000000"/>
        </w:rPr>
        <w:br w:type="page"/>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662"/>
      </w:tblGrid>
      <w:tr w:rsidR="00D10A82" w:rsidRPr="00822C69" w14:paraId="5DE53F55" w14:textId="77777777" w:rsidTr="008B3BC5">
        <w:trPr>
          <w:trHeight w:val="501"/>
          <w:jc w:val="center"/>
        </w:trPr>
        <w:tc>
          <w:tcPr>
            <w:tcW w:w="2127" w:type="dxa"/>
            <w:tcBorders>
              <w:top w:val="single" w:sz="4" w:space="0" w:color="auto"/>
              <w:left w:val="single" w:sz="4" w:space="0" w:color="auto"/>
              <w:bottom w:val="single" w:sz="4" w:space="0" w:color="629DD1"/>
            </w:tcBorders>
          </w:tcPr>
          <w:p w14:paraId="4A1E7B2F" w14:textId="77777777" w:rsidR="00D10A82" w:rsidRPr="00822C69" w:rsidRDefault="00D10A82" w:rsidP="008B3BC5">
            <w:pPr>
              <w:jc w:val="center"/>
              <w:rPr>
                <w:rFonts w:ascii="Arial" w:eastAsia="Calibri" w:hAnsi="Arial" w:cs="Arial"/>
                <w:b/>
                <w:bCs/>
              </w:rPr>
            </w:pPr>
            <w:r w:rsidRPr="00822C69">
              <w:rPr>
                <w:rFonts w:ascii="Arial" w:eastAsia="Calibri" w:hAnsi="Arial" w:cs="Arial"/>
                <w:b/>
                <w:bCs/>
              </w:rPr>
              <w:lastRenderedPageBreak/>
              <w:t>STAGE</w:t>
            </w:r>
          </w:p>
        </w:tc>
        <w:tc>
          <w:tcPr>
            <w:tcW w:w="6662" w:type="dxa"/>
            <w:tcBorders>
              <w:top w:val="single" w:sz="4" w:space="0" w:color="auto"/>
              <w:bottom w:val="single" w:sz="4" w:space="0" w:color="629DD1"/>
              <w:right w:val="single" w:sz="4" w:space="0" w:color="auto"/>
            </w:tcBorders>
          </w:tcPr>
          <w:p w14:paraId="0E6899E9" w14:textId="77777777" w:rsidR="00D10A82" w:rsidRPr="00822C69" w:rsidRDefault="00D10A82" w:rsidP="008B3BC5">
            <w:pPr>
              <w:jc w:val="center"/>
              <w:rPr>
                <w:rFonts w:ascii="Arial" w:eastAsia="Calibri" w:hAnsi="Arial" w:cs="Arial"/>
                <w:b/>
                <w:bCs/>
              </w:rPr>
            </w:pPr>
            <w:r w:rsidRPr="00822C69">
              <w:rPr>
                <w:rFonts w:ascii="Arial" w:eastAsia="Calibri" w:hAnsi="Arial" w:cs="Arial"/>
                <w:b/>
                <w:bCs/>
              </w:rPr>
              <w:t>ACTIVITIES</w:t>
            </w:r>
          </w:p>
        </w:tc>
      </w:tr>
      <w:tr w:rsidR="00D10A82" w:rsidRPr="00822C69" w14:paraId="6BBB8441" w14:textId="77777777" w:rsidTr="008B3BC5">
        <w:trPr>
          <w:jc w:val="center"/>
        </w:trPr>
        <w:tc>
          <w:tcPr>
            <w:tcW w:w="2127" w:type="dxa"/>
          </w:tcPr>
          <w:p w14:paraId="3EBB88DB" w14:textId="77777777" w:rsidR="00D10A82" w:rsidRPr="00822C69" w:rsidRDefault="00D10A82" w:rsidP="008B3BC5">
            <w:pPr>
              <w:rPr>
                <w:rFonts w:ascii="Arial" w:eastAsia="Calibri" w:hAnsi="Arial" w:cs="Arial"/>
                <w:b/>
                <w:bCs/>
              </w:rPr>
            </w:pPr>
            <w:r w:rsidRPr="00822C69">
              <w:rPr>
                <w:rFonts w:ascii="Arial" w:eastAsia="Calibri" w:hAnsi="Arial" w:cs="Arial"/>
                <w:bCs/>
              </w:rPr>
              <w:t xml:space="preserve">1.  </w:t>
            </w:r>
            <w:smartTag w:uri="urn:schemas-microsoft-com:office:smarttags" w:element="stockticker">
              <w:r w:rsidRPr="00822C69">
                <w:rPr>
                  <w:rFonts w:ascii="Arial" w:eastAsia="Calibri" w:hAnsi="Arial" w:cs="Arial"/>
                  <w:bCs/>
                </w:rPr>
                <w:t>DATA</w:t>
              </w:r>
            </w:smartTag>
            <w:r w:rsidRPr="00822C69">
              <w:rPr>
                <w:rFonts w:ascii="Arial" w:eastAsia="Calibri" w:hAnsi="Arial" w:cs="Arial"/>
                <w:bCs/>
              </w:rPr>
              <w:t xml:space="preserve"> GATHERING</w:t>
            </w:r>
          </w:p>
        </w:tc>
        <w:tc>
          <w:tcPr>
            <w:tcW w:w="6662" w:type="dxa"/>
          </w:tcPr>
          <w:p w14:paraId="3B7DFF64" w14:textId="14FE5EB9" w:rsidR="00D10A82" w:rsidRPr="00822C69" w:rsidRDefault="00D10A82" w:rsidP="008B3BC5">
            <w:pPr>
              <w:rPr>
                <w:rFonts w:ascii="Arial" w:eastAsia="Calibri" w:hAnsi="Arial" w:cs="Arial"/>
                <w:b/>
                <w:bCs/>
              </w:rPr>
            </w:pPr>
            <w:r w:rsidRPr="00822C69">
              <w:rPr>
                <w:rFonts w:ascii="Arial" w:eastAsia="Calibri" w:hAnsi="Arial" w:cs="Arial"/>
                <w:bCs/>
              </w:rPr>
              <w:t>Collation of baseline data including: the initial Site Condition Report; operational records; site plans; incident reports; drawings (including underground pipes i.e. site drainage map); asset condition assessment and the inventory of the facilit</w:t>
            </w:r>
            <w:r w:rsidR="006E2414">
              <w:rPr>
                <w:rFonts w:ascii="Arial" w:eastAsia="Calibri" w:hAnsi="Arial" w:cs="Arial"/>
                <w:bCs/>
              </w:rPr>
              <w:t>y’</w:t>
            </w:r>
            <w:r w:rsidRPr="00822C69">
              <w:rPr>
                <w:rFonts w:ascii="Arial" w:eastAsia="Calibri" w:hAnsi="Arial" w:cs="Arial"/>
                <w:bCs/>
              </w:rPr>
              <w:t>s raw materials.</w:t>
            </w:r>
          </w:p>
        </w:tc>
      </w:tr>
      <w:tr w:rsidR="00D10A82" w:rsidRPr="00822C69" w14:paraId="32154F31" w14:textId="77777777" w:rsidTr="008B3BC5">
        <w:trPr>
          <w:jc w:val="center"/>
        </w:trPr>
        <w:tc>
          <w:tcPr>
            <w:tcW w:w="2127" w:type="dxa"/>
          </w:tcPr>
          <w:p w14:paraId="13CDA528" w14:textId="77777777" w:rsidR="00D10A82" w:rsidRPr="00822C69" w:rsidRDefault="00D10A82" w:rsidP="008B3BC5">
            <w:pPr>
              <w:rPr>
                <w:rFonts w:ascii="Arial" w:eastAsia="Calibri" w:hAnsi="Arial" w:cs="Arial"/>
                <w:b/>
                <w:bCs/>
              </w:rPr>
            </w:pPr>
            <w:r w:rsidRPr="00822C69">
              <w:rPr>
                <w:rFonts w:ascii="Arial" w:eastAsia="Calibri" w:hAnsi="Arial" w:cs="Arial"/>
                <w:bCs/>
              </w:rPr>
              <w:t>2.  PLANNING</w:t>
            </w:r>
          </w:p>
        </w:tc>
        <w:tc>
          <w:tcPr>
            <w:tcW w:w="6662" w:type="dxa"/>
          </w:tcPr>
          <w:p w14:paraId="5345A69A" w14:textId="77777777" w:rsidR="00D10A82" w:rsidRPr="00822C69" w:rsidRDefault="00D10A82" w:rsidP="008B3BC5">
            <w:pPr>
              <w:rPr>
                <w:rFonts w:ascii="Arial" w:eastAsia="Calibri" w:hAnsi="Arial" w:cs="Arial"/>
                <w:b/>
                <w:bCs/>
              </w:rPr>
            </w:pPr>
            <w:r w:rsidRPr="00822C69">
              <w:rPr>
                <w:rFonts w:ascii="Arial" w:eastAsia="Calibri" w:hAnsi="Arial" w:cs="Arial"/>
                <w:bCs/>
              </w:rPr>
              <w:t>Preparation of a decommissioning programme to identify the process equipment and raw materials to be removed.  The programme included an assessment of the options available for asset re-use, recycling and disposal.</w:t>
            </w:r>
          </w:p>
        </w:tc>
      </w:tr>
      <w:tr w:rsidR="00D10A82" w:rsidRPr="00822C69" w14:paraId="7911E170" w14:textId="77777777" w:rsidTr="008B3BC5">
        <w:trPr>
          <w:jc w:val="center"/>
        </w:trPr>
        <w:tc>
          <w:tcPr>
            <w:tcW w:w="2127" w:type="dxa"/>
          </w:tcPr>
          <w:p w14:paraId="768BDE31" w14:textId="77777777" w:rsidR="00D10A82" w:rsidRPr="00822C69" w:rsidRDefault="00D10A82" w:rsidP="008B3BC5">
            <w:pPr>
              <w:rPr>
                <w:rFonts w:ascii="Arial" w:eastAsia="Calibri" w:hAnsi="Arial" w:cs="Arial"/>
                <w:b/>
                <w:bCs/>
              </w:rPr>
            </w:pPr>
            <w:r w:rsidRPr="00822C69">
              <w:rPr>
                <w:rFonts w:ascii="Arial" w:eastAsia="Calibri" w:hAnsi="Arial" w:cs="Arial"/>
                <w:bCs/>
              </w:rPr>
              <w:t>3.  HAZARD</w:t>
            </w:r>
          </w:p>
          <w:p w14:paraId="6ED8045F" w14:textId="77777777" w:rsidR="00D10A82" w:rsidRPr="00822C69" w:rsidRDefault="00D10A82" w:rsidP="008B3BC5">
            <w:pPr>
              <w:rPr>
                <w:rFonts w:ascii="Arial" w:eastAsia="Calibri" w:hAnsi="Arial" w:cs="Arial"/>
                <w:b/>
                <w:bCs/>
              </w:rPr>
            </w:pPr>
            <w:r w:rsidRPr="00822C69">
              <w:rPr>
                <w:rFonts w:ascii="Arial" w:eastAsia="Calibri" w:hAnsi="Arial" w:cs="Arial"/>
                <w:bCs/>
              </w:rPr>
              <w:t xml:space="preserve">     ASSESSMENT</w:t>
            </w:r>
          </w:p>
        </w:tc>
        <w:tc>
          <w:tcPr>
            <w:tcW w:w="6662" w:type="dxa"/>
          </w:tcPr>
          <w:p w14:paraId="702C930A" w14:textId="77777777" w:rsidR="00D10A82" w:rsidRPr="00822C69" w:rsidRDefault="00D10A82" w:rsidP="008B3BC5">
            <w:pPr>
              <w:rPr>
                <w:rFonts w:ascii="Arial" w:eastAsia="Calibri" w:hAnsi="Arial" w:cs="Arial"/>
                <w:b/>
                <w:bCs/>
              </w:rPr>
            </w:pPr>
            <w:r w:rsidRPr="00822C69">
              <w:rPr>
                <w:rFonts w:ascii="Arial" w:eastAsia="Calibri" w:hAnsi="Arial" w:cs="Arial"/>
                <w:bCs/>
              </w:rPr>
              <w:t>Use of data from stages 1 and 2, to undertake an assessment of the potential environmental hazards associated with the decommissioning process following the decommissioning considerations outlined.</w:t>
            </w:r>
          </w:p>
        </w:tc>
      </w:tr>
      <w:tr w:rsidR="00D10A82" w:rsidRPr="00822C69" w14:paraId="7B12A8F0" w14:textId="77777777" w:rsidTr="008B3BC5">
        <w:trPr>
          <w:jc w:val="center"/>
        </w:trPr>
        <w:tc>
          <w:tcPr>
            <w:tcW w:w="2127" w:type="dxa"/>
          </w:tcPr>
          <w:p w14:paraId="3E027ACD" w14:textId="77777777" w:rsidR="00D10A82" w:rsidRPr="00822C69" w:rsidRDefault="00D10A82" w:rsidP="008B3BC5">
            <w:pPr>
              <w:rPr>
                <w:rFonts w:ascii="Arial" w:eastAsia="Calibri" w:hAnsi="Arial" w:cs="Arial"/>
                <w:b/>
                <w:bCs/>
              </w:rPr>
            </w:pPr>
            <w:r w:rsidRPr="00822C69">
              <w:rPr>
                <w:rFonts w:ascii="Arial" w:eastAsia="Calibri" w:hAnsi="Arial" w:cs="Arial"/>
                <w:bCs/>
              </w:rPr>
              <w:t>4.  HAZARD CONTROL</w:t>
            </w:r>
          </w:p>
        </w:tc>
        <w:tc>
          <w:tcPr>
            <w:tcW w:w="6662" w:type="dxa"/>
          </w:tcPr>
          <w:p w14:paraId="002DE0B8" w14:textId="77777777" w:rsidR="00D10A82" w:rsidRPr="00822C69" w:rsidRDefault="00D10A82" w:rsidP="008B3BC5">
            <w:pPr>
              <w:rPr>
                <w:rFonts w:ascii="Arial" w:eastAsia="Calibri" w:hAnsi="Arial" w:cs="Arial"/>
                <w:b/>
                <w:bCs/>
              </w:rPr>
            </w:pPr>
            <w:r w:rsidRPr="00822C69">
              <w:rPr>
                <w:rFonts w:ascii="Arial" w:eastAsia="Calibri" w:hAnsi="Arial" w:cs="Arial"/>
                <w:bCs/>
              </w:rPr>
              <w:t xml:space="preserve">Prior to commencing the decommissioning process, the operator </w:t>
            </w:r>
            <w:r w:rsidR="002A2A89" w:rsidRPr="00822C69">
              <w:rPr>
                <w:rFonts w:ascii="Arial" w:eastAsia="Calibri" w:hAnsi="Arial" w:cs="Arial"/>
                <w:b/>
                <w:bCs/>
              </w:rPr>
              <w:t>will prepare</w:t>
            </w:r>
            <w:r w:rsidRPr="00822C69">
              <w:rPr>
                <w:rFonts w:ascii="Arial" w:eastAsia="Calibri" w:hAnsi="Arial" w:cs="Arial"/>
                <w:bCs/>
              </w:rPr>
              <w:t xml:space="preserve"> method statements and risk assessments in accordance with the requirements of the Construction (Design &amp; Management) Regulations to control all decommissioning works.  This stage also include</w:t>
            </w:r>
            <w:r w:rsidR="002A2A89" w:rsidRPr="00822C69">
              <w:rPr>
                <w:rFonts w:ascii="Arial" w:eastAsia="Calibri" w:hAnsi="Arial" w:cs="Arial"/>
                <w:b/>
                <w:bCs/>
              </w:rPr>
              <w:t>s</w:t>
            </w:r>
            <w:r w:rsidRPr="00822C69">
              <w:rPr>
                <w:rFonts w:ascii="Arial" w:eastAsia="Calibri" w:hAnsi="Arial" w:cs="Arial"/>
                <w:bCs/>
              </w:rPr>
              <w:t xml:space="preserve"> the preparation of pollution prevention measures/environmental management procedures to ensure the decommissioning works ha</w:t>
            </w:r>
            <w:r w:rsidR="002A2A89" w:rsidRPr="00822C69">
              <w:rPr>
                <w:rFonts w:ascii="Arial" w:eastAsia="Calibri" w:hAnsi="Arial" w:cs="Arial"/>
                <w:b/>
                <w:bCs/>
              </w:rPr>
              <w:t>ve</w:t>
            </w:r>
            <w:r w:rsidRPr="00822C69">
              <w:rPr>
                <w:rFonts w:ascii="Arial" w:eastAsia="Calibri" w:hAnsi="Arial" w:cs="Arial"/>
                <w:bCs/>
              </w:rPr>
              <w:t xml:space="preserve"> a minimal impact on the environment including (but not limited to): emergency response procedures, provision of environmental protection products and avoidance of surface water contamination, the removal or flushing out of pipelines and vessels, the removal of asbestos etc.</w:t>
            </w:r>
          </w:p>
        </w:tc>
      </w:tr>
      <w:tr w:rsidR="00D10A82" w:rsidRPr="00822C69" w14:paraId="32AA4957" w14:textId="77777777" w:rsidTr="008B3BC5">
        <w:trPr>
          <w:trHeight w:val="988"/>
          <w:jc w:val="center"/>
        </w:trPr>
        <w:tc>
          <w:tcPr>
            <w:tcW w:w="2127" w:type="dxa"/>
            <w:tcBorders>
              <w:bottom w:val="single" w:sz="4" w:space="0" w:color="auto"/>
            </w:tcBorders>
          </w:tcPr>
          <w:p w14:paraId="15E804F0" w14:textId="77777777" w:rsidR="00D10A82" w:rsidRPr="00822C69" w:rsidRDefault="00D10A82" w:rsidP="008B3BC5">
            <w:pPr>
              <w:rPr>
                <w:rFonts w:ascii="Arial" w:eastAsia="Calibri" w:hAnsi="Arial" w:cs="Arial"/>
                <w:b/>
                <w:bCs/>
              </w:rPr>
            </w:pPr>
            <w:r w:rsidRPr="00822C69">
              <w:rPr>
                <w:rFonts w:ascii="Arial" w:eastAsia="Calibri" w:hAnsi="Arial" w:cs="Arial"/>
                <w:bCs/>
              </w:rPr>
              <w:t>5.  DECOMISSIONING</w:t>
            </w:r>
          </w:p>
        </w:tc>
        <w:tc>
          <w:tcPr>
            <w:tcW w:w="6662" w:type="dxa"/>
            <w:tcBorders>
              <w:bottom w:val="single" w:sz="4" w:space="0" w:color="auto"/>
            </w:tcBorders>
          </w:tcPr>
          <w:p w14:paraId="011235E5" w14:textId="77777777" w:rsidR="00D10A82" w:rsidRPr="00822C69" w:rsidRDefault="00D10A82" w:rsidP="008B3BC5">
            <w:pPr>
              <w:rPr>
                <w:rFonts w:ascii="Arial" w:eastAsia="Calibri" w:hAnsi="Arial" w:cs="Arial"/>
                <w:b/>
                <w:bCs/>
              </w:rPr>
            </w:pPr>
            <w:r w:rsidRPr="00822C69">
              <w:rPr>
                <w:rFonts w:ascii="Arial" w:eastAsia="Calibri" w:hAnsi="Arial" w:cs="Arial"/>
                <w:bCs/>
              </w:rPr>
              <w:t>Mobilisation of suitably qualified personnel and contractors to undertake the decommissioning work working to detailed method statements prepared either by The Operator as Principal Contractor or appointed sub-contractors to comply with stage 4. Protection of surface and groundwater across the site.</w:t>
            </w:r>
          </w:p>
        </w:tc>
      </w:tr>
      <w:tr w:rsidR="00D10A82" w:rsidRPr="00822C69" w14:paraId="6D33C5FC" w14:textId="77777777" w:rsidTr="008B3BC5">
        <w:trPr>
          <w:jc w:val="center"/>
        </w:trPr>
        <w:tc>
          <w:tcPr>
            <w:tcW w:w="2127" w:type="dxa"/>
            <w:tcBorders>
              <w:top w:val="single" w:sz="4" w:space="0" w:color="auto"/>
            </w:tcBorders>
          </w:tcPr>
          <w:p w14:paraId="49CC5C75" w14:textId="77777777" w:rsidR="00D10A82" w:rsidRPr="00822C69" w:rsidRDefault="00D10A82" w:rsidP="008B3BC5">
            <w:pPr>
              <w:rPr>
                <w:rFonts w:ascii="Arial" w:eastAsia="Calibri" w:hAnsi="Arial" w:cs="Arial"/>
                <w:b/>
                <w:bCs/>
              </w:rPr>
            </w:pPr>
            <w:r w:rsidRPr="00822C69">
              <w:rPr>
                <w:rFonts w:ascii="Arial" w:eastAsia="Calibri" w:hAnsi="Arial" w:cs="Arial"/>
                <w:bCs/>
              </w:rPr>
              <w:t>6.  PERMIT SURRENDER</w:t>
            </w:r>
          </w:p>
        </w:tc>
        <w:tc>
          <w:tcPr>
            <w:tcW w:w="6662" w:type="dxa"/>
            <w:tcBorders>
              <w:top w:val="single" w:sz="4" w:space="0" w:color="auto"/>
            </w:tcBorders>
          </w:tcPr>
          <w:p w14:paraId="4003CF48" w14:textId="77777777" w:rsidR="00D10A82" w:rsidRPr="00822C69" w:rsidRDefault="00D10A82" w:rsidP="008B3BC5">
            <w:pPr>
              <w:rPr>
                <w:rFonts w:ascii="Arial" w:eastAsia="Calibri" w:hAnsi="Arial" w:cs="Arial"/>
                <w:b/>
                <w:bCs/>
              </w:rPr>
            </w:pPr>
            <w:r w:rsidRPr="00822C69">
              <w:rPr>
                <w:rFonts w:ascii="Arial" w:eastAsia="Calibri" w:hAnsi="Arial" w:cs="Arial"/>
                <w:bCs/>
              </w:rPr>
              <w:t xml:space="preserve">Surrender the permit on completion of decommissioning activities. </w:t>
            </w:r>
          </w:p>
        </w:tc>
      </w:tr>
    </w:tbl>
    <w:p w14:paraId="763F43AA" w14:textId="77777777" w:rsidR="00D827D1" w:rsidRPr="00822C69" w:rsidRDefault="00E5611A" w:rsidP="00D827D1">
      <w:pPr>
        <w:tabs>
          <w:tab w:val="left" w:pos="720"/>
          <w:tab w:val="left" w:pos="5760"/>
          <w:tab w:val="left" w:pos="6480"/>
          <w:tab w:val="left" w:pos="6840"/>
        </w:tabs>
        <w:rPr>
          <w:rFonts w:ascii="Arial" w:hAnsi="Arial" w:cs="Arial"/>
        </w:rPr>
      </w:pPr>
      <w:r w:rsidRPr="00822C69">
        <w:rPr>
          <w:rFonts w:ascii="Arial" w:hAnsi="Arial" w:cs="Arial"/>
        </w:rPr>
        <w:tab/>
      </w:r>
    </w:p>
    <w:p w14:paraId="7413B8FB" w14:textId="77777777" w:rsidR="002A2A89" w:rsidRPr="00822C69" w:rsidRDefault="002A2A89" w:rsidP="002A2A89">
      <w:pPr>
        <w:pStyle w:val="Heading2"/>
        <w:rPr>
          <w:rFonts w:ascii="Arial" w:hAnsi="Arial" w:cs="Arial"/>
          <w:b w:val="0"/>
          <w:bCs w:val="0"/>
          <w:i w:val="0"/>
          <w:iCs w:val="0"/>
          <w:sz w:val="20"/>
          <w:szCs w:val="20"/>
        </w:rPr>
      </w:pPr>
      <w:r w:rsidRPr="00822C69">
        <w:rPr>
          <w:rFonts w:ascii="Arial" w:hAnsi="Arial" w:cs="Arial"/>
          <w:b w:val="0"/>
          <w:bCs w:val="0"/>
          <w:i w:val="0"/>
          <w:iCs w:val="0"/>
          <w:sz w:val="20"/>
          <w:szCs w:val="20"/>
        </w:rPr>
        <w:t>4.2</w:t>
      </w:r>
      <w:r w:rsidRPr="00822C69">
        <w:rPr>
          <w:rFonts w:ascii="Arial" w:hAnsi="Arial" w:cs="Arial"/>
          <w:b w:val="0"/>
          <w:bCs w:val="0"/>
          <w:i w:val="0"/>
          <w:iCs w:val="0"/>
          <w:sz w:val="20"/>
          <w:szCs w:val="20"/>
        </w:rPr>
        <w:tab/>
      </w:r>
      <w:bookmarkStart w:id="0" w:name="_Toc467855842"/>
      <w:r w:rsidRPr="00822C69">
        <w:rPr>
          <w:rFonts w:ascii="Arial" w:hAnsi="Arial" w:cs="Arial"/>
          <w:b w:val="0"/>
          <w:bCs w:val="0"/>
          <w:i w:val="0"/>
          <w:iCs w:val="0"/>
          <w:sz w:val="20"/>
          <w:szCs w:val="20"/>
        </w:rPr>
        <w:t>Decommissioning at Site Closure</w:t>
      </w:r>
      <w:bookmarkEnd w:id="0"/>
    </w:p>
    <w:p w14:paraId="33AC6880" w14:textId="77777777" w:rsidR="00C5336F" w:rsidRPr="00822C69" w:rsidRDefault="00C5336F" w:rsidP="00C5336F">
      <w:pPr>
        <w:rPr>
          <w:rFonts w:ascii="Arial" w:hAnsi="Arial" w:cs="Arial"/>
        </w:rPr>
      </w:pPr>
    </w:p>
    <w:p w14:paraId="7831BEF4" w14:textId="77777777" w:rsidR="002A2A89" w:rsidRPr="00822C69" w:rsidRDefault="002A2A89" w:rsidP="00C5336F">
      <w:pPr>
        <w:pStyle w:val="BodyText0"/>
        <w:ind w:left="709"/>
        <w:rPr>
          <w:rFonts w:ascii="Arial" w:hAnsi="Arial" w:cs="Arial"/>
          <w:szCs w:val="20"/>
        </w:rPr>
      </w:pPr>
      <w:r w:rsidRPr="00822C69">
        <w:rPr>
          <w:rFonts w:ascii="Arial" w:hAnsi="Arial" w:cs="Arial"/>
          <w:szCs w:val="20"/>
        </w:rPr>
        <w:t>Decommissioning involve</w:t>
      </w:r>
      <w:r w:rsidR="00C5336F" w:rsidRPr="00822C69">
        <w:rPr>
          <w:rFonts w:ascii="Arial" w:hAnsi="Arial" w:cs="Arial"/>
          <w:szCs w:val="20"/>
        </w:rPr>
        <w:t>s</w:t>
      </w:r>
      <w:r w:rsidRPr="00822C69">
        <w:rPr>
          <w:rFonts w:ascii="Arial" w:hAnsi="Arial" w:cs="Arial"/>
          <w:szCs w:val="20"/>
        </w:rPr>
        <w:t xml:space="preserve"> the making safe of all major assets including bulk tanks. This include</w:t>
      </w:r>
      <w:r w:rsidR="00C5336F" w:rsidRPr="00822C69">
        <w:rPr>
          <w:rFonts w:ascii="Arial" w:hAnsi="Arial" w:cs="Arial"/>
          <w:szCs w:val="20"/>
        </w:rPr>
        <w:t>s</w:t>
      </w:r>
      <w:r w:rsidRPr="00822C69">
        <w:rPr>
          <w:rFonts w:ascii="Arial" w:hAnsi="Arial" w:cs="Arial"/>
          <w:szCs w:val="20"/>
        </w:rPr>
        <w:t xml:space="preserve"> safe disconnection of services and isolation (mechanical, isolation and chemical) of the production area from the associated abatement plant, waste and product storage areas. The decommissioning involve</w:t>
      </w:r>
      <w:r w:rsidR="00C5336F" w:rsidRPr="00822C69">
        <w:rPr>
          <w:rFonts w:ascii="Arial" w:hAnsi="Arial" w:cs="Arial"/>
          <w:szCs w:val="20"/>
        </w:rPr>
        <w:t>s</w:t>
      </w:r>
      <w:r w:rsidRPr="00822C69">
        <w:rPr>
          <w:rFonts w:ascii="Arial" w:hAnsi="Arial" w:cs="Arial"/>
          <w:szCs w:val="20"/>
        </w:rPr>
        <w:t xml:space="preserve"> the active management of general housekeeping measures and securing the site from unauthorised access.  Factors </w:t>
      </w:r>
      <w:r w:rsidR="00C5336F" w:rsidRPr="00822C69">
        <w:rPr>
          <w:rFonts w:ascii="Arial" w:hAnsi="Arial" w:cs="Arial"/>
          <w:szCs w:val="20"/>
        </w:rPr>
        <w:t>to be</w:t>
      </w:r>
      <w:r w:rsidRPr="00822C69">
        <w:rPr>
          <w:rFonts w:ascii="Arial" w:hAnsi="Arial" w:cs="Arial"/>
          <w:szCs w:val="20"/>
        </w:rPr>
        <w:t xml:space="preserve"> considered, and the general approaches </w:t>
      </w:r>
      <w:r w:rsidR="00C5336F" w:rsidRPr="00822C69">
        <w:rPr>
          <w:rFonts w:ascii="Arial" w:hAnsi="Arial" w:cs="Arial"/>
          <w:szCs w:val="20"/>
        </w:rPr>
        <w:t xml:space="preserve">to be </w:t>
      </w:r>
      <w:r w:rsidRPr="00822C69">
        <w:rPr>
          <w:rFonts w:ascii="Arial" w:hAnsi="Arial" w:cs="Arial"/>
          <w:szCs w:val="20"/>
        </w:rPr>
        <w:t xml:space="preserve">adopted are shown </w:t>
      </w:r>
      <w:r w:rsidR="00C5336F" w:rsidRPr="00822C69">
        <w:rPr>
          <w:rFonts w:ascii="Arial" w:hAnsi="Arial" w:cs="Arial"/>
          <w:szCs w:val="20"/>
        </w:rPr>
        <w:t>below</w:t>
      </w:r>
      <w:r w:rsidRPr="00822C69">
        <w:rPr>
          <w:rFonts w:ascii="Arial" w:hAnsi="Arial" w:cs="Arial"/>
          <w:szCs w:val="20"/>
        </w:rPr>
        <w:t>.</w:t>
      </w:r>
    </w:p>
    <w:p w14:paraId="27778948" w14:textId="77777777" w:rsidR="000474CD" w:rsidRPr="00822C69" w:rsidRDefault="000474CD" w:rsidP="008B424C">
      <w:pPr>
        <w:pStyle w:val="DefaultText"/>
        <w:ind w:left="720" w:hanging="72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2295"/>
        <w:gridCol w:w="6876"/>
      </w:tblGrid>
      <w:tr w:rsidR="00C5336F" w:rsidRPr="00822C69" w14:paraId="04FC0CE7" w14:textId="77777777" w:rsidTr="008B3BC5">
        <w:trPr>
          <w:jc w:val="center"/>
        </w:trPr>
        <w:tc>
          <w:tcPr>
            <w:tcW w:w="1996" w:type="dxa"/>
          </w:tcPr>
          <w:p w14:paraId="2FDA65B3" w14:textId="77777777" w:rsidR="00C5336F" w:rsidRPr="00822C69" w:rsidRDefault="00C5336F" w:rsidP="008B3BC5">
            <w:pPr>
              <w:pStyle w:val="Caption"/>
              <w:ind w:left="151" w:firstLine="0"/>
              <w:jc w:val="center"/>
              <w:rPr>
                <w:rFonts w:eastAsia="Calibri" w:cs="Arial"/>
                <w:b/>
                <w:bCs w:val="0"/>
                <w:color w:val="auto"/>
                <w:szCs w:val="20"/>
              </w:rPr>
            </w:pPr>
            <w:r w:rsidRPr="00822C69">
              <w:rPr>
                <w:rFonts w:eastAsia="Calibri" w:cs="Arial"/>
                <w:b/>
                <w:bCs w:val="0"/>
                <w:color w:val="auto"/>
                <w:szCs w:val="20"/>
              </w:rPr>
              <w:t>FACTORS CONSIDERED</w:t>
            </w:r>
          </w:p>
        </w:tc>
        <w:tc>
          <w:tcPr>
            <w:tcW w:w="6876" w:type="dxa"/>
          </w:tcPr>
          <w:p w14:paraId="687C55FF" w14:textId="77777777" w:rsidR="00C5336F" w:rsidRPr="00822C69" w:rsidRDefault="00C5336F" w:rsidP="008B3BC5">
            <w:pPr>
              <w:pStyle w:val="Caption"/>
              <w:ind w:right="33"/>
              <w:jc w:val="center"/>
              <w:rPr>
                <w:rFonts w:eastAsia="Calibri" w:cs="Arial"/>
                <w:b/>
                <w:bCs w:val="0"/>
                <w:color w:val="auto"/>
                <w:szCs w:val="20"/>
              </w:rPr>
            </w:pPr>
            <w:r w:rsidRPr="00822C69">
              <w:rPr>
                <w:rFonts w:eastAsia="Calibri" w:cs="Arial"/>
                <w:b/>
                <w:bCs w:val="0"/>
                <w:color w:val="auto"/>
                <w:szCs w:val="20"/>
              </w:rPr>
              <w:t>APPROACH</w:t>
            </w:r>
          </w:p>
        </w:tc>
      </w:tr>
      <w:tr w:rsidR="00C5336F" w:rsidRPr="00822C69" w14:paraId="66607280" w14:textId="77777777" w:rsidTr="008B3BC5">
        <w:trPr>
          <w:jc w:val="center"/>
        </w:trPr>
        <w:tc>
          <w:tcPr>
            <w:tcW w:w="1996" w:type="dxa"/>
          </w:tcPr>
          <w:p w14:paraId="5487B7A8" w14:textId="77777777" w:rsidR="00C5336F" w:rsidRPr="00822C69" w:rsidRDefault="00C5336F" w:rsidP="008B3BC5">
            <w:pPr>
              <w:rPr>
                <w:rFonts w:ascii="Arial" w:eastAsia="Calibri" w:hAnsi="Arial" w:cs="Arial"/>
                <w:b/>
                <w:bCs/>
              </w:rPr>
            </w:pPr>
            <w:r w:rsidRPr="00822C69">
              <w:rPr>
                <w:rFonts w:ascii="Arial" w:eastAsia="Calibri" w:hAnsi="Arial" w:cs="Arial"/>
                <w:bCs/>
              </w:rPr>
              <w:t>Structure and Responsibility</w:t>
            </w:r>
          </w:p>
        </w:tc>
        <w:tc>
          <w:tcPr>
            <w:tcW w:w="6876" w:type="dxa"/>
          </w:tcPr>
          <w:p w14:paraId="759D9BA5"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 xml:space="preserve">Identification of a designated Management Representative to co-ordinate all decommissioning activities; responsibilities defined for all key internal personnel; authorisation established for all decommissioning activities; and sufficient resources including human resources, skills resources, technological resources and financial resources sufficient to discharge all elements of the closure plan. An assessment of the competency of all internal personnel undertaking works in connection with the discharge of the closure plan will be made where actions are required to manage, assess and verify through inspection or analytical measures critical steps. </w:t>
            </w:r>
            <w:r w:rsidRPr="00822C69">
              <w:rPr>
                <w:rFonts w:ascii="Arial" w:eastAsia="Calibri" w:hAnsi="Arial" w:cs="Arial"/>
                <w:bCs/>
              </w:rPr>
              <w:lastRenderedPageBreak/>
              <w:t>Records of those personnel involved with the closure plan will be kept and line management sign off sought where required.</w:t>
            </w:r>
          </w:p>
          <w:p w14:paraId="3A68ED32" w14:textId="77777777" w:rsidR="00C5336F" w:rsidRPr="00822C69" w:rsidRDefault="00C5336F" w:rsidP="008B3BC5">
            <w:pPr>
              <w:ind w:right="33"/>
              <w:rPr>
                <w:rFonts w:ascii="Arial" w:eastAsia="Calibri" w:hAnsi="Arial" w:cs="Arial"/>
                <w:b/>
                <w:bCs/>
              </w:rPr>
            </w:pPr>
          </w:p>
        </w:tc>
      </w:tr>
      <w:tr w:rsidR="00C5336F" w:rsidRPr="00822C69" w14:paraId="3FB8CAE5" w14:textId="77777777" w:rsidTr="008B3BC5">
        <w:trPr>
          <w:jc w:val="center"/>
        </w:trPr>
        <w:tc>
          <w:tcPr>
            <w:tcW w:w="1996" w:type="dxa"/>
          </w:tcPr>
          <w:p w14:paraId="1D158273" w14:textId="77777777" w:rsidR="00C5336F" w:rsidRPr="00822C69" w:rsidRDefault="00C5336F" w:rsidP="008B3BC5">
            <w:pPr>
              <w:rPr>
                <w:rFonts w:ascii="Arial" w:eastAsia="Calibri" w:hAnsi="Arial" w:cs="Arial"/>
                <w:b/>
                <w:bCs/>
              </w:rPr>
            </w:pPr>
            <w:r w:rsidRPr="00822C69">
              <w:rPr>
                <w:rFonts w:ascii="Arial" w:eastAsia="Calibri" w:hAnsi="Arial" w:cs="Arial"/>
                <w:bCs/>
              </w:rPr>
              <w:lastRenderedPageBreak/>
              <w:t>Contractor Selection and Management.</w:t>
            </w:r>
          </w:p>
        </w:tc>
        <w:tc>
          <w:tcPr>
            <w:tcW w:w="6876" w:type="dxa"/>
          </w:tcPr>
          <w:p w14:paraId="5D3A4979"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Contractor evaluation to require demonstration and verification by interview, documentation and site review of competency through obtaining copies of Health and Safety Policy, Environmental Policy, Training Records, Accident Records, Liability Insurance, Risk Assessments, Method Statements, Waste Carriers Licence/Environmental Permits. Work covered under CDM regulations subject to further controls and pre-competency checks by The Operator in conjunction with the CDM Co-ordinator.</w:t>
            </w:r>
          </w:p>
          <w:p w14:paraId="20217CAD" w14:textId="77777777" w:rsidR="00C5336F" w:rsidRPr="00822C69" w:rsidRDefault="00C5336F" w:rsidP="008B3BC5">
            <w:pPr>
              <w:ind w:right="33"/>
              <w:rPr>
                <w:rFonts w:ascii="Arial" w:eastAsia="Calibri" w:hAnsi="Arial" w:cs="Arial"/>
                <w:b/>
                <w:bCs/>
              </w:rPr>
            </w:pPr>
          </w:p>
        </w:tc>
      </w:tr>
      <w:tr w:rsidR="00C5336F" w:rsidRPr="00822C69" w14:paraId="7FA5A202" w14:textId="77777777" w:rsidTr="008B3BC5">
        <w:trPr>
          <w:jc w:val="center"/>
        </w:trPr>
        <w:tc>
          <w:tcPr>
            <w:tcW w:w="1996" w:type="dxa"/>
          </w:tcPr>
          <w:p w14:paraId="2F4C8910" w14:textId="77777777" w:rsidR="00C5336F" w:rsidRPr="00822C69" w:rsidRDefault="00C5336F" w:rsidP="008B3BC5">
            <w:pPr>
              <w:rPr>
                <w:rFonts w:ascii="Arial" w:eastAsia="Calibri" w:hAnsi="Arial" w:cs="Arial"/>
                <w:b/>
                <w:bCs/>
              </w:rPr>
            </w:pPr>
            <w:r w:rsidRPr="00822C69">
              <w:rPr>
                <w:rFonts w:ascii="Arial" w:eastAsia="Calibri" w:hAnsi="Arial" w:cs="Arial"/>
                <w:bCs/>
              </w:rPr>
              <w:t>Awareness of all contractors of site rules for environmental protection.</w:t>
            </w:r>
          </w:p>
          <w:p w14:paraId="2632E46F" w14:textId="77777777" w:rsidR="00C5336F" w:rsidRPr="00822C69" w:rsidRDefault="00C5336F" w:rsidP="008B3BC5">
            <w:pPr>
              <w:rPr>
                <w:rFonts w:ascii="Arial" w:eastAsia="Calibri" w:hAnsi="Arial" w:cs="Arial"/>
                <w:b/>
                <w:bCs/>
              </w:rPr>
            </w:pPr>
          </w:p>
        </w:tc>
        <w:tc>
          <w:tcPr>
            <w:tcW w:w="6876" w:type="dxa"/>
          </w:tcPr>
          <w:p w14:paraId="097243F4"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Specific site rules included within contracts and on-site induction for environmental protection given to all contractors prior to start of work.</w:t>
            </w:r>
          </w:p>
        </w:tc>
      </w:tr>
      <w:tr w:rsidR="00C5336F" w:rsidRPr="00822C69" w14:paraId="790B3DEA" w14:textId="77777777" w:rsidTr="008B3BC5">
        <w:trPr>
          <w:jc w:val="center"/>
        </w:trPr>
        <w:tc>
          <w:tcPr>
            <w:tcW w:w="1996" w:type="dxa"/>
          </w:tcPr>
          <w:p w14:paraId="104513AD" w14:textId="77777777" w:rsidR="00C5336F" w:rsidRPr="00822C69" w:rsidRDefault="00C5336F" w:rsidP="008B3BC5">
            <w:pPr>
              <w:rPr>
                <w:rFonts w:ascii="Arial" w:eastAsia="Calibri" w:hAnsi="Arial" w:cs="Arial"/>
                <w:b/>
                <w:bCs/>
              </w:rPr>
            </w:pPr>
            <w:r w:rsidRPr="00822C69">
              <w:rPr>
                <w:rFonts w:ascii="Arial" w:eastAsia="Calibri" w:hAnsi="Arial" w:cs="Arial"/>
                <w:bCs/>
              </w:rPr>
              <w:t>Protection against vandalism.</w:t>
            </w:r>
          </w:p>
        </w:tc>
        <w:tc>
          <w:tcPr>
            <w:tcW w:w="6876" w:type="dxa"/>
          </w:tcPr>
          <w:p w14:paraId="45108B85"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Access to the establishment and equipment subject to decommissioning will be restricted to authorised internal and external persons only.</w:t>
            </w:r>
          </w:p>
          <w:p w14:paraId="26C54595" w14:textId="77777777" w:rsidR="00C5336F" w:rsidRPr="00822C69" w:rsidRDefault="00C5336F" w:rsidP="008B3BC5">
            <w:pPr>
              <w:ind w:right="33"/>
              <w:rPr>
                <w:rFonts w:ascii="Arial" w:eastAsia="Calibri" w:hAnsi="Arial" w:cs="Arial"/>
                <w:b/>
                <w:bCs/>
              </w:rPr>
            </w:pPr>
          </w:p>
        </w:tc>
      </w:tr>
      <w:tr w:rsidR="00C5336F" w:rsidRPr="00822C69" w14:paraId="370CB827" w14:textId="77777777" w:rsidTr="008B3BC5">
        <w:trPr>
          <w:jc w:val="center"/>
        </w:trPr>
        <w:tc>
          <w:tcPr>
            <w:tcW w:w="1996" w:type="dxa"/>
          </w:tcPr>
          <w:p w14:paraId="3F534394" w14:textId="77777777" w:rsidR="00C5336F" w:rsidRPr="00822C69" w:rsidRDefault="00C5336F" w:rsidP="008B3BC5">
            <w:pPr>
              <w:rPr>
                <w:rFonts w:ascii="Arial" w:eastAsia="Calibri" w:hAnsi="Arial" w:cs="Arial"/>
                <w:b/>
                <w:bCs/>
              </w:rPr>
            </w:pPr>
            <w:r w:rsidRPr="00822C69">
              <w:rPr>
                <w:rFonts w:ascii="Arial" w:eastAsia="Calibri" w:hAnsi="Arial" w:cs="Arial"/>
                <w:bCs/>
              </w:rPr>
              <w:t>Access &amp; loading/unloading areas.</w:t>
            </w:r>
          </w:p>
        </w:tc>
        <w:tc>
          <w:tcPr>
            <w:tcW w:w="6876" w:type="dxa"/>
          </w:tcPr>
          <w:p w14:paraId="78544B1F"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Continually assessed in conjunction with contractors for specific tasks. Access to the establishment and dismantled equipment will be restricted to authorised persons only</w:t>
            </w:r>
          </w:p>
          <w:p w14:paraId="54D2D39B" w14:textId="77777777" w:rsidR="00C5336F" w:rsidRPr="00822C69" w:rsidRDefault="00C5336F" w:rsidP="008B3BC5">
            <w:pPr>
              <w:ind w:right="33"/>
              <w:rPr>
                <w:rFonts w:ascii="Arial" w:eastAsia="Calibri" w:hAnsi="Arial" w:cs="Arial"/>
                <w:b/>
                <w:bCs/>
              </w:rPr>
            </w:pPr>
          </w:p>
        </w:tc>
      </w:tr>
      <w:tr w:rsidR="00C5336F" w:rsidRPr="00822C69" w14:paraId="2FA69BD5" w14:textId="77777777" w:rsidTr="008B3BC5">
        <w:trPr>
          <w:jc w:val="center"/>
        </w:trPr>
        <w:tc>
          <w:tcPr>
            <w:tcW w:w="1996" w:type="dxa"/>
          </w:tcPr>
          <w:p w14:paraId="7E0177A5" w14:textId="77777777" w:rsidR="00C5336F" w:rsidRPr="00822C69" w:rsidRDefault="00C5336F" w:rsidP="008B3BC5">
            <w:pPr>
              <w:rPr>
                <w:rFonts w:ascii="Arial" w:eastAsia="Calibri" w:hAnsi="Arial" w:cs="Arial"/>
                <w:b/>
                <w:bCs/>
              </w:rPr>
            </w:pPr>
            <w:r w:rsidRPr="00822C69">
              <w:rPr>
                <w:rFonts w:ascii="Arial" w:eastAsia="Calibri" w:hAnsi="Arial" w:cs="Arial"/>
                <w:bCs/>
              </w:rPr>
              <w:t>Cleaning of raw materials storage areas.</w:t>
            </w:r>
          </w:p>
        </w:tc>
        <w:tc>
          <w:tcPr>
            <w:tcW w:w="6876" w:type="dxa"/>
          </w:tcPr>
          <w:p w14:paraId="19580016"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 xml:space="preserve">As many of the residual chemicals as possible are to be removed from the site by sale or disposal, special attention will be given during the loading process to the material, hazard characteristics and its classification with regard to disposal. Buildings and equipment will be cleaned in such a manner as to allow safe dismantling where necessary. All disposals will be undertaken in an environmentally responsible manner favouring in reuse, and recycling over disposal. (See </w:t>
            </w:r>
            <w:r w:rsidRPr="00822C69">
              <w:rPr>
                <w:rFonts w:ascii="Arial" w:eastAsia="Calibri" w:hAnsi="Arial" w:cs="Arial"/>
                <w:b/>
                <w:bCs/>
              </w:rPr>
              <w:t>below</w:t>
            </w:r>
            <w:r w:rsidRPr="00822C69">
              <w:rPr>
                <w:rFonts w:ascii="Arial" w:eastAsia="Calibri" w:hAnsi="Arial" w:cs="Arial"/>
                <w:bCs/>
              </w:rPr>
              <w:t xml:space="preserve"> for decontamination)</w:t>
            </w:r>
          </w:p>
          <w:p w14:paraId="60080B4E" w14:textId="77777777" w:rsidR="00C5336F" w:rsidRPr="00822C69" w:rsidRDefault="00C5336F" w:rsidP="008B3BC5">
            <w:pPr>
              <w:ind w:right="33"/>
              <w:rPr>
                <w:rFonts w:ascii="Arial" w:eastAsia="Calibri" w:hAnsi="Arial" w:cs="Arial"/>
                <w:b/>
                <w:bCs/>
              </w:rPr>
            </w:pPr>
          </w:p>
        </w:tc>
      </w:tr>
      <w:tr w:rsidR="00C5336F" w:rsidRPr="00822C69" w14:paraId="6F0CE250" w14:textId="77777777" w:rsidTr="008B3BC5">
        <w:trPr>
          <w:jc w:val="center"/>
        </w:trPr>
        <w:tc>
          <w:tcPr>
            <w:tcW w:w="1996" w:type="dxa"/>
          </w:tcPr>
          <w:p w14:paraId="25B514D2" w14:textId="77777777" w:rsidR="00C5336F" w:rsidRPr="00822C69" w:rsidRDefault="00C5336F" w:rsidP="008B3BC5">
            <w:pPr>
              <w:rPr>
                <w:rFonts w:ascii="Arial" w:eastAsia="Calibri" w:hAnsi="Arial" w:cs="Arial"/>
                <w:b/>
                <w:bCs/>
              </w:rPr>
            </w:pPr>
            <w:r w:rsidRPr="00822C69">
              <w:rPr>
                <w:rFonts w:ascii="Arial" w:eastAsia="Calibri" w:hAnsi="Arial" w:cs="Arial"/>
                <w:bCs/>
              </w:rPr>
              <w:t>Cleaning of tanks</w:t>
            </w:r>
          </w:p>
        </w:tc>
        <w:tc>
          <w:tcPr>
            <w:tcW w:w="6876" w:type="dxa"/>
          </w:tcPr>
          <w:p w14:paraId="2EEC78FB"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 xml:space="preserve">Removal and disposal of all materials will be carried out in compliance with environmental legislation and with due regard, where applicable, to the waste hierarchy. (See </w:t>
            </w:r>
            <w:r w:rsidRPr="00822C69">
              <w:rPr>
                <w:rFonts w:ascii="Arial" w:eastAsia="Calibri" w:hAnsi="Arial" w:cs="Arial"/>
                <w:b/>
                <w:bCs/>
              </w:rPr>
              <w:t>below</w:t>
            </w:r>
            <w:r w:rsidRPr="00822C69">
              <w:rPr>
                <w:rFonts w:ascii="Arial" w:eastAsia="Calibri" w:hAnsi="Arial" w:cs="Arial"/>
                <w:bCs/>
              </w:rPr>
              <w:t xml:space="preserve"> for decontamination)</w:t>
            </w:r>
          </w:p>
          <w:p w14:paraId="40EA13F8" w14:textId="77777777" w:rsidR="00C5336F" w:rsidRPr="00822C69" w:rsidRDefault="00C5336F" w:rsidP="008B3BC5">
            <w:pPr>
              <w:ind w:right="33"/>
              <w:rPr>
                <w:rFonts w:ascii="Arial" w:eastAsia="Calibri" w:hAnsi="Arial" w:cs="Arial"/>
                <w:b/>
                <w:bCs/>
              </w:rPr>
            </w:pPr>
          </w:p>
        </w:tc>
      </w:tr>
      <w:tr w:rsidR="00C5336F" w:rsidRPr="00822C69" w14:paraId="2DCBEF6D" w14:textId="77777777" w:rsidTr="008B3BC5">
        <w:trPr>
          <w:jc w:val="center"/>
        </w:trPr>
        <w:tc>
          <w:tcPr>
            <w:tcW w:w="1996" w:type="dxa"/>
          </w:tcPr>
          <w:p w14:paraId="5C53135E" w14:textId="77777777" w:rsidR="00C5336F" w:rsidRPr="00822C69" w:rsidRDefault="00C5336F" w:rsidP="008B3BC5">
            <w:pPr>
              <w:rPr>
                <w:rFonts w:ascii="Arial" w:eastAsia="Calibri" w:hAnsi="Arial" w:cs="Arial"/>
                <w:b/>
                <w:bCs/>
              </w:rPr>
            </w:pPr>
            <w:r w:rsidRPr="00822C69">
              <w:rPr>
                <w:rFonts w:ascii="Arial" w:eastAsia="Calibri" w:hAnsi="Arial" w:cs="Arial"/>
                <w:bCs/>
              </w:rPr>
              <w:t>Cleaning &amp; dismantling of abatement plants.</w:t>
            </w:r>
          </w:p>
        </w:tc>
        <w:tc>
          <w:tcPr>
            <w:tcW w:w="6876" w:type="dxa"/>
          </w:tcPr>
          <w:p w14:paraId="7A1AE42C"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 xml:space="preserve">Careful dismantling of plant and cleaning of the dismantled elements of the plant and associated piping.  Prior cleaning by flushing through of ductwork will be undertaken. (See </w:t>
            </w:r>
            <w:r w:rsidRPr="00822C69">
              <w:rPr>
                <w:rFonts w:ascii="Arial" w:eastAsia="Calibri" w:hAnsi="Arial" w:cs="Arial"/>
                <w:b/>
                <w:bCs/>
              </w:rPr>
              <w:t>below</w:t>
            </w:r>
            <w:r w:rsidRPr="00822C69">
              <w:rPr>
                <w:rFonts w:ascii="Arial" w:eastAsia="Calibri" w:hAnsi="Arial" w:cs="Arial"/>
                <w:bCs/>
              </w:rPr>
              <w:t xml:space="preserve"> for decontamination)</w:t>
            </w:r>
          </w:p>
          <w:p w14:paraId="74B062D1" w14:textId="77777777" w:rsidR="00C5336F" w:rsidRPr="00822C69" w:rsidRDefault="00C5336F" w:rsidP="008B3BC5">
            <w:pPr>
              <w:ind w:right="33"/>
              <w:rPr>
                <w:rFonts w:ascii="Arial" w:eastAsia="Calibri" w:hAnsi="Arial" w:cs="Arial"/>
                <w:b/>
                <w:bCs/>
              </w:rPr>
            </w:pPr>
          </w:p>
        </w:tc>
      </w:tr>
      <w:tr w:rsidR="00C5336F" w:rsidRPr="00822C69" w14:paraId="6362B113" w14:textId="77777777" w:rsidTr="008B3BC5">
        <w:trPr>
          <w:jc w:val="center"/>
        </w:trPr>
        <w:tc>
          <w:tcPr>
            <w:tcW w:w="1996" w:type="dxa"/>
          </w:tcPr>
          <w:p w14:paraId="03ACFA0C" w14:textId="77777777" w:rsidR="00C5336F" w:rsidRPr="00822C69" w:rsidRDefault="00C5336F" w:rsidP="008B3BC5">
            <w:pPr>
              <w:rPr>
                <w:rFonts w:ascii="Arial" w:eastAsia="Calibri" w:hAnsi="Arial" w:cs="Arial"/>
                <w:b/>
                <w:bCs/>
              </w:rPr>
            </w:pPr>
            <w:r w:rsidRPr="00822C69">
              <w:rPr>
                <w:rFonts w:ascii="Arial" w:eastAsia="Calibri" w:hAnsi="Arial" w:cs="Arial"/>
                <w:bCs/>
              </w:rPr>
              <w:t>Cleaning of supply lines</w:t>
            </w:r>
          </w:p>
        </w:tc>
        <w:tc>
          <w:tcPr>
            <w:tcW w:w="6876" w:type="dxa"/>
          </w:tcPr>
          <w:p w14:paraId="1E0162D9" w14:textId="5950C037" w:rsidR="00C5336F" w:rsidRPr="00822C69" w:rsidRDefault="00C5336F" w:rsidP="008B3BC5">
            <w:pPr>
              <w:ind w:right="33"/>
              <w:rPr>
                <w:rFonts w:ascii="Arial" w:eastAsia="Calibri" w:hAnsi="Arial" w:cs="Arial"/>
                <w:b/>
                <w:bCs/>
              </w:rPr>
            </w:pPr>
            <w:r w:rsidRPr="00822C69">
              <w:rPr>
                <w:rFonts w:ascii="Arial" w:eastAsia="Calibri" w:hAnsi="Arial" w:cs="Arial"/>
                <w:bCs/>
              </w:rPr>
              <w:t>Bulk raw material supply and product lines will be flushed though with water, the effluent collected in isolated tanks/sumps, pH corrected and sent through the installation</w:t>
            </w:r>
            <w:r w:rsidR="005E0FF2">
              <w:rPr>
                <w:rFonts w:ascii="Arial" w:eastAsia="Calibri" w:hAnsi="Arial" w:cs="Arial"/>
                <w:bCs/>
              </w:rPr>
              <w:t>’</w:t>
            </w:r>
            <w:r w:rsidRPr="00822C69">
              <w:rPr>
                <w:rFonts w:ascii="Arial" w:eastAsia="Calibri" w:hAnsi="Arial" w:cs="Arial"/>
                <w:bCs/>
              </w:rPr>
              <w:t xml:space="preserve">s normal disposal routes. Once cleaned the lines will be disconnected from the bulk facilities to ensure permanent physical isolation. Raw material and product pumps and valves were removed and either sold or sent for scrap. The asset units will be isolated. (See </w:t>
            </w:r>
            <w:r w:rsidRPr="00822C69">
              <w:rPr>
                <w:rFonts w:ascii="Arial" w:eastAsia="Calibri" w:hAnsi="Arial" w:cs="Arial"/>
                <w:b/>
                <w:bCs/>
              </w:rPr>
              <w:t>below</w:t>
            </w:r>
            <w:r w:rsidRPr="00822C69">
              <w:rPr>
                <w:rFonts w:ascii="Arial" w:eastAsia="Calibri" w:hAnsi="Arial" w:cs="Arial"/>
                <w:bCs/>
              </w:rPr>
              <w:t xml:space="preserve"> for decontamination)</w:t>
            </w:r>
          </w:p>
          <w:p w14:paraId="3639D30F" w14:textId="77777777" w:rsidR="00C5336F" w:rsidRPr="00822C69" w:rsidRDefault="00C5336F" w:rsidP="008B3BC5">
            <w:pPr>
              <w:ind w:right="33"/>
              <w:rPr>
                <w:rFonts w:ascii="Arial" w:eastAsia="Calibri" w:hAnsi="Arial" w:cs="Arial"/>
                <w:b/>
                <w:bCs/>
              </w:rPr>
            </w:pPr>
          </w:p>
        </w:tc>
      </w:tr>
      <w:tr w:rsidR="00C5336F" w:rsidRPr="00822C69" w14:paraId="44CF33E2" w14:textId="77777777" w:rsidTr="008B3BC5">
        <w:trPr>
          <w:jc w:val="center"/>
        </w:trPr>
        <w:tc>
          <w:tcPr>
            <w:tcW w:w="1996" w:type="dxa"/>
          </w:tcPr>
          <w:p w14:paraId="5C3022CE" w14:textId="77777777" w:rsidR="00C5336F" w:rsidRPr="00822C69" w:rsidRDefault="00C5336F" w:rsidP="008B3BC5">
            <w:pPr>
              <w:rPr>
                <w:rFonts w:ascii="Arial" w:eastAsia="Calibri" w:hAnsi="Arial" w:cs="Arial"/>
                <w:b/>
                <w:bCs/>
              </w:rPr>
            </w:pPr>
            <w:r w:rsidRPr="00822C69">
              <w:rPr>
                <w:rFonts w:ascii="Arial" w:eastAsia="Calibri" w:hAnsi="Arial" w:cs="Arial"/>
                <w:bCs/>
              </w:rPr>
              <w:t>Safe disconnection of services.</w:t>
            </w:r>
          </w:p>
        </w:tc>
        <w:tc>
          <w:tcPr>
            <w:tcW w:w="6876" w:type="dxa"/>
          </w:tcPr>
          <w:p w14:paraId="3DB4312C"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All electrical services will be locked off and disconnected and cut from the distribution switch room.  All gas connections will be purged and locked off.  All compressed air lines will be disconnected, ensuring no residual pressure is left within the lines. Oil lines will be drained.</w:t>
            </w:r>
          </w:p>
        </w:tc>
      </w:tr>
      <w:tr w:rsidR="00C5336F" w:rsidRPr="00822C69" w14:paraId="73F2AA3C" w14:textId="77777777" w:rsidTr="008B3BC5">
        <w:trPr>
          <w:jc w:val="center"/>
        </w:trPr>
        <w:tc>
          <w:tcPr>
            <w:tcW w:w="1996" w:type="dxa"/>
          </w:tcPr>
          <w:p w14:paraId="5C064934" w14:textId="77777777" w:rsidR="00C5336F" w:rsidRPr="00822C69" w:rsidRDefault="00C5336F" w:rsidP="008B3BC5">
            <w:pPr>
              <w:rPr>
                <w:rFonts w:ascii="Arial" w:eastAsia="Calibri" w:hAnsi="Arial" w:cs="Arial"/>
                <w:b/>
                <w:bCs/>
              </w:rPr>
            </w:pPr>
            <w:r w:rsidRPr="00822C69">
              <w:rPr>
                <w:rFonts w:ascii="Arial" w:eastAsia="Calibri" w:hAnsi="Arial" w:cs="Arial"/>
                <w:bCs/>
              </w:rPr>
              <w:t>Waste disposal of solids.</w:t>
            </w:r>
          </w:p>
        </w:tc>
        <w:tc>
          <w:tcPr>
            <w:tcW w:w="6876" w:type="dxa"/>
          </w:tcPr>
          <w:p w14:paraId="78334380"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 xml:space="preserve">All wastes including scrap will be clearly identified, appropriately packaged and correctly disposed of in accordance with the relevant legislation </w:t>
            </w:r>
            <w:r w:rsidRPr="00822C69">
              <w:rPr>
                <w:rFonts w:ascii="Arial" w:eastAsia="Calibri" w:hAnsi="Arial" w:cs="Arial"/>
                <w:bCs/>
              </w:rPr>
              <w:lastRenderedPageBreak/>
              <w:t xml:space="preserve">(Controlled and/or Hazardous waste). All waste documentation will be retained and verified. </w:t>
            </w:r>
          </w:p>
          <w:p w14:paraId="61B1901E" w14:textId="77777777" w:rsidR="00C5336F" w:rsidRPr="00822C69" w:rsidRDefault="00C5336F" w:rsidP="008B3BC5">
            <w:pPr>
              <w:ind w:right="33"/>
              <w:rPr>
                <w:rFonts w:ascii="Arial" w:eastAsia="Calibri" w:hAnsi="Arial" w:cs="Arial"/>
                <w:b/>
                <w:bCs/>
              </w:rPr>
            </w:pPr>
          </w:p>
        </w:tc>
      </w:tr>
      <w:tr w:rsidR="00C5336F" w:rsidRPr="00822C69" w14:paraId="7A91C328" w14:textId="77777777" w:rsidTr="008B3BC5">
        <w:trPr>
          <w:jc w:val="center"/>
        </w:trPr>
        <w:tc>
          <w:tcPr>
            <w:tcW w:w="1996" w:type="dxa"/>
          </w:tcPr>
          <w:p w14:paraId="3F79A9BF" w14:textId="77777777" w:rsidR="00C5336F" w:rsidRPr="00822C69" w:rsidRDefault="00C5336F" w:rsidP="008B3BC5">
            <w:pPr>
              <w:rPr>
                <w:rFonts w:ascii="Arial" w:eastAsia="Calibri" w:hAnsi="Arial" w:cs="Arial"/>
                <w:b/>
                <w:bCs/>
              </w:rPr>
            </w:pPr>
            <w:r w:rsidRPr="00822C69">
              <w:rPr>
                <w:rFonts w:ascii="Arial" w:eastAsia="Calibri" w:hAnsi="Arial" w:cs="Arial"/>
                <w:bCs/>
              </w:rPr>
              <w:lastRenderedPageBreak/>
              <w:t>Waste disposal of liquids.</w:t>
            </w:r>
          </w:p>
        </w:tc>
        <w:tc>
          <w:tcPr>
            <w:tcW w:w="6876" w:type="dxa"/>
          </w:tcPr>
          <w:p w14:paraId="3971D83B"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All liquid wastes that cannot be treated through the normal operation of the effluent system will be sent off site for treatment via recovery or disposal. A complete log of contractors and records of movements of materials from the site plus associated effluent plant discharge compliance records will be retained by the operator.  All wastes will be tankered away for disposal and carried out after identification (chemical analysis where appropriate) with removal completed under supervision and in accordance with legislation (Controlled and/or Hazardous Waste). All waste documentation will be retained and verified.</w:t>
            </w:r>
          </w:p>
          <w:p w14:paraId="5F813316" w14:textId="77777777" w:rsidR="00C5336F" w:rsidRPr="00822C69" w:rsidRDefault="00C5336F" w:rsidP="008B3BC5">
            <w:pPr>
              <w:ind w:right="33"/>
              <w:rPr>
                <w:rFonts w:ascii="Arial" w:eastAsia="Calibri" w:hAnsi="Arial" w:cs="Arial"/>
                <w:b/>
                <w:bCs/>
              </w:rPr>
            </w:pPr>
          </w:p>
        </w:tc>
      </w:tr>
      <w:tr w:rsidR="00C5336F" w:rsidRPr="00822C69" w14:paraId="0226CF8F" w14:textId="77777777" w:rsidTr="008B3BC5">
        <w:trPr>
          <w:jc w:val="center"/>
        </w:trPr>
        <w:tc>
          <w:tcPr>
            <w:tcW w:w="1996" w:type="dxa"/>
          </w:tcPr>
          <w:p w14:paraId="44F8D283" w14:textId="77777777" w:rsidR="00C5336F" w:rsidRPr="00822C69" w:rsidRDefault="00C5336F" w:rsidP="008B3BC5">
            <w:pPr>
              <w:rPr>
                <w:rFonts w:ascii="Arial" w:eastAsia="Calibri" w:hAnsi="Arial" w:cs="Arial"/>
                <w:b/>
                <w:bCs/>
              </w:rPr>
            </w:pPr>
            <w:r w:rsidRPr="00822C69">
              <w:rPr>
                <w:rFonts w:ascii="Arial" w:eastAsia="Calibri" w:hAnsi="Arial" w:cs="Arial"/>
                <w:bCs/>
              </w:rPr>
              <w:t>Location plans for all infrastructure/pipework.</w:t>
            </w:r>
          </w:p>
        </w:tc>
        <w:tc>
          <w:tcPr>
            <w:tcW w:w="6876" w:type="dxa"/>
          </w:tcPr>
          <w:p w14:paraId="18B0C488"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Will be determined as part of the pre</w:t>
            </w:r>
            <w:r w:rsidRPr="00822C69">
              <w:rPr>
                <w:rFonts w:ascii="Arial" w:eastAsia="Calibri" w:hAnsi="Arial" w:cs="Arial"/>
                <w:b/>
                <w:bCs/>
              </w:rPr>
              <w:t>-</w:t>
            </w:r>
            <w:r w:rsidRPr="00822C69">
              <w:rPr>
                <w:rFonts w:ascii="Arial" w:eastAsia="Calibri" w:hAnsi="Arial" w:cs="Arial"/>
                <w:bCs/>
              </w:rPr>
              <w:t>closure investigation, with modification of site plans as appropriate.</w:t>
            </w:r>
          </w:p>
          <w:p w14:paraId="5070602F" w14:textId="77777777" w:rsidR="00C5336F" w:rsidRPr="00822C69" w:rsidRDefault="00C5336F" w:rsidP="008B3BC5">
            <w:pPr>
              <w:ind w:right="33"/>
              <w:rPr>
                <w:rFonts w:ascii="Arial" w:eastAsia="Calibri" w:hAnsi="Arial" w:cs="Arial"/>
                <w:b/>
                <w:bCs/>
              </w:rPr>
            </w:pPr>
          </w:p>
        </w:tc>
      </w:tr>
      <w:tr w:rsidR="00C5336F" w:rsidRPr="00822C69" w14:paraId="2E1F266F" w14:textId="77777777" w:rsidTr="008B3BC5">
        <w:trPr>
          <w:jc w:val="center"/>
        </w:trPr>
        <w:tc>
          <w:tcPr>
            <w:tcW w:w="1996" w:type="dxa"/>
          </w:tcPr>
          <w:p w14:paraId="25F54451" w14:textId="77777777" w:rsidR="00C5336F" w:rsidRPr="00822C69" w:rsidRDefault="00C5336F" w:rsidP="008B3BC5">
            <w:pPr>
              <w:rPr>
                <w:rFonts w:ascii="Arial" w:eastAsia="Calibri" w:hAnsi="Arial" w:cs="Arial"/>
                <w:b/>
                <w:bCs/>
              </w:rPr>
            </w:pPr>
            <w:r w:rsidRPr="00822C69">
              <w:rPr>
                <w:rFonts w:ascii="Arial" w:eastAsia="Calibri" w:hAnsi="Arial" w:cs="Arial"/>
                <w:bCs/>
              </w:rPr>
              <w:t>Verification procedure, sign off and record Keeping</w:t>
            </w:r>
          </w:p>
        </w:tc>
        <w:tc>
          <w:tcPr>
            <w:tcW w:w="6876" w:type="dxa"/>
          </w:tcPr>
          <w:p w14:paraId="4D4AA714"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All steps in the decommissioning process will be verified by a competent company representative, responsible for the discharge of the closure programme. All records confirming actions to be identified in advance of the programme being implemented. A records file will be available and up-to-date as a source of information.</w:t>
            </w:r>
          </w:p>
          <w:p w14:paraId="43F877F7" w14:textId="77777777" w:rsidR="00C5336F" w:rsidRPr="00822C69" w:rsidRDefault="00C5336F" w:rsidP="008B3BC5">
            <w:pPr>
              <w:ind w:right="33"/>
              <w:rPr>
                <w:rFonts w:ascii="Arial" w:eastAsia="Calibri" w:hAnsi="Arial" w:cs="Arial"/>
                <w:b/>
                <w:bCs/>
              </w:rPr>
            </w:pPr>
          </w:p>
        </w:tc>
      </w:tr>
      <w:tr w:rsidR="00C5336F" w:rsidRPr="00822C69" w14:paraId="201B7EE7" w14:textId="77777777" w:rsidTr="008B3BC5">
        <w:trPr>
          <w:jc w:val="center"/>
        </w:trPr>
        <w:tc>
          <w:tcPr>
            <w:tcW w:w="1996" w:type="dxa"/>
          </w:tcPr>
          <w:p w14:paraId="7C1232C8" w14:textId="77777777" w:rsidR="00C5336F" w:rsidRPr="00822C69" w:rsidRDefault="00C5336F" w:rsidP="008B3BC5">
            <w:pPr>
              <w:rPr>
                <w:rFonts w:ascii="Arial" w:eastAsia="Calibri" w:hAnsi="Arial" w:cs="Arial"/>
                <w:b/>
                <w:bCs/>
              </w:rPr>
            </w:pPr>
            <w:r w:rsidRPr="00822C69">
              <w:rPr>
                <w:rFonts w:ascii="Arial" w:eastAsia="Calibri" w:hAnsi="Arial" w:cs="Arial"/>
                <w:bCs/>
              </w:rPr>
              <w:t>Emergency preparedness.</w:t>
            </w:r>
          </w:p>
        </w:tc>
        <w:tc>
          <w:tcPr>
            <w:tcW w:w="6876" w:type="dxa"/>
          </w:tcPr>
          <w:p w14:paraId="61332747"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Spill kits/response materials will be present on site with a 24-hour emergency call out response from the decommissioning management team.  Detailed plans and procedures will be developed in conjunction with contractors for their aspects of the decommissioning process.</w:t>
            </w:r>
          </w:p>
          <w:p w14:paraId="0276BC1E" w14:textId="77777777" w:rsidR="00C5336F" w:rsidRPr="00822C69" w:rsidRDefault="00C5336F" w:rsidP="008B3BC5">
            <w:pPr>
              <w:ind w:right="33"/>
              <w:rPr>
                <w:rFonts w:ascii="Arial" w:eastAsia="Calibri" w:hAnsi="Arial" w:cs="Arial"/>
                <w:b/>
                <w:bCs/>
              </w:rPr>
            </w:pPr>
          </w:p>
        </w:tc>
      </w:tr>
    </w:tbl>
    <w:p w14:paraId="59E019A5" w14:textId="77777777" w:rsidR="00C5336F" w:rsidRPr="00822C69" w:rsidRDefault="00C5336F" w:rsidP="008B424C">
      <w:pPr>
        <w:pStyle w:val="DefaultText"/>
        <w:ind w:left="720" w:hanging="720"/>
        <w:rPr>
          <w:rFonts w:ascii="Arial" w:hAnsi="Arial" w:cs="Arial"/>
          <w:sz w:val="20"/>
        </w:rPr>
      </w:pPr>
    </w:p>
    <w:p w14:paraId="0544A27E" w14:textId="77777777" w:rsidR="00C5336F" w:rsidRPr="00822C69" w:rsidRDefault="006C7DBC" w:rsidP="00C5336F">
      <w:pPr>
        <w:pStyle w:val="Heading2"/>
        <w:rPr>
          <w:rFonts w:ascii="Arial" w:hAnsi="Arial" w:cs="Arial"/>
          <w:b w:val="0"/>
          <w:bCs w:val="0"/>
          <w:i w:val="0"/>
          <w:iCs w:val="0"/>
          <w:sz w:val="20"/>
          <w:szCs w:val="20"/>
        </w:rPr>
      </w:pPr>
      <w:bookmarkStart w:id="1" w:name="_Toc467855843"/>
      <w:r w:rsidRPr="00822C69">
        <w:rPr>
          <w:rFonts w:ascii="Arial" w:hAnsi="Arial" w:cs="Arial"/>
          <w:b w:val="0"/>
          <w:bCs w:val="0"/>
          <w:i w:val="0"/>
          <w:iCs w:val="0"/>
          <w:sz w:val="20"/>
          <w:szCs w:val="20"/>
        </w:rPr>
        <w:t>4.3</w:t>
      </w:r>
      <w:r w:rsidRPr="00822C69">
        <w:rPr>
          <w:rFonts w:ascii="Arial" w:hAnsi="Arial" w:cs="Arial"/>
          <w:b w:val="0"/>
          <w:bCs w:val="0"/>
          <w:i w:val="0"/>
          <w:iCs w:val="0"/>
          <w:sz w:val="20"/>
          <w:szCs w:val="20"/>
        </w:rPr>
        <w:tab/>
      </w:r>
      <w:r w:rsidR="00C5336F" w:rsidRPr="00822C69">
        <w:rPr>
          <w:rFonts w:ascii="Arial" w:hAnsi="Arial" w:cs="Arial"/>
          <w:b w:val="0"/>
          <w:bCs w:val="0"/>
          <w:i w:val="0"/>
          <w:iCs w:val="0"/>
          <w:sz w:val="20"/>
          <w:szCs w:val="20"/>
        </w:rPr>
        <w:t>Decontamination at Site Closure</w:t>
      </w:r>
      <w:bookmarkEnd w:id="1"/>
    </w:p>
    <w:p w14:paraId="351A5D31" w14:textId="77777777" w:rsidR="00C5336F" w:rsidRPr="00822C69" w:rsidRDefault="00C5336F" w:rsidP="006C7DBC">
      <w:pPr>
        <w:pStyle w:val="BodyText0"/>
        <w:ind w:left="709"/>
        <w:rPr>
          <w:rFonts w:ascii="Arial" w:hAnsi="Arial" w:cs="Arial"/>
          <w:szCs w:val="20"/>
        </w:rPr>
      </w:pPr>
      <w:r w:rsidRPr="00822C69">
        <w:rPr>
          <w:rFonts w:ascii="Arial" w:hAnsi="Arial" w:cs="Arial"/>
          <w:szCs w:val="20"/>
        </w:rPr>
        <w:t>Decontamination involve</w:t>
      </w:r>
      <w:r w:rsidR="006C7DBC" w:rsidRPr="00822C69">
        <w:rPr>
          <w:rFonts w:ascii="Arial" w:hAnsi="Arial" w:cs="Arial"/>
          <w:szCs w:val="20"/>
        </w:rPr>
        <w:t>s</w:t>
      </w:r>
      <w:r w:rsidRPr="00822C69">
        <w:rPr>
          <w:rFonts w:ascii="Arial" w:hAnsi="Arial" w:cs="Arial"/>
          <w:szCs w:val="20"/>
        </w:rPr>
        <w:t xml:space="preserve"> the treatment and cleaning of structures or equipment contaminated during the operation of the plant, or where hazardous substances are part of the plant or associated infrastructure.  Factors </w:t>
      </w:r>
      <w:r w:rsidR="006C7DBC" w:rsidRPr="00822C69">
        <w:rPr>
          <w:rFonts w:ascii="Arial" w:hAnsi="Arial" w:cs="Arial"/>
          <w:szCs w:val="20"/>
        </w:rPr>
        <w:t>to be</w:t>
      </w:r>
      <w:r w:rsidRPr="00822C69">
        <w:rPr>
          <w:rFonts w:ascii="Arial" w:hAnsi="Arial" w:cs="Arial"/>
          <w:szCs w:val="20"/>
        </w:rPr>
        <w:t xml:space="preserve"> considered, and the general approaches</w:t>
      </w:r>
      <w:r w:rsidR="006C7DBC" w:rsidRPr="00822C69">
        <w:rPr>
          <w:rFonts w:ascii="Arial" w:hAnsi="Arial" w:cs="Arial"/>
          <w:szCs w:val="20"/>
        </w:rPr>
        <w:t xml:space="preserve"> to be</w:t>
      </w:r>
      <w:r w:rsidRPr="00822C69">
        <w:rPr>
          <w:rFonts w:ascii="Arial" w:hAnsi="Arial" w:cs="Arial"/>
          <w:szCs w:val="20"/>
        </w:rPr>
        <w:t xml:space="preserve"> adopted are shown </w:t>
      </w:r>
      <w:r w:rsidR="006C7DBC" w:rsidRPr="00822C69">
        <w:rPr>
          <w:rFonts w:ascii="Arial" w:hAnsi="Arial" w:cs="Arial"/>
          <w:szCs w:val="20"/>
        </w:rPr>
        <w:t>below</w:t>
      </w:r>
      <w:r w:rsidRPr="00822C69">
        <w:rPr>
          <w:rFonts w:ascii="Arial" w:hAnsi="Arial" w:cs="Arial"/>
          <w:szCs w:val="20"/>
        </w:rPr>
        <w:t>.</w:t>
      </w:r>
    </w:p>
    <w:p w14:paraId="4F75FB17" w14:textId="77777777" w:rsidR="006C7DBC" w:rsidRPr="00822C69" w:rsidRDefault="006C7DBC" w:rsidP="006C7DBC">
      <w:pPr>
        <w:pStyle w:val="BodyText0"/>
        <w:ind w:left="709"/>
        <w:rPr>
          <w:rFonts w:ascii="Arial" w:hAnsi="Arial" w:cs="Arial"/>
          <w:szCs w:val="20"/>
        </w:rPr>
      </w:pPr>
    </w:p>
    <w:tbl>
      <w:tblPr>
        <w:tblW w:w="434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781"/>
        <w:gridCol w:w="7095"/>
      </w:tblGrid>
      <w:tr w:rsidR="006C7DBC" w:rsidRPr="00822C69" w14:paraId="68412218" w14:textId="77777777" w:rsidTr="008B3BC5">
        <w:tc>
          <w:tcPr>
            <w:tcW w:w="1003" w:type="pct"/>
          </w:tcPr>
          <w:p w14:paraId="7C2E7678" w14:textId="77777777" w:rsidR="006C7DBC" w:rsidRPr="00822C69" w:rsidRDefault="006C7DBC" w:rsidP="008B3BC5">
            <w:pPr>
              <w:pStyle w:val="Caption"/>
              <w:ind w:left="29" w:firstLine="0"/>
              <w:jc w:val="center"/>
              <w:rPr>
                <w:rFonts w:eastAsia="Calibri" w:cs="Arial"/>
                <w:b/>
                <w:bCs w:val="0"/>
                <w:color w:val="auto"/>
                <w:szCs w:val="20"/>
              </w:rPr>
            </w:pPr>
            <w:r w:rsidRPr="00822C69">
              <w:rPr>
                <w:rFonts w:eastAsia="Calibri" w:cs="Arial"/>
                <w:b/>
                <w:bCs w:val="0"/>
                <w:color w:val="auto"/>
                <w:szCs w:val="20"/>
              </w:rPr>
              <w:t>FACTORS CONSIDERED</w:t>
            </w:r>
          </w:p>
        </w:tc>
        <w:tc>
          <w:tcPr>
            <w:tcW w:w="3997" w:type="pct"/>
          </w:tcPr>
          <w:p w14:paraId="1D83E6FC" w14:textId="77777777" w:rsidR="006C7DBC" w:rsidRPr="00822C69" w:rsidRDefault="006C7DBC" w:rsidP="008B3BC5">
            <w:pPr>
              <w:pStyle w:val="Caption"/>
              <w:ind w:left="313" w:firstLine="0"/>
              <w:jc w:val="center"/>
              <w:rPr>
                <w:rFonts w:eastAsia="Calibri" w:cs="Arial"/>
                <w:b/>
                <w:bCs w:val="0"/>
                <w:color w:val="auto"/>
                <w:szCs w:val="20"/>
              </w:rPr>
            </w:pPr>
            <w:r w:rsidRPr="00822C69">
              <w:rPr>
                <w:rFonts w:eastAsia="Calibri" w:cs="Arial"/>
                <w:b/>
                <w:bCs w:val="0"/>
                <w:color w:val="auto"/>
                <w:szCs w:val="20"/>
              </w:rPr>
              <w:t>APPROACH</w:t>
            </w:r>
          </w:p>
        </w:tc>
      </w:tr>
      <w:tr w:rsidR="006C7DBC" w:rsidRPr="00822C69" w14:paraId="25F53DC5" w14:textId="77777777" w:rsidTr="008B3BC5">
        <w:tc>
          <w:tcPr>
            <w:tcW w:w="1003" w:type="pct"/>
          </w:tcPr>
          <w:p w14:paraId="25C5D6AD" w14:textId="77777777" w:rsidR="00C5336F" w:rsidRPr="00822C69" w:rsidRDefault="00C5336F" w:rsidP="008B3BC5">
            <w:pPr>
              <w:pStyle w:val="Caption"/>
              <w:ind w:left="0" w:firstLine="0"/>
              <w:rPr>
                <w:rFonts w:eastAsia="Calibri" w:cs="Arial"/>
                <w:b/>
                <w:bCs w:val="0"/>
                <w:color w:val="auto"/>
                <w:szCs w:val="20"/>
              </w:rPr>
            </w:pPr>
            <w:r w:rsidRPr="00822C69">
              <w:rPr>
                <w:rFonts w:eastAsia="Calibri" w:cs="Arial"/>
                <w:bCs w:val="0"/>
                <w:color w:val="auto"/>
                <w:szCs w:val="20"/>
              </w:rPr>
              <w:t>Protection against vandalism</w:t>
            </w:r>
          </w:p>
        </w:tc>
        <w:tc>
          <w:tcPr>
            <w:tcW w:w="3997" w:type="pct"/>
          </w:tcPr>
          <w:p w14:paraId="31C96A2A"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Identification of a designated Management Representative to co-ordinate all decommissioning activities; responsibilities defined for all key internal personnel; authorisation established for all decommissioning activities; and sufficient resources including human resources, skills resources, technological resources and financial resources sufficient to discharge all elements of the closure plan. An assessment of the competency of all internal personnel undertaking works in connection with the discharge of the closure plan will be made where actions are required to manage, assess and verify through inspection or analytical measures critical steps. Records of those personnel involved with the closure plan will be kept and line management sign off sought where required.</w:t>
            </w:r>
          </w:p>
          <w:p w14:paraId="16FA9365" w14:textId="77777777" w:rsidR="00C5336F" w:rsidRPr="00822C69" w:rsidRDefault="00C5336F" w:rsidP="008B3BC5">
            <w:pPr>
              <w:ind w:right="33"/>
              <w:rPr>
                <w:rFonts w:ascii="Arial" w:eastAsia="Calibri" w:hAnsi="Arial" w:cs="Arial"/>
                <w:b/>
                <w:bCs/>
              </w:rPr>
            </w:pPr>
          </w:p>
        </w:tc>
      </w:tr>
      <w:tr w:rsidR="00C5336F" w:rsidRPr="00822C69" w14:paraId="410E46C1" w14:textId="77777777" w:rsidTr="008B3BC5">
        <w:tc>
          <w:tcPr>
            <w:tcW w:w="1003" w:type="pct"/>
          </w:tcPr>
          <w:p w14:paraId="4C4F6B42" w14:textId="77777777" w:rsidR="00C5336F" w:rsidRPr="00822C69" w:rsidRDefault="00C5336F" w:rsidP="008B3BC5">
            <w:pPr>
              <w:rPr>
                <w:rFonts w:ascii="Arial" w:eastAsia="Calibri" w:hAnsi="Arial" w:cs="Arial"/>
                <w:b/>
                <w:bCs/>
              </w:rPr>
            </w:pPr>
            <w:r w:rsidRPr="00822C69">
              <w:rPr>
                <w:rFonts w:ascii="Arial" w:eastAsia="Calibri" w:hAnsi="Arial" w:cs="Arial"/>
                <w:bCs/>
              </w:rPr>
              <w:t xml:space="preserve">Awareness of all contractors of site rules for </w:t>
            </w:r>
            <w:r w:rsidRPr="00822C69">
              <w:rPr>
                <w:rFonts w:ascii="Arial" w:eastAsia="Calibri" w:hAnsi="Arial" w:cs="Arial"/>
                <w:bCs/>
              </w:rPr>
              <w:lastRenderedPageBreak/>
              <w:t>environmental protection</w:t>
            </w:r>
          </w:p>
          <w:p w14:paraId="1DD2A1C3" w14:textId="77777777" w:rsidR="006C7DBC" w:rsidRPr="00822C69" w:rsidRDefault="006C7DBC" w:rsidP="008B3BC5">
            <w:pPr>
              <w:rPr>
                <w:rFonts w:ascii="Arial" w:eastAsia="Calibri" w:hAnsi="Arial" w:cs="Arial"/>
                <w:b/>
                <w:bCs/>
              </w:rPr>
            </w:pPr>
          </w:p>
        </w:tc>
        <w:tc>
          <w:tcPr>
            <w:tcW w:w="3997" w:type="pct"/>
          </w:tcPr>
          <w:p w14:paraId="34948710"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lastRenderedPageBreak/>
              <w:t>Specific site rules included within contracts and on-site induction for environmental protection will be given to all contractors prior to start of work.</w:t>
            </w:r>
          </w:p>
        </w:tc>
      </w:tr>
      <w:tr w:rsidR="006C7DBC" w:rsidRPr="00822C69" w14:paraId="74BCB2D9" w14:textId="77777777" w:rsidTr="008B3BC5">
        <w:tc>
          <w:tcPr>
            <w:tcW w:w="1003" w:type="pct"/>
          </w:tcPr>
          <w:p w14:paraId="5BBD4110" w14:textId="77777777" w:rsidR="00C5336F" w:rsidRPr="00822C69" w:rsidRDefault="00C5336F" w:rsidP="008B3BC5">
            <w:pPr>
              <w:pStyle w:val="Caption"/>
              <w:ind w:left="29" w:hanging="29"/>
              <w:rPr>
                <w:rFonts w:eastAsia="Calibri" w:cs="Arial"/>
                <w:b/>
                <w:bCs w:val="0"/>
                <w:color w:val="auto"/>
                <w:szCs w:val="20"/>
              </w:rPr>
            </w:pPr>
            <w:r w:rsidRPr="00822C69">
              <w:rPr>
                <w:rFonts w:eastAsia="Calibri" w:cs="Arial"/>
                <w:bCs w:val="0"/>
                <w:color w:val="auto"/>
                <w:szCs w:val="20"/>
              </w:rPr>
              <w:t>Flushing out of pipelines</w:t>
            </w:r>
          </w:p>
        </w:tc>
        <w:tc>
          <w:tcPr>
            <w:tcW w:w="3997" w:type="pct"/>
          </w:tcPr>
          <w:p w14:paraId="0675F2AF"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All pipelines (both under and above ground) will, as a minimum, flushed through to the ring mains back to the bulk supply storage and subsequent recovery by a specialist contractor or to the effluent plant.  Once cleaned the lines will be disconnected from the bulk facilities to ensure isolation. An assessment for removal will be then made.</w:t>
            </w:r>
          </w:p>
          <w:p w14:paraId="75EBDE51" w14:textId="77777777" w:rsidR="00C5336F" w:rsidRPr="00822C69" w:rsidRDefault="00C5336F" w:rsidP="008B3BC5">
            <w:pPr>
              <w:ind w:right="33"/>
              <w:rPr>
                <w:rFonts w:ascii="Arial" w:eastAsia="Calibri" w:hAnsi="Arial" w:cs="Arial"/>
                <w:b/>
                <w:bCs/>
              </w:rPr>
            </w:pPr>
          </w:p>
        </w:tc>
      </w:tr>
      <w:tr w:rsidR="00C5336F" w:rsidRPr="00822C69" w14:paraId="12C7AC36" w14:textId="77777777" w:rsidTr="008B3BC5">
        <w:tc>
          <w:tcPr>
            <w:tcW w:w="1003" w:type="pct"/>
          </w:tcPr>
          <w:p w14:paraId="06261E8E" w14:textId="77777777" w:rsidR="00C5336F" w:rsidRPr="00822C69" w:rsidRDefault="00C5336F" w:rsidP="008B3BC5">
            <w:pPr>
              <w:rPr>
                <w:rFonts w:ascii="Arial" w:eastAsia="Calibri" w:hAnsi="Arial" w:cs="Arial"/>
                <w:b/>
                <w:bCs/>
              </w:rPr>
            </w:pPr>
            <w:r w:rsidRPr="00822C69">
              <w:rPr>
                <w:rFonts w:ascii="Arial" w:eastAsia="Calibri" w:hAnsi="Arial" w:cs="Arial"/>
                <w:bCs/>
              </w:rPr>
              <w:t>Flushing out of vessels</w:t>
            </w:r>
          </w:p>
        </w:tc>
        <w:tc>
          <w:tcPr>
            <w:tcW w:w="3997" w:type="pct"/>
          </w:tcPr>
          <w:p w14:paraId="7F6EDA77"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All vessels were, as a minimum, will be flushed through. Raw material bulk tanks were cleaned with water; particular attention given to the sides and top internal surfaces of the vessels.  Effluent will be collected and sent for disposal through the effluent system or appropriate off-site waste routes for disposal. Once cleaned the tanks will be isolated from the system, in preparation for removal from the facility to either be resold or disposed of as scrap.</w:t>
            </w:r>
          </w:p>
          <w:p w14:paraId="5ABFFFDD" w14:textId="77777777" w:rsidR="00C5336F" w:rsidRPr="00822C69" w:rsidRDefault="00C5336F" w:rsidP="008B3BC5">
            <w:pPr>
              <w:ind w:right="33"/>
              <w:rPr>
                <w:rFonts w:ascii="Arial" w:eastAsia="Calibri" w:hAnsi="Arial" w:cs="Arial"/>
                <w:b/>
                <w:bCs/>
              </w:rPr>
            </w:pPr>
          </w:p>
        </w:tc>
      </w:tr>
      <w:tr w:rsidR="006C7DBC" w:rsidRPr="00822C69" w14:paraId="1FF3A3F5" w14:textId="77777777" w:rsidTr="008B3BC5">
        <w:tc>
          <w:tcPr>
            <w:tcW w:w="1003" w:type="pct"/>
          </w:tcPr>
          <w:p w14:paraId="11264ED0" w14:textId="77777777" w:rsidR="00C5336F" w:rsidRPr="00822C69" w:rsidRDefault="00C5336F" w:rsidP="008B3BC5">
            <w:pPr>
              <w:rPr>
                <w:rFonts w:ascii="Arial" w:eastAsia="Calibri" w:hAnsi="Arial" w:cs="Arial"/>
                <w:b/>
                <w:bCs/>
              </w:rPr>
            </w:pPr>
            <w:r w:rsidRPr="00822C69">
              <w:rPr>
                <w:rFonts w:ascii="Arial" w:eastAsia="Calibri" w:hAnsi="Arial" w:cs="Arial"/>
                <w:bCs/>
              </w:rPr>
              <w:t>Cleaning of plant and processing area</w:t>
            </w:r>
          </w:p>
        </w:tc>
        <w:tc>
          <w:tcPr>
            <w:tcW w:w="3997" w:type="pct"/>
          </w:tcPr>
          <w:p w14:paraId="05AA4813"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Removal &amp; disposal of all oils (hydraulic, pneumatic) within plant will be analysed and specialist contractors employed for disposal. Effluent to be collected and sent for disposal through the appropriate waste routes for disposal thorough an appropriately licensed 3rd party or under consent through the effluent system.</w:t>
            </w:r>
          </w:p>
          <w:p w14:paraId="709BB174" w14:textId="77777777" w:rsidR="00C5336F" w:rsidRPr="00822C69" w:rsidRDefault="00C5336F" w:rsidP="008B3BC5">
            <w:pPr>
              <w:ind w:right="33"/>
              <w:rPr>
                <w:rFonts w:ascii="Arial" w:eastAsia="Calibri" w:hAnsi="Arial" w:cs="Arial"/>
                <w:b/>
                <w:bCs/>
              </w:rPr>
            </w:pPr>
          </w:p>
        </w:tc>
      </w:tr>
      <w:tr w:rsidR="00C5336F" w:rsidRPr="00822C69" w14:paraId="2C9F4DA9" w14:textId="77777777" w:rsidTr="008B3BC5">
        <w:tc>
          <w:tcPr>
            <w:tcW w:w="1003" w:type="pct"/>
          </w:tcPr>
          <w:p w14:paraId="60E5A85F" w14:textId="77777777" w:rsidR="00C5336F" w:rsidRPr="00822C69" w:rsidRDefault="00C5336F" w:rsidP="008B3BC5">
            <w:pPr>
              <w:rPr>
                <w:rFonts w:ascii="Arial" w:eastAsia="Calibri" w:hAnsi="Arial" w:cs="Arial"/>
                <w:b/>
                <w:bCs/>
              </w:rPr>
            </w:pPr>
            <w:r w:rsidRPr="00822C69">
              <w:rPr>
                <w:rFonts w:ascii="Arial" w:eastAsia="Calibri" w:hAnsi="Arial" w:cs="Arial"/>
                <w:bCs/>
              </w:rPr>
              <w:t>Flushing out of drains and sumps</w:t>
            </w:r>
          </w:p>
        </w:tc>
        <w:tc>
          <w:tcPr>
            <w:tcW w:w="3997" w:type="pct"/>
          </w:tcPr>
          <w:p w14:paraId="65793175"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The sumps will be emptied and the waste stream sent for appropriate disposal. The sumps will be cleaned using high pressure wash and the waste collected and sent for disposal. The sumps will be visually inspected for integrity. The drains from the permitted process will be flushed and cleaned to the effluent sump. The resulting wastes will be collected and sent for appropriate disposal. The sump pumps and pipes will be flushed clean and isolated from the system. The pits will be cleaned using high pressure wash and the waste collected and sent for disposal. The pits will be visually inspected for integrity.</w:t>
            </w:r>
          </w:p>
          <w:p w14:paraId="756B3363" w14:textId="77777777" w:rsidR="00C5336F" w:rsidRPr="00822C69" w:rsidRDefault="00C5336F" w:rsidP="008B3BC5">
            <w:pPr>
              <w:ind w:right="33"/>
              <w:rPr>
                <w:rFonts w:ascii="Arial" w:eastAsia="Calibri" w:hAnsi="Arial" w:cs="Arial"/>
                <w:b/>
                <w:bCs/>
              </w:rPr>
            </w:pPr>
          </w:p>
        </w:tc>
      </w:tr>
      <w:tr w:rsidR="006C7DBC" w:rsidRPr="00822C69" w14:paraId="13C3462A" w14:textId="77777777" w:rsidTr="008B3BC5">
        <w:tc>
          <w:tcPr>
            <w:tcW w:w="1003" w:type="pct"/>
          </w:tcPr>
          <w:p w14:paraId="7673070F" w14:textId="77777777" w:rsidR="00C5336F" w:rsidRPr="00822C69" w:rsidRDefault="00C5336F" w:rsidP="008B3BC5">
            <w:pPr>
              <w:rPr>
                <w:rFonts w:ascii="Arial" w:eastAsia="Calibri" w:hAnsi="Arial" w:cs="Arial"/>
                <w:b/>
                <w:bCs/>
              </w:rPr>
            </w:pPr>
            <w:r w:rsidRPr="00822C69">
              <w:rPr>
                <w:rFonts w:ascii="Arial" w:eastAsia="Calibri" w:hAnsi="Arial" w:cs="Arial"/>
                <w:bCs/>
              </w:rPr>
              <w:t>Waste disposal</w:t>
            </w:r>
          </w:p>
        </w:tc>
        <w:tc>
          <w:tcPr>
            <w:tcW w:w="3997" w:type="pct"/>
          </w:tcPr>
          <w:p w14:paraId="35E2D345"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All waste materials will be appropriately disposed of according to legislation. All disposal will be undertaken in an environmentally responsible manner, favouring reuse, and recycling over disposal. All waste documentation will be retained and verified.</w:t>
            </w:r>
          </w:p>
          <w:p w14:paraId="59CFCB9E" w14:textId="77777777" w:rsidR="00C5336F" w:rsidRPr="00822C69" w:rsidRDefault="00C5336F" w:rsidP="008B3BC5">
            <w:pPr>
              <w:ind w:right="33"/>
              <w:rPr>
                <w:rFonts w:ascii="Arial" w:eastAsia="Calibri" w:hAnsi="Arial" w:cs="Arial"/>
                <w:b/>
                <w:bCs/>
              </w:rPr>
            </w:pPr>
          </w:p>
        </w:tc>
      </w:tr>
      <w:tr w:rsidR="00C5336F" w:rsidRPr="00822C69" w14:paraId="6B825A21" w14:textId="77777777" w:rsidTr="008B3BC5">
        <w:trPr>
          <w:trHeight w:val="371"/>
        </w:trPr>
        <w:tc>
          <w:tcPr>
            <w:tcW w:w="1003" w:type="pct"/>
          </w:tcPr>
          <w:p w14:paraId="456783F6" w14:textId="77777777" w:rsidR="00C5336F" w:rsidRPr="00822C69" w:rsidRDefault="00C5336F" w:rsidP="008B3BC5">
            <w:pPr>
              <w:rPr>
                <w:rFonts w:ascii="Arial" w:eastAsia="Calibri" w:hAnsi="Arial" w:cs="Arial"/>
                <w:b/>
                <w:bCs/>
              </w:rPr>
            </w:pPr>
            <w:r w:rsidRPr="00822C69">
              <w:rPr>
                <w:rFonts w:ascii="Arial" w:eastAsia="Calibri" w:hAnsi="Arial" w:cs="Arial"/>
                <w:bCs/>
              </w:rPr>
              <w:t>Verification procedure, sign off and record Keeping</w:t>
            </w:r>
          </w:p>
        </w:tc>
        <w:tc>
          <w:tcPr>
            <w:tcW w:w="3997" w:type="pct"/>
          </w:tcPr>
          <w:p w14:paraId="2F3E51E1"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All steps in the decommissioning steps will be verified by a competent company representative responsible for the discharge of the closure programme. All records confirming actions to be identified in advance of the programme being implemented, with record files available and up-to-date as a source of information.</w:t>
            </w:r>
          </w:p>
          <w:p w14:paraId="04D7F298" w14:textId="77777777" w:rsidR="00C5336F" w:rsidRPr="00822C69" w:rsidRDefault="00C5336F" w:rsidP="008B3BC5">
            <w:pPr>
              <w:ind w:right="33"/>
              <w:rPr>
                <w:rFonts w:ascii="Arial" w:eastAsia="Calibri" w:hAnsi="Arial" w:cs="Arial"/>
                <w:b/>
                <w:bCs/>
              </w:rPr>
            </w:pPr>
          </w:p>
        </w:tc>
      </w:tr>
      <w:tr w:rsidR="006C7DBC" w:rsidRPr="00822C69" w14:paraId="433C03E2" w14:textId="77777777" w:rsidTr="008B3BC5">
        <w:tc>
          <w:tcPr>
            <w:tcW w:w="1003" w:type="pct"/>
          </w:tcPr>
          <w:p w14:paraId="02C88493" w14:textId="77777777" w:rsidR="00C5336F" w:rsidRPr="00822C69" w:rsidRDefault="00C5336F" w:rsidP="008B3BC5">
            <w:pPr>
              <w:rPr>
                <w:rFonts w:ascii="Arial" w:eastAsia="Calibri" w:hAnsi="Arial" w:cs="Arial"/>
                <w:b/>
                <w:bCs/>
              </w:rPr>
            </w:pPr>
            <w:r w:rsidRPr="00822C69">
              <w:rPr>
                <w:rFonts w:ascii="Arial" w:eastAsia="Calibri" w:hAnsi="Arial" w:cs="Arial"/>
                <w:bCs/>
              </w:rPr>
              <w:t>Emergency preparedness</w:t>
            </w:r>
          </w:p>
        </w:tc>
        <w:tc>
          <w:tcPr>
            <w:tcW w:w="3997" w:type="pct"/>
          </w:tcPr>
          <w:p w14:paraId="6192B41F" w14:textId="77777777" w:rsidR="00C5336F" w:rsidRPr="00822C69" w:rsidRDefault="00C5336F" w:rsidP="008B3BC5">
            <w:pPr>
              <w:ind w:right="33"/>
              <w:rPr>
                <w:rFonts w:ascii="Arial" w:eastAsia="Calibri" w:hAnsi="Arial" w:cs="Arial"/>
                <w:b/>
                <w:bCs/>
              </w:rPr>
            </w:pPr>
            <w:r w:rsidRPr="00822C69">
              <w:rPr>
                <w:rFonts w:ascii="Arial" w:eastAsia="Calibri" w:hAnsi="Arial" w:cs="Arial"/>
                <w:bCs/>
              </w:rPr>
              <w:t>Spill kits/response materials will be present on site with a 24-hour emergency call out response from the decommissioning management team.  Detailed plans and procedures were developed in conjunction with contractors for their aspects of the decommissioning process.</w:t>
            </w:r>
          </w:p>
          <w:p w14:paraId="5414F65C" w14:textId="77777777" w:rsidR="00C5336F" w:rsidRPr="00822C69" w:rsidRDefault="00C5336F" w:rsidP="008B3BC5">
            <w:pPr>
              <w:ind w:right="33"/>
              <w:rPr>
                <w:rFonts w:ascii="Arial" w:eastAsia="Calibri" w:hAnsi="Arial" w:cs="Arial"/>
                <w:b/>
                <w:bCs/>
              </w:rPr>
            </w:pPr>
          </w:p>
        </w:tc>
      </w:tr>
    </w:tbl>
    <w:p w14:paraId="706DD47C" w14:textId="77777777" w:rsidR="00C5336F" w:rsidRPr="00822C69" w:rsidRDefault="00C5336F" w:rsidP="008B424C">
      <w:pPr>
        <w:pStyle w:val="DefaultText"/>
        <w:ind w:left="720" w:hanging="720"/>
        <w:rPr>
          <w:rFonts w:ascii="Arial" w:hAnsi="Arial" w:cs="Arial"/>
          <w:sz w:val="20"/>
        </w:rPr>
      </w:pPr>
    </w:p>
    <w:p w14:paraId="407D7BA7" w14:textId="77777777" w:rsidR="00C5336F" w:rsidRPr="00822C69" w:rsidRDefault="006C7DBC" w:rsidP="00C5336F">
      <w:pPr>
        <w:pStyle w:val="Heading2"/>
        <w:rPr>
          <w:rFonts w:ascii="Arial" w:hAnsi="Arial" w:cs="Arial"/>
          <w:b w:val="0"/>
          <w:bCs w:val="0"/>
          <w:i w:val="0"/>
          <w:iCs w:val="0"/>
          <w:sz w:val="20"/>
          <w:szCs w:val="20"/>
        </w:rPr>
      </w:pPr>
      <w:bookmarkStart w:id="2" w:name="_Toc467855844"/>
      <w:r w:rsidRPr="00822C69">
        <w:rPr>
          <w:rFonts w:ascii="Arial" w:hAnsi="Arial" w:cs="Arial"/>
          <w:b w:val="0"/>
          <w:bCs w:val="0"/>
          <w:i w:val="0"/>
          <w:iCs w:val="0"/>
          <w:sz w:val="20"/>
          <w:szCs w:val="20"/>
        </w:rPr>
        <w:lastRenderedPageBreak/>
        <w:t>4.4</w:t>
      </w:r>
      <w:r w:rsidRPr="00822C69">
        <w:rPr>
          <w:rFonts w:ascii="Arial" w:hAnsi="Arial" w:cs="Arial"/>
          <w:b w:val="0"/>
          <w:bCs w:val="0"/>
          <w:i w:val="0"/>
          <w:iCs w:val="0"/>
          <w:sz w:val="20"/>
          <w:szCs w:val="20"/>
        </w:rPr>
        <w:tab/>
      </w:r>
      <w:r w:rsidR="00C5336F" w:rsidRPr="00822C69">
        <w:rPr>
          <w:rFonts w:ascii="Arial" w:hAnsi="Arial" w:cs="Arial"/>
          <w:b w:val="0"/>
          <w:bCs w:val="0"/>
          <w:i w:val="0"/>
          <w:iCs w:val="0"/>
          <w:sz w:val="20"/>
          <w:szCs w:val="20"/>
        </w:rPr>
        <w:t>Demolition at Site Closure</w:t>
      </w:r>
      <w:bookmarkEnd w:id="2"/>
    </w:p>
    <w:p w14:paraId="28FD9102" w14:textId="77777777" w:rsidR="00C5336F" w:rsidRPr="00822C69" w:rsidRDefault="00C5336F" w:rsidP="006C7DBC">
      <w:pPr>
        <w:pStyle w:val="BodyText0"/>
        <w:ind w:left="709"/>
        <w:rPr>
          <w:rFonts w:ascii="Arial" w:hAnsi="Arial" w:cs="Arial"/>
          <w:szCs w:val="20"/>
        </w:rPr>
      </w:pPr>
      <w:r w:rsidRPr="00822C69">
        <w:rPr>
          <w:rFonts w:ascii="Arial" w:hAnsi="Arial" w:cs="Arial"/>
          <w:szCs w:val="20"/>
        </w:rPr>
        <w:t xml:space="preserve">Demolition is the physical process of dismantling and disposing of built structures including framed structures and removal of process plant.  Although demolition will occur after the surrender of the permit, factors that will be considered, and the general approaches to be adopted are shown </w:t>
      </w:r>
      <w:r w:rsidR="006C7DBC" w:rsidRPr="00822C69">
        <w:rPr>
          <w:rFonts w:ascii="Arial" w:hAnsi="Arial" w:cs="Arial"/>
          <w:szCs w:val="20"/>
        </w:rPr>
        <w:t>below</w:t>
      </w:r>
      <w:r w:rsidRPr="00822C69">
        <w:rPr>
          <w:rFonts w:ascii="Arial" w:hAnsi="Arial" w:cs="Arial"/>
          <w:szCs w:val="20"/>
        </w:rPr>
        <w:t>.</w:t>
      </w:r>
    </w:p>
    <w:p w14:paraId="22B0BD50" w14:textId="77777777" w:rsidR="006C7DBC" w:rsidRPr="00822C69" w:rsidRDefault="006C7DBC" w:rsidP="006C7DBC">
      <w:pPr>
        <w:pStyle w:val="BodyText0"/>
        <w:ind w:left="709"/>
        <w:rPr>
          <w:rFonts w:ascii="Arial" w:hAnsi="Arial"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822"/>
        <w:gridCol w:w="7250"/>
      </w:tblGrid>
      <w:tr w:rsidR="006C7DBC" w:rsidRPr="00822C69" w14:paraId="01E49937" w14:textId="77777777" w:rsidTr="008B3BC5">
        <w:trPr>
          <w:trHeight w:hRule="exact" w:val="817"/>
          <w:jc w:val="center"/>
        </w:trPr>
        <w:tc>
          <w:tcPr>
            <w:tcW w:w="1822" w:type="dxa"/>
            <w:hideMark/>
          </w:tcPr>
          <w:p w14:paraId="715B79C1" w14:textId="77777777" w:rsidR="006C7DBC" w:rsidRPr="00822C69" w:rsidRDefault="006C7DBC" w:rsidP="008B3BC5">
            <w:pPr>
              <w:pStyle w:val="Caption"/>
              <w:ind w:left="29" w:hanging="29"/>
              <w:jc w:val="center"/>
              <w:rPr>
                <w:rFonts w:eastAsia="Calibri" w:cs="Arial"/>
                <w:b/>
                <w:bCs w:val="0"/>
                <w:color w:val="auto"/>
                <w:szCs w:val="20"/>
              </w:rPr>
            </w:pPr>
            <w:r w:rsidRPr="00822C69">
              <w:rPr>
                <w:rFonts w:eastAsia="Calibri" w:cs="Arial"/>
                <w:b/>
                <w:bCs w:val="0"/>
                <w:color w:val="auto"/>
                <w:szCs w:val="20"/>
              </w:rPr>
              <w:t>FACTORS CONSIDERED</w:t>
            </w:r>
          </w:p>
        </w:tc>
        <w:tc>
          <w:tcPr>
            <w:tcW w:w="7250" w:type="dxa"/>
            <w:hideMark/>
          </w:tcPr>
          <w:p w14:paraId="5D5ADD31" w14:textId="77777777" w:rsidR="006C7DBC" w:rsidRPr="00822C69" w:rsidRDefault="006C7DBC" w:rsidP="008B3BC5">
            <w:pPr>
              <w:pStyle w:val="Caption"/>
              <w:ind w:left="29" w:hanging="29"/>
              <w:jc w:val="center"/>
              <w:rPr>
                <w:rFonts w:eastAsia="Calibri" w:cs="Arial"/>
                <w:b/>
                <w:bCs w:val="0"/>
                <w:color w:val="auto"/>
                <w:szCs w:val="20"/>
              </w:rPr>
            </w:pPr>
            <w:r w:rsidRPr="00822C69">
              <w:rPr>
                <w:rFonts w:eastAsia="Calibri" w:cs="Arial"/>
                <w:b/>
                <w:bCs w:val="0"/>
                <w:color w:val="auto"/>
                <w:szCs w:val="20"/>
              </w:rPr>
              <w:t>APPROACH</w:t>
            </w:r>
          </w:p>
        </w:tc>
      </w:tr>
      <w:tr w:rsidR="006C7DBC" w:rsidRPr="00822C69" w14:paraId="08D86CF8" w14:textId="77777777" w:rsidTr="008B3BC5">
        <w:trPr>
          <w:trHeight w:val="376"/>
          <w:jc w:val="center"/>
        </w:trPr>
        <w:tc>
          <w:tcPr>
            <w:tcW w:w="1822" w:type="dxa"/>
            <w:hideMark/>
          </w:tcPr>
          <w:p w14:paraId="39D6827C" w14:textId="77777777" w:rsidR="00C5336F" w:rsidRPr="00822C69" w:rsidRDefault="00C5336F" w:rsidP="008B3BC5">
            <w:pPr>
              <w:rPr>
                <w:rFonts w:ascii="Arial" w:eastAsia="Calibri" w:hAnsi="Arial" w:cs="Arial"/>
                <w:b/>
                <w:bCs/>
              </w:rPr>
            </w:pPr>
            <w:r w:rsidRPr="00822C69">
              <w:rPr>
                <w:rFonts w:ascii="Arial" w:eastAsia="Calibri" w:hAnsi="Arial" w:cs="Arial"/>
                <w:bCs/>
              </w:rPr>
              <w:t>Protection against vandalism</w:t>
            </w:r>
          </w:p>
        </w:tc>
        <w:tc>
          <w:tcPr>
            <w:tcW w:w="7250" w:type="dxa"/>
            <w:hideMark/>
          </w:tcPr>
          <w:p w14:paraId="7558AF08" w14:textId="77777777" w:rsidR="00C5336F" w:rsidRPr="00822C69" w:rsidRDefault="00C5336F" w:rsidP="008B3BC5">
            <w:pPr>
              <w:rPr>
                <w:rFonts w:ascii="Arial" w:eastAsia="Calibri" w:hAnsi="Arial" w:cs="Arial"/>
                <w:b/>
                <w:bCs/>
              </w:rPr>
            </w:pPr>
            <w:r w:rsidRPr="00822C69">
              <w:rPr>
                <w:rFonts w:ascii="Arial" w:eastAsia="Calibri" w:hAnsi="Arial" w:cs="Arial"/>
                <w:bCs/>
              </w:rPr>
              <w:t>Site/Area to be protected by secure fences and routes of access to be locked/secured. Access to the establishment and dismantled equipment is restricted to authorised persons only.</w:t>
            </w:r>
          </w:p>
          <w:p w14:paraId="663FAA88" w14:textId="77777777" w:rsidR="004D4689" w:rsidRPr="00822C69" w:rsidRDefault="004D4689" w:rsidP="008B3BC5">
            <w:pPr>
              <w:rPr>
                <w:rFonts w:ascii="Arial" w:eastAsia="Calibri" w:hAnsi="Arial" w:cs="Arial"/>
                <w:b/>
                <w:bCs/>
              </w:rPr>
            </w:pPr>
          </w:p>
          <w:p w14:paraId="337E2183" w14:textId="77777777" w:rsidR="006C7DBC" w:rsidRPr="00822C69" w:rsidRDefault="006C7DBC" w:rsidP="008B3BC5">
            <w:pPr>
              <w:rPr>
                <w:rFonts w:ascii="Arial" w:eastAsia="Calibri" w:hAnsi="Arial" w:cs="Arial"/>
                <w:b/>
                <w:bCs/>
              </w:rPr>
            </w:pPr>
          </w:p>
        </w:tc>
      </w:tr>
      <w:tr w:rsidR="006C7DBC" w:rsidRPr="00822C69" w14:paraId="128B96BA" w14:textId="77777777" w:rsidTr="008B3BC5">
        <w:trPr>
          <w:trHeight w:val="611"/>
          <w:jc w:val="center"/>
        </w:trPr>
        <w:tc>
          <w:tcPr>
            <w:tcW w:w="1822" w:type="dxa"/>
            <w:hideMark/>
          </w:tcPr>
          <w:p w14:paraId="71D9196B" w14:textId="77777777" w:rsidR="00C5336F" w:rsidRPr="00822C69" w:rsidRDefault="00C5336F" w:rsidP="008B3BC5">
            <w:pPr>
              <w:rPr>
                <w:rFonts w:ascii="Arial" w:eastAsia="Calibri" w:hAnsi="Arial" w:cs="Arial"/>
                <w:b/>
                <w:bCs/>
              </w:rPr>
            </w:pPr>
            <w:r w:rsidRPr="00822C69">
              <w:rPr>
                <w:rFonts w:ascii="Arial" w:eastAsia="Calibri" w:hAnsi="Arial" w:cs="Arial"/>
                <w:bCs/>
              </w:rPr>
              <w:t>Awareness of all contractors of site rules for environmental protection</w:t>
            </w:r>
          </w:p>
        </w:tc>
        <w:tc>
          <w:tcPr>
            <w:tcW w:w="7250" w:type="dxa"/>
            <w:hideMark/>
          </w:tcPr>
          <w:p w14:paraId="30B107F9" w14:textId="77777777" w:rsidR="00C5336F" w:rsidRPr="00822C69" w:rsidRDefault="00C5336F" w:rsidP="008B3BC5">
            <w:pPr>
              <w:rPr>
                <w:rFonts w:ascii="Arial" w:eastAsia="Calibri" w:hAnsi="Arial" w:cs="Arial"/>
                <w:b/>
                <w:bCs/>
              </w:rPr>
            </w:pPr>
            <w:r w:rsidRPr="00822C69">
              <w:rPr>
                <w:rFonts w:ascii="Arial" w:eastAsia="Calibri" w:hAnsi="Arial" w:cs="Arial"/>
                <w:bCs/>
              </w:rPr>
              <w:t>Specific site rules included within contracts and on-site induction for environmental protection given to all contractors prior to start of work.</w:t>
            </w:r>
          </w:p>
        </w:tc>
      </w:tr>
      <w:tr w:rsidR="006C7DBC" w:rsidRPr="00822C69" w14:paraId="4483FA89" w14:textId="77777777" w:rsidTr="008B3BC5">
        <w:trPr>
          <w:trHeight w:val="301"/>
          <w:jc w:val="center"/>
        </w:trPr>
        <w:tc>
          <w:tcPr>
            <w:tcW w:w="1822" w:type="dxa"/>
            <w:hideMark/>
          </w:tcPr>
          <w:p w14:paraId="10222B0D" w14:textId="77777777" w:rsidR="00C5336F" w:rsidRPr="00822C69" w:rsidRDefault="00C5336F" w:rsidP="008B3BC5">
            <w:pPr>
              <w:rPr>
                <w:rFonts w:ascii="Arial" w:eastAsia="Calibri" w:hAnsi="Arial" w:cs="Arial"/>
                <w:b/>
                <w:bCs/>
              </w:rPr>
            </w:pPr>
            <w:r w:rsidRPr="00822C69">
              <w:rPr>
                <w:rFonts w:ascii="Arial" w:eastAsia="Calibri" w:hAnsi="Arial" w:cs="Arial"/>
                <w:bCs/>
              </w:rPr>
              <w:t>Asbestos containing material within and/or on buildings and plant</w:t>
            </w:r>
          </w:p>
        </w:tc>
        <w:tc>
          <w:tcPr>
            <w:tcW w:w="7250" w:type="dxa"/>
            <w:hideMark/>
          </w:tcPr>
          <w:p w14:paraId="09DA3E29" w14:textId="77777777" w:rsidR="00C5336F" w:rsidRPr="00822C69" w:rsidRDefault="00C5336F" w:rsidP="008B3BC5">
            <w:pPr>
              <w:rPr>
                <w:rFonts w:ascii="Arial" w:eastAsia="Calibri" w:hAnsi="Arial" w:cs="Arial"/>
                <w:b/>
                <w:bCs/>
              </w:rPr>
            </w:pPr>
            <w:r w:rsidRPr="00822C69">
              <w:rPr>
                <w:rFonts w:ascii="Arial" w:eastAsia="Calibri" w:hAnsi="Arial" w:cs="Arial"/>
                <w:bCs/>
              </w:rPr>
              <w:t>An inventory of building structures containing respirable fibres (e.g. asbestos) has been established. When decommissioning involves dismantling, demolition or restoration of such structures, work is exclusively done by acknowledged and qualified/certified specialists, after notification to the HSE if necessary, using techniques that ensure personnel protection and prevent contamination of the surrounding areas and in accordance with the relevant legislation. The waste will be disposed to a licensed facility.</w:t>
            </w:r>
          </w:p>
          <w:p w14:paraId="148F535C" w14:textId="77777777" w:rsidR="004D4689" w:rsidRPr="00822C69" w:rsidRDefault="004D4689" w:rsidP="008B3BC5">
            <w:pPr>
              <w:rPr>
                <w:rFonts w:ascii="Arial" w:eastAsia="Calibri" w:hAnsi="Arial" w:cs="Arial"/>
                <w:b/>
                <w:bCs/>
              </w:rPr>
            </w:pPr>
          </w:p>
          <w:p w14:paraId="597DA731" w14:textId="77777777" w:rsidR="006C7DBC" w:rsidRPr="00822C69" w:rsidRDefault="006C7DBC" w:rsidP="008B3BC5">
            <w:pPr>
              <w:rPr>
                <w:rFonts w:ascii="Arial" w:eastAsia="Calibri" w:hAnsi="Arial" w:cs="Arial"/>
                <w:b/>
                <w:bCs/>
              </w:rPr>
            </w:pPr>
          </w:p>
        </w:tc>
      </w:tr>
      <w:tr w:rsidR="006C7DBC" w:rsidRPr="00822C69" w14:paraId="1451F081" w14:textId="77777777" w:rsidTr="008B3BC5">
        <w:trPr>
          <w:trHeight w:val="371"/>
          <w:jc w:val="center"/>
        </w:trPr>
        <w:tc>
          <w:tcPr>
            <w:tcW w:w="1822" w:type="dxa"/>
            <w:hideMark/>
          </w:tcPr>
          <w:p w14:paraId="162F3DA7" w14:textId="77777777" w:rsidR="00C5336F" w:rsidRPr="00822C69" w:rsidRDefault="00C5336F" w:rsidP="008B3BC5">
            <w:pPr>
              <w:rPr>
                <w:rFonts w:ascii="Arial" w:eastAsia="Calibri" w:hAnsi="Arial" w:cs="Arial"/>
                <w:b/>
                <w:bCs/>
              </w:rPr>
            </w:pPr>
            <w:r w:rsidRPr="00822C69">
              <w:rPr>
                <w:rFonts w:ascii="Arial" w:eastAsia="Calibri" w:hAnsi="Arial" w:cs="Arial"/>
                <w:bCs/>
              </w:rPr>
              <w:t>Removal of building fabric</w:t>
            </w:r>
          </w:p>
        </w:tc>
        <w:tc>
          <w:tcPr>
            <w:tcW w:w="7250" w:type="dxa"/>
            <w:hideMark/>
          </w:tcPr>
          <w:p w14:paraId="2D5CE804" w14:textId="77777777" w:rsidR="00C5336F" w:rsidRPr="00822C69" w:rsidRDefault="00C5336F" w:rsidP="008B3BC5">
            <w:pPr>
              <w:rPr>
                <w:rFonts w:ascii="Arial" w:eastAsia="Calibri" w:hAnsi="Arial" w:cs="Arial"/>
                <w:b/>
                <w:bCs/>
              </w:rPr>
            </w:pPr>
            <w:r w:rsidRPr="00822C69">
              <w:rPr>
                <w:rFonts w:ascii="Arial" w:eastAsia="Calibri" w:hAnsi="Arial" w:cs="Arial"/>
                <w:bCs/>
              </w:rPr>
              <w:t>Remaining pipe-work, valves and associated equipment will be removed and sent for scrap all other waste (construction materials) to be handled and disposed of responsibly appropriate licensed routes.</w:t>
            </w:r>
          </w:p>
          <w:p w14:paraId="603DABB5" w14:textId="77777777" w:rsidR="004D4689" w:rsidRPr="00822C69" w:rsidRDefault="004D4689" w:rsidP="008B3BC5">
            <w:pPr>
              <w:rPr>
                <w:rFonts w:ascii="Arial" w:eastAsia="Calibri" w:hAnsi="Arial" w:cs="Arial"/>
                <w:b/>
                <w:bCs/>
              </w:rPr>
            </w:pPr>
          </w:p>
          <w:p w14:paraId="38F118D2" w14:textId="77777777" w:rsidR="006C7DBC" w:rsidRPr="00822C69" w:rsidRDefault="006C7DBC" w:rsidP="008B3BC5">
            <w:pPr>
              <w:rPr>
                <w:rFonts w:ascii="Arial" w:eastAsia="Calibri" w:hAnsi="Arial" w:cs="Arial"/>
                <w:b/>
                <w:bCs/>
              </w:rPr>
            </w:pPr>
          </w:p>
        </w:tc>
      </w:tr>
      <w:tr w:rsidR="006C7DBC" w:rsidRPr="00822C69" w14:paraId="4B222271" w14:textId="77777777" w:rsidTr="008B3BC5">
        <w:trPr>
          <w:trHeight w:val="551"/>
          <w:jc w:val="center"/>
        </w:trPr>
        <w:tc>
          <w:tcPr>
            <w:tcW w:w="1822" w:type="dxa"/>
            <w:hideMark/>
          </w:tcPr>
          <w:p w14:paraId="268451E4" w14:textId="77777777" w:rsidR="00C5336F" w:rsidRPr="00822C69" w:rsidRDefault="00C5336F" w:rsidP="008B3BC5">
            <w:pPr>
              <w:rPr>
                <w:rFonts w:ascii="Arial" w:eastAsia="Calibri" w:hAnsi="Arial" w:cs="Arial"/>
                <w:b/>
                <w:bCs/>
              </w:rPr>
            </w:pPr>
            <w:r w:rsidRPr="00822C69">
              <w:rPr>
                <w:rFonts w:ascii="Arial" w:eastAsia="Calibri" w:hAnsi="Arial" w:cs="Arial"/>
                <w:bCs/>
              </w:rPr>
              <w:t>Consideration of contamination</w:t>
            </w:r>
          </w:p>
        </w:tc>
        <w:tc>
          <w:tcPr>
            <w:tcW w:w="7250" w:type="dxa"/>
          </w:tcPr>
          <w:p w14:paraId="3D46672D" w14:textId="77777777" w:rsidR="00C5336F" w:rsidRPr="00822C69" w:rsidRDefault="00C5336F" w:rsidP="008B3BC5">
            <w:pPr>
              <w:rPr>
                <w:rFonts w:ascii="Arial" w:eastAsia="Calibri" w:hAnsi="Arial" w:cs="Arial"/>
                <w:b/>
                <w:bCs/>
              </w:rPr>
            </w:pPr>
            <w:r w:rsidRPr="00822C69">
              <w:rPr>
                <w:rFonts w:ascii="Arial" w:eastAsia="Calibri" w:hAnsi="Arial" w:cs="Arial"/>
                <w:bCs/>
              </w:rPr>
              <w:t>Completion of the de-commissioning and decontamination section activities should result in the demolition section being determined primarily by conventional factors, such as prevention of nuisance, engineering constraints and minimisation of physical hazard, etc.</w:t>
            </w:r>
          </w:p>
          <w:p w14:paraId="50F110E6" w14:textId="77777777" w:rsidR="006C7DBC" w:rsidRPr="00822C69" w:rsidRDefault="006C7DBC" w:rsidP="008B3BC5">
            <w:pPr>
              <w:rPr>
                <w:rFonts w:ascii="Arial" w:eastAsia="Calibri" w:hAnsi="Arial" w:cs="Arial"/>
                <w:b/>
                <w:bCs/>
              </w:rPr>
            </w:pPr>
          </w:p>
        </w:tc>
      </w:tr>
      <w:tr w:rsidR="006C7DBC" w:rsidRPr="00822C69" w14:paraId="3801FDF6" w14:textId="77777777" w:rsidTr="008B3BC5">
        <w:trPr>
          <w:trHeight w:val="371"/>
          <w:jc w:val="center"/>
        </w:trPr>
        <w:tc>
          <w:tcPr>
            <w:tcW w:w="1822" w:type="dxa"/>
            <w:hideMark/>
          </w:tcPr>
          <w:p w14:paraId="77902F8D" w14:textId="77777777" w:rsidR="00C5336F" w:rsidRPr="00822C69" w:rsidRDefault="00C5336F" w:rsidP="008B3BC5">
            <w:pPr>
              <w:rPr>
                <w:rFonts w:ascii="Arial" w:eastAsia="Calibri" w:hAnsi="Arial" w:cs="Arial"/>
                <w:b/>
                <w:bCs/>
              </w:rPr>
            </w:pPr>
            <w:r w:rsidRPr="00822C69">
              <w:rPr>
                <w:rFonts w:ascii="Arial" w:eastAsia="Calibri" w:hAnsi="Arial" w:cs="Arial"/>
                <w:bCs/>
              </w:rPr>
              <w:t>Verification procedure, sign off and record Keeping</w:t>
            </w:r>
          </w:p>
        </w:tc>
        <w:tc>
          <w:tcPr>
            <w:tcW w:w="7250" w:type="dxa"/>
            <w:hideMark/>
          </w:tcPr>
          <w:p w14:paraId="717D20A4" w14:textId="77777777" w:rsidR="00C5336F" w:rsidRPr="00822C69" w:rsidRDefault="00C5336F" w:rsidP="008B3BC5">
            <w:pPr>
              <w:rPr>
                <w:rFonts w:ascii="Arial" w:eastAsia="Calibri" w:hAnsi="Arial" w:cs="Arial"/>
                <w:b/>
                <w:bCs/>
              </w:rPr>
            </w:pPr>
            <w:r w:rsidRPr="00822C69">
              <w:rPr>
                <w:rFonts w:ascii="Arial" w:eastAsia="Calibri" w:hAnsi="Arial" w:cs="Arial"/>
                <w:bCs/>
              </w:rPr>
              <w:t xml:space="preserve">All steps in the </w:t>
            </w:r>
            <w:r w:rsidR="006C7DBC" w:rsidRPr="00822C69">
              <w:rPr>
                <w:rFonts w:ascii="Arial" w:eastAsia="Calibri" w:hAnsi="Arial" w:cs="Arial"/>
                <w:b/>
                <w:bCs/>
              </w:rPr>
              <w:t xml:space="preserve">demolition process </w:t>
            </w:r>
            <w:r w:rsidRPr="00822C69">
              <w:rPr>
                <w:rFonts w:ascii="Arial" w:eastAsia="Calibri" w:hAnsi="Arial" w:cs="Arial"/>
                <w:bCs/>
              </w:rPr>
              <w:t>to be verified by a competent company representative responsible for the discharge of the closure programme. All records confirming actions to be identified in advance of the programme being implemented. Ensure a records file is available and up-to-date as a source of information.</w:t>
            </w:r>
          </w:p>
          <w:p w14:paraId="685A2D7C" w14:textId="77777777" w:rsidR="004D4689" w:rsidRPr="00822C69" w:rsidRDefault="004D4689" w:rsidP="008B3BC5">
            <w:pPr>
              <w:rPr>
                <w:rFonts w:ascii="Arial" w:eastAsia="Calibri" w:hAnsi="Arial" w:cs="Arial"/>
                <w:b/>
                <w:bCs/>
              </w:rPr>
            </w:pPr>
          </w:p>
          <w:p w14:paraId="668FDC44" w14:textId="77777777" w:rsidR="006C7DBC" w:rsidRPr="00822C69" w:rsidRDefault="006C7DBC" w:rsidP="008B3BC5">
            <w:pPr>
              <w:rPr>
                <w:rFonts w:ascii="Arial" w:eastAsia="Calibri" w:hAnsi="Arial" w:cs="Arial"/>
                <w:b/>
                <w:bCs/>
              </w:rPr>
            </w:pPr>
          </w:p>
        </w:tc>
      </w:tr>
      <w:tr w:rsidR="006C7DBC" w:rsidRPr="00822C69" w14:paraId="5333CCB5" w14:textId="77777777" w:rsidTr="008B3BC5">
        <w:trPr>
          <w:trHeight w:val="560"/>
          <w:jc w:val="center"/>
        </w:trPr>
        <w:tc>
          <w:tcPr>
            <w:tcW w:w="1822" w:type="dxa"/>
            <w:hideMark/>
          </w:tcPr>
          <w:p w14:paraId="3F78975D" w14:textId="77777777" w:rsidR="00C5336F" w:rsidRPr="00822C69" w:rsidRDefault="00C5336F" w:rsidP="008B3BC5">
            <w:pPr>
              <w:rPr>
                <w:rFonts w:ascii="Arial" w:eastAsia="Calibri" w:hAnsi="Arial" w:cs="Arial"/>
                <w:b/>
                <w:bCs/>
              </w:rPr>
            </w:pPr>
            <w:r w:rsidRPr="00822C69">
              <w:rPr>
                <w:rFonts w:ascii="Arial" w:eastAsia="Calibri" w:hAnsi="Arial" w:cs="Arial"/>
                <w:bCs/>
              </w:rPr>
              <w:t>Emergency preparedness</w:t>
            </w:r>
          </w:p>
        </w:tc>
        <w:tc>
          <w:tcPr>
            <w:tcW w:w="7250" w:type="dxa"/>
            <w:hideMark/>
          </w:tcPr>
          <w:p w14:paraId="1053B230" w14:textId="77777777" w:rsidR="00C5336F" w:rsidRPr="00822C69" w:rsidRDefault="00C5336F" w:rsidP="008B3BC5">
            <w:pPr>
              <w:rPr>
                <w:rFonts w:ascii="Arial" w:eastAsia="Calibri" w:hAnsi="Arial" w:cs="Arial"/>
                <w:b/>
                <w:bCs/>
              </w:rPr>
            </w:pPr>
            <w:r w:rsidRPr="00822C69">
              <w:rPr>
                <w:rFonts w:ascii="Arial" w:eastAsia="Calibri" w:hAnsi="Arial" w:cs="Arial"/>
                <w:bCs/>
              </w:rPr>
              <w:t>Appropriate fire-fighting equipment present on site. Spill kits/response material will be present on site. Detailed plans and procedures will be developed in conjunction with contractors.</w:t>
            </w:r>
          </w:p>
          <w:p w14:paraId="75E7A863" w14:textId="77777777" w:rsidR="006C7DBC" w:rsidRPr="00822C69" w:rsidRDefault="006C7DBC" w:rsidP="008B3BC5">
            <w:pPr>
              <w:rPr>
                <w:rFonts w:ascii="Arial" w:eastAsia="Calibri" w:hAnsi="Arial" w:cs="Arial"/>
                <w:b/>
                <w:bCs/>
              </w:rPr>
            </w:pPr>
          </w:p>
        </w:tc>
      </w:tr>
    </w:tbl>
    <w:p w14:paraId="05412794" w14:textId="77777777" w:rsidR="00C5336F" w:rsidRPr="00822C69" w:rsidRDefault="00C5336F" w:rsidP="008B424C">
      <w:pPr>
        <w:pStyle w:val="DefaultText"/>
        <w:ind w:left="720" w:hanging="720"/>
        <w:rPr>
          <w:rFonts w:ascii="Arial" w:hAnsi="Arial" w:cs="Arial"/>
          <w:sz w:val="20"/>
        </w:rPr>
      </w:pPr>
    </w:p>
    <w:sectPr w:rsidR="00C5336F" w:rsidRPr="00822C69">
      <w:headerReference w:type="default" r:id="rId10"/>
      <w:footerReference w:type="default" r:id="rId11"/>
      <w:pgSz w:w="12240" w:h="15840"/>
      <w:pgMar w:top="1152"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D06B" w14:textId="77777777" w:rsidR="00165771" w:rsidRDefault="00165771">
      <w:r>
        <w:separator/>
      </w:r>
    </w:p>
  </w:endnote>
  <w:endnote w:type="continuationSeparator" w:id="0">
    <w:p w14:paraId="652F14ED" w14:textId="77777777" w:rsidR="00165771" w:rsidRDefault="0016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EC5E" w14:textId="38BD1EB8" w:rsidR="00603B4D" w:rsidRPr="00822C69" w:rsidRDefault="00603B4D">
    <w:pPr>
      <w:pStyle w:val="Footer"/>
      <w:rPr>
        <w:rFonts w:ascii="Arial" w:hAnsi="Arial" w:cs="Arial"/>
      </w:rPr>
    </w:pPr>
    <w:r w:rsidRPr="00822C69">
      <w:rPr>
        <w:rFonts w:ascii="Arial" w:hAnsi="Arial" w:cs="Arial"/>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38CE" w14:textId="77777777" w:rsidR="00165771" w:rsidRDefault="00165771">
      <w:r>
        <w:separator/>
      </w:r>
    </w:p>
  </w:footnote>
  <w:footnote w:type="continuationSeparator" w:id="0">
    <w:p w14:paraId="1742D403" w14:textId="77777777" w:rsidR="00165771" w:rsidRDefault="0016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D015" w14:textId="3D07AD85" w:rsidR="00A574AD" w:rsidRDefault="00A574AD">
    <w:pPr>
      <w:pStyle w:val="Header"/>
      <w:rPr>
        <w:rFonts w:asciiTheme="minorHAnsi" w:hAnsiTheme="minorHAnsi"/>
      </w:rPr>
    </w:pPr>
    <w:r>
      <w:rPr>
        <w:noProof/>
      </w:rPr>
      <w:drawing>
        <wp:inline distT="0" distB="0" distL="0" distR="0" wp14:anchorId="0CE8EAF8" wp14:editId="53F9F52B">
          <wp:extent cx="1128324" cy="514350"/>
          <wp:effectExtent l="0" t="0" r="0" b="0"/>
          <wp:docPr id="282099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99603" name="Picture 282099603"/>
                  <pic:cNvPicPr/>
                </pic:nvPicPr>
                <pic:blipFill>
                  <a:blip r:embed="rId1">
                    <a:extLst>
                      <a:ext uri="{28A0092B-C50C-407E-A947-70E740481C1C}">
                        <a14:useLocalDpi xmlns:a14="http://schemas.microsoft.com/office/drawing/2010/main" val="0"/>
                      </a:ext>
                    </a:extLst>
                  </a:blip>
                  <a:stretch>
                    <a:fillRect/>
                  </a:stretch>
                </pic:blipFill>
                <pic:spPr>
                  <a:xfrm>
                    <a:off x="0" y="0"/>
                    <a:ext cx="1133147" cy="516549"/>
                  </a:xfrm>
                  <a:prstGeom prst="rect">
                    <a:avLst/>
                  </a:prstGeom>
                </pic:spPr>
              </pic:pic>
            </a:graphicData>
          </a:graphic>
        </wp:inline>
      </w:drawing>
    </w:r>
    <w:r>
      <w:tab/>
    </w:r>
    <w:r>
      <w:tab/>
    </w:r>
    <w:r>
      <w:tab/>
    </w:r>
    <w:r w:rsidRPr="00A574AD">
      <w:rPr>
        <w:rFonts w:asciiTheme="minorHAnsi" w:hAnsiTheme="minorHAnsi"/>
      </w:rPr>
      <w:t>QCP 5.08 Rev 1</w:t>
    </w:r>
  </w:p>
  <w:p w14:paraId="053A56A4" w14:textId="6A98A44D" w:rsidR="00A574AD" w:rsidRDefault="00A574AD">
    <w:pPr>
      <w:pStyle w:val="Header"/>
    </w:pPr>
    <w:r>
      <w:rPr>
        <w:rFonts w:asciiTheme="minorHAnsi" w:hAnsiTheme="minorHAnsi"/>
      </w:rPr>
      <w:tab/>
    </w:r>
    <w:r>
      <w:rPr>
        <w:rFonts w:asciiTheme="minorHAnsi" w:hAnsiTheme="minorHAnsi"/>
      </w:rPr>
      <w:tab/>
    </w:r>
    <w:r>
      <w:rPr>
        <w:rFonts w:asciiTheme="minorHAnsi" w:hAnsiTheme="minorHAnsi"/>
      </w:rPr>
      <w:tab/>
      <w:t>Issue 22/05/2026</w:t>
    </w:r>
  </w:p>
  <w:p w14:paraId="12371E9D" w14:textId="77777777" w:rsidR="00A574AD" w:rsidRDefault="00A57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3A8"/>
    <w:multiLevelType w:val="multilevel"/>
    <w:tmpl w:val="4D8EB42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A76F47"/>
    <w:multiLevelType w:val="multilevel"/>
    <w:tmpl w:val="B1A82FC2"/>
    <w:lvl w:ilvl="0">
      <w:start w:val="5"/>
      <w:numFmt w:val="decimal"/>
      <w:lvlText w:val="%1"/>
      <w:lvlJc w:val="left"/>
      <w:pPr>
        <w:tabs>
          <w:tab w:val="num" w:pos="720"/>
        </w:tabs>
        <w:ind w:left="720" w:hanging="720"/>
      </w:pPr>
      <w:rPr>
        <w:rFonts w:hint="default"/>
        <w:u w:val="none"/>
      </w:rPr>
    </w:lvl>
    <w:lvl w:ilvl="1">
      <w:start w:val="8"/>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31AB2769"/>
    <w:multiLevelType w:val="multilevel"/>
    <w:tmpl w:val="29E80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32711C3"/>
    <w:multiLevelType w:val="multilevel"/>
    <w:tmpl w:val="5198B68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5A95B86"/>
    <w:multiLevelType w:val="hybridMultilevel"/>
    <w:tmpl w:val="ABC40BA2"/>
    <w:lvl w:ilvl="0" w:tplc="FFFFFFFF">
      <w:start w:val="1"/>
      <w:numFmt w:val="decimal"/>
      <w:lvlText w:val="%1."/>
      <w:lvlJc w:val="left"/>
      <w:pPr>
        <w:tabs>
          <w:tab w:val="num" w:pos="2880"/>
        </w:tabs>
        <w:ind w:left="2880" w:hanging="21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AD94CEE"/>
    <w:multiLevelType w:val="multilevel"/>
    <w:tmpl w:val="12849DC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EF6816"/>
    <w:multiLevelType w:val="multilevel"/>
    <w:tmpl w:val="E15069E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041DFE"/>
    <w:multiLevelType w:val="multilevel"/>
    <w:tmpl w:val="A1C8F240"/>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A8B4CEF"/>
    <w:multiLevelType w:val="multilevel"/>
    <w:tmpl w:val="712C3E2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561153B"/>
    <w:multiLevelType w:val="multilevel"/>
    <w:tmpl w:val="663EEEC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5657292"/>
    <w:multiLevelType w:val="multilevel"/>
    <w:tmpl w:val="387E9026"/>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E735123"/>
    <w:multiLevelType w:val="multilevel"/>
    <w:tmpl w:val="89E812F2"/>
    <w:lvl w:ilvl="0">
      <w:start w:val="1"/>
      <w:numFmt w:val="decimal"/>
      <w:lvlText w:val="%1."/>
      <w:lvlJc w:val="left"/>
      <w:pPr>
        <w:tabs>
          <w:tab w:val="num" w:pos="1080"/>
        </w:tabs>
        <w:ind w:left="1080" w:hanging="720"/>
      </w:pPr>
      <w:rPr>
        <w:rFonts w:hint="default"/>
        <w:u w:val="none"/>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816727068">
    <w:abstractNumId w:val="11"/>
  </w:num>
  <w:num w:numId="2" w16cid:durableId="495413871">
    <w:abstractNumId w:val="8"/>
  </w:num>
  <w:num w:numId="3" w16cid:durableId="68044827">
    <w:abstractNumId w:val="1"/>
  </w:num>
  <w:num w:numId="4" w16cid:durableId="1789470651">
    <w:abstractNumId w:val="4"/>
  </w:num>
  <w:num w:numId="5" w16cid:durableId="1896965731">
    <w:abstractNumId w:val="7"/>
  </w:num>
  <w:num w:numId="6" w16cid:durableId="615791881">
    <w:abstractNumId w:val="0"/>
  </w:num>
  <w:num w:numId="7" w16cid:durableId="1317808218">
    <w:abstractNumId w:val="3"/>
  </w:num>
  <w:num w:numId="8" w16cid:durableId="951278278">
    <w:abstractNumId w:val="5"/>
  </w:num>
  <w:num w:numId="9" w16cid:durableId="862744424">
    <w:abstractNumId w:val="10"/>
  </w:num>
  <w:num w:numId="10" w16cid:durableId="638148856">
    <w:abstractNumId w:val="6"/>
  </w:num>
  <w:num w:numId="11" w16cid:durableId="1536430471">
    <w:abstractNumId w:val="9"/>
  </w:num>
  <w:num w:numId="12" w16cid:durableId="307169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30"/>
    <w:rsid w:val="00020510"/>
    <w:rsid w:val="000474CD"/>
    <w:rsid w:val="0009327C"/>
    <w:rsid w:val="000D00E3"/>
    <w:rsid w:val="000D6065"/>
    <w:rsid w:val="00101533"/>
    <w:rsid w:val="00116640"/>
    <w:rsid w:val="00143CA9"/>
    <w:rsid w:val="00152513"/>
    <w:rsid w:val="00162671"/>
    <w:rsid w:val="00165771"/>
    <w:rsid w:val="001C4118"/>
    <w:rsid w:val="00205B36"/>
    <w:rsid w:val="00230AE0"/>
    <w:rsid w:val="002A2A89"/>
    <w:rsid w:val="002A6A14"/>
    <w:rsid w:val="002B6C81"/>
    <w:rsid w:val="003659B8"/>
    <w:rsid w:val="003F5EA9"/>
    <w:rsid w:val="00432614"/>
    <w:rsid w:val="004B1641"/>
    <w:rsid w:val="004D1138"/>
    <w:rsid w:val="004D4689"/>
    <w:rsid w:val="004E2DEC"/>
    <w:rsid w:val="00512ED3"/>
    <w:rsid w:val="005520E5"/>
    <w:rsid w:val="0055671B"/>
    <w:rsid w:val="00563E77"/>
    <w:rsid w:val="005E0FF2"/>
    <w:rsid w:val="00603B4D"/>
    <w:rsid w:val="00613B21"/>
    <w:rsid w:val="00643886"/>
    <w:rsid w:val="006667D3"/>
    <w:rsid w:val="00693EF3"/>
    <w:rsid w:val="006966FE"/>
    <w:rsid w:val="006B0EE3"/>
    <w:rsid w:val="006B7D94"/>
    <w:rsid w:val="006C7DBC"/>
    <w:rsid w:val="006E2414"/>
    <w:rsid w:val="006E57E2"/>
    <w:rsid w:val="00734953"/>
    <w:rsid w:val="00783BD2"/>
    <w:rsid w:val="007B3150"/>
    <w:rsid w:val="007C4C7A"/>
    <w:rsid w:val="007D6507"/>
    <w:rsid w:val="008034AA"/>
    <w:rsid w:val="0081788B"/>
    <w:rsid w:val="00822C69"/>
    <w:rsid w:val="008A5096"/>
    <w:rsid w:val="008B3BC5"/>
    <w:rsid w:val="008B424C"/>
    <w:rsid w:val="008B5741"/>
    <w:rsid w:val="009127E2"/>
    <w:rsid w:val="00942435"/>
    <w:rsid w:val="0097012F"/>
    <w:rsid w:val="009F693B"/>
    <w:rsid w:val="00A574AD"/>
    <w:rsid w:val="00A73E05"/>
    <w:rsid w:val="00A95F21"/>
    <w:rsid w:val="00B325D8"/>
    <w:rsid w:val="00B41DAD"/>
    <w:rsid w:val="00B545D1"/>
    <w:rsid w:val="00C04CC5"/>
    <w:rsid w:val="00C24885"/>
    <w:rsid w:val="00C5336F"/>
    <w:rsid w:val="00C542DA"/>
    <w:rsid w:val="00C546CA"/>
    <w:rsid w:val="00C55372"/>
    <w:rsid w:val="00C55E54"/>
    <w:rsid w:val="00C91E1C"/>
    <w:rsid w:val="00C925FE"/>
    <w:rsid w:val="00CE5195"/>
    <w:rsid w:val="00CF6E6B"/>
    <w:rsid w:val="00D10A82"/>
    <w:rsid w:val="00D15319"/>
    <w:rsid w:val="00D52689"/>
    <w:rsid w:val="00D827D1"/>
    <w:rsid w:val="00D85C84"/>
    <w:rsid w:val="00E26430"/>
    <w:rsid w:val="00E5611A"/>
    <w:rsid w:val="00E70577"/>
    <w:rsid w:val="00ED236D"/>
    <w:rsid w:val="00ED4CB2"/>
    <w:rsid w:val="00F07DD8"/>
    <w:rsid w:val="00F45BD4"/>
    <w:rsid w:val="00F55E66"/>
    <w:rsid w:val="00FA15CD"/>
    <w:rsid w:val="00FC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7AC7BE7"/>
  <w15:chartTrackingRefBased/>
  <w15:docId w15:val="{50FF611C-9DAA-4351-BFBB-0039A9BE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040"/>
        <w:tab w:val="left" w:pos="5760"/>
        <w:tab w:val="left" w:pos="6480"/>
        <w:tab w:val="left" w:pos="6840"/>
      </w:tabs>
      <w:jc w:val="center"/>
      <w:outlineLvl w:val="0"/>
    </w:pPr>
    <w:rPr>
      <w:b/>
      <w:bCs/>
      <w:sz w:val="24"/>
      <w:u w:val="single"/>
    </w:rPr>
  </w:style>
  <w:style w:type="paragraph" w:styleId="Heading2">
    <w:name w:val="heading 2"/>
    <w:basedOn w:val="Normal"/>
    <w:next w:val="Normal"/>
    <w:link w:val="Heading2Char"/>
    <w:uiPriority w:val="9"/>
    <w:semiHidden/>
    <w:unhideWhenUsed/>
    <w:qFormat/>
    <w:rsid w:val="002A2A8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5760"/>
        <w:tab w:val="left" w:pos="6480"/>
        <w:tab w:val="left" w:pos="6840"/>
      </w:tabs>
      <w:ind w:left="720"/>
    </w:pPr>
    <w:rPr>
      <w:sz w:val="24"/>
    </w:rPr>
  </w:style>
  <w:style w:type="paragraph" w:styleId="BodyTextIndent2">
    <w:name w:val="Body Text Indent 2"/>
    <w:basedOn w:val="Normal"/>
    <w:semiHidden/>
    <w:pPr>
      <w:tabs>
        <w:tab w:val="left" w:pos="720"/>
        <w:tab w:val="left" w:pos="5760"/>
        <w:tab w:val="left" w:pos="6480"/>
        <w:tab w:val="left" w:pos="6840"/>
      </w:tabs>
      <w:ind w:left="720" w:hanging="720"/>
    </w:pPr>
    <w:rPr>
      <w:sz w:val="24"/>
    </w:rPr>
  </w:style>
  <w:style w:type="paragraph" w:customStyle="1" w:styleId="DefaultText">
    <w:name w:val="Default Text"/>
    <w:basedOn w:val="Normal"/>
    <w:pPr>
      <w:overflowPunct w:val="0"/>
      <w:autoSpaceDE w:val="0"/>
      <w:autoSpaceDN w:val="0"/>
      <w:adjustRightInd w:val="0"/>
      <w:textAlignment w:val="baseline"/>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26430"/>
    <w:rPr>
      <w:rFonts w:ascii="Tahoma" w:hAnsi="Tahoma"/>
      <w:sz w:val="16"/>
      <w:szCs w:val="16"/>
      <w:lang w:val="x-none"/>
    </w:rPr>
  </w:style>
  <w:style w:type="character" w:customStyle="1" w:styleId="BalloonTextChar">
    <w:name w:val="Balloon Text Char"/>
    <w:link w:val="BalloonText"/>
    <w:uiPriority w:val="99"/>
    <w:semiHidden/>
    <w:rsid w:val="00E26430"/>
    <w:rPr>
      <w:rFonts w:ascii="Tahoma" w:hAnsi="Tahoma" w:cs="Tahoma"/>
      <w:sz w:val="16"/>
      <w:szCs w:val="16"/>
      <w:lang w:eastAsia="en-US"/>
    </w:rPr>
  </w:style>
  <w:style w:type="paragraph" w:styleId="ListParagraph">
    <w:name w:val="List Paragraph"/>
    <w:basedOn w:val="Normal"/>
    <w:uiPriority w:val="34"/>
    <w:qFormat/>
    <w:rsid w:val="00CE5195"/>
    <w:pPr>
      <w:ind w:left="720"/>
    </w:pPr>
  </w:style>
  <w:style w:type="table" w:styleId="ListTable4-Accent2">
    <w:name w:val="List Table 4 Accent 2"/>
    <w:basedOn w:val="TableNormal"/>
    <w:uiPriority w:val="49"/>
    <w:rsid w:val="00D10A82"/>
    <w:rPr>
      <w:rFonts w:ascii="Calibri" w:eastAsia="Calibri" w:hAnsi="Calibri"/>
      <w:sz w:val="22"/>
      <w:szCs w:val="22"/>
      <w:lang w:eastAsia="en-US"/>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tcBorders>
        <w:shd w:val="clear" w:color="auto" w:fill="629DD1"/>
      </w:tcPr>
    </w:tblStylePr>
    <w:tblStylePr w:type="lastRow">
      <w:rPr>
        <w:b/>
        <w:bCs/>
      </w:rPr>
      <w:tblPr/>
      <w:tcPr>
        <w:tcBorders>
          <w:top w:val="double" w:sz="4" w:space="0" w:color="A0C3E3"/>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paragraph" w:customStyle="1" w:styleId="BodyText">
    <w:name w:val="~BodyText"/>
    <w:basedOn w:val="Normal"/>
    <w:rsid w:val="00D10A82"/>
    <w:pPr>
      <w:spacing w:before="120" w:line="276" w:lineRule="auto"/>
    </w:pPr>
    <w:rPr>
      <w:rFonts w:ascii="Arial" w:hAnsi="Arial"/>
      <w:szCs w:val="22"/>
    </w:rPr>
  </w:style>
  <w:style w:type="character" w:customStyle="1" w:styleId="Heading2Char">
    <w:name w:val="Heading 2 Char"/>
    <w:link w:val="Heading2"/>
    <w:uiPriority w:val="9"/>
    <w:semiHidden/>
    <w:rsid w:val="002A2A89"/>
    <w:rPr>
      <w:rFonts w:ascii="Calibri Light" w:eastAsia="Times New Roman" w:hAnsi="Calibri Light" w:cs="Times New Roman"/>
      <w:b/>
      <w:bCs/>
      <w:i/>
      <w:iCs/>
      <w:sz w:val="28"/>
      <w:szCs w:val="28"/>
      <w:lang w:eastAsia="en-US"/>
    </w:rPr>
  </w:style>
  <w:style w:type="paragraph" w:styleId="BodyText0">
    <w:name w:val="Body Text"/>
    <w:basedOn w:val="Normal"/>
    <w:link w:val="BodyTextChar"/>
    <w:uiPriority w:val="99"/>
    <w:semiHidden/>
    <w:unhideWhenUsed/>
    <w:rsid w:val="002A2A89"/>
    <w:pPr>
      <w:spacing w:after="120" w:line="276" w:lineRule="auto"/>
      <w:jc w:val="both"/>
    </w:pPr>
    <w:rPr>
      <w:rFonts w:ascii="Calibri" w:eastAsia="Calibri" w:hAnsi="Calibri"/>
      <w:szCs w:val="22"/>
    </w:rPr>
  </w:style>
  <w:style w:type="character" w:customStyle="1" w:styleId="BodyTextChar">
    <w:name w:val="Body Text Char"/>
    <w:link w:val="BodyText0"/>
    <w:uiPriority w:val="99"/>
    <w:semiHidden/>
    <w:rsid w:val="002A2A89"/>
    <w:rPr>
      <w:rFonts w:ascii="Calibri" w:eastAsia="Calibri" w:hAnsi="Calibri"/>
      <w:szCs w:val="22"/>
      <w:lang w:eastAsia="en-US"/>
    </w:rPr>
  </w:style>
  <w:style w:type="table" w:styleId="GridTable4-Accent2">
    <w:name w:val="Grid Table 4 Accent 2"/>
    <w:basedOn w:val="TableNormal"/>
    <w:uiPriority w:val="49"/>
    <w:rsid w:val="00C5336F"/>
    <w:rPr>
      <w:rFonts w:ascii="Calibri" w:eastAsia="Calibri" w:hAnsi="Calibri"/>
      <w:sz w:val="22"/>
      <w:szCs w:val="22"/>
      <w:lang w:eastAsia="en-US"/>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paragraph" w:styleId="Caption">
    <w:name w:val="caption"/>
    <w:aliases w:val="~Caption"/>
    <w:basedOn w:val="BodyText"/>
    <w:next w:val="BodyText"/>
    <w:qFormat/>
    <w:rsid w:val="00C5336F"/>
    <w:pPr>
      <w:spacing w:before="240" w:after="60" w:line="240" w:lineRule="auto"/>
      <w:ind w:left="992" w:hanging="992"/>
    </w:pPr>
    <w:rPr>
      <w:bCs/>
      <w:color w:val="003876"/>
      <w:szCs w:val="18"/>
    </w:rPr>
  </w:style>
  <w:style w:type="character" w:customStyle="1" w:styleId="HeaderChar">
    <w:name w:val="Header Char"/>
    <w:basedOn w:val="DefaultParagraphFont"/>
    <w:link w:val="Header"/>
    <w:uiPriority w:val="99"/>
    <w:rsid w:val="00603B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2026-06-03T23:00:00+00:00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2026-06-03T23:00:00+00:00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ExternalAuthor xmlns="eebef177-55b5-4448-a5fb-28ea454417ee">Operator</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5EF207F-36CB-42FA-91FB-F3A6660A82B8}"/>
</file>

<file path=customXml/itemProps2.xml><?xml version="1.0" encoding="utf-8"?>
<ds:datastoreItem xmlns:ds="http://schemas.openxmlformats.org/officeDocument/2006/customXml" ds:itemID="{65291E60-90B1-4E65-8EE0-20E3292FA28C}">
  <ds:schemaRefs>
    <ds:schemaRef ds:uri="http://schemas.microsoft.com/office/2006/metadata/properties"/>
    <ds:schemaRef ds:uri="http://schemas.microsoft.com/office/infopath/2007/PartnerControls"/>
    <ds:schemaRef ds:uri="46376e88-9ed1-4e43-a1e1-b4912d383782"/>
    <ds:schemaRef ds:uri="a3d62b41-ae91-4695-bdd8-a89184f2eccb"/>
  </ds:schemaRefs>
</ds:datastoreItem>
</file>

<file path=customXml/itemProps3.xml><?xml version="1.0" encoding="utf-8"?>
<ds:datastoreItem xmlns:ds="http://schemas.openxmlformats.org/officeDocument/2006/customXml" ds:itemID="{4BA6DC0A-59F2-45CC-9079-D0FE5910A858}">
  <ds:schemaRefs>
    <ds:schemaRef ds:uri="http://schemas.microsoft.com/sharepoint/v3/contenttype/forms"/>
  </ds:schemaRefs>
</ds:datastoreItem>
</file>

<file path=customXml/itemProps4.xml><?xml version="1.0" encoding="utf-8"?>
<ds:datastoreItem xmlns:ds="http://schemas.openxmlformats.org/officeDocument/2006/customXml" ds:itemID="{72F77391-7DE3-443A-8BC2-1C7ECAA4AFA4}"/>
</file>

<file path=docProps/app.xml><?xml version="1.0" encoding="utf-8"?>
<Properties xmlns="http://schemas.openxmlformats.org/officeDocument/2006/extended-properties" xmlns:vt="http://schemas.openxmlformats.org/officeDocument/2006/docPropsVTypes">
  <Template>Normal</Template>
  <TotalTime>31</TotalTime>
  <Pages>6</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 &amp; J GREENALL</vt:lpstr>
    </vt:vector>
  </TitlesOfParts>
  <Company>Patrick Mckelvey</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&amp; J GREENALL</dc:title>
  <dc:subject/>
  <dc:creator>Patrick Mckelvey</dc:creator>
  <cp:keywords/>
  <cp:lastModifiedBy>Kelvin Davison</cp:lastModifiedBy>
  <cp:revision>3</cp:revision>
  <cp:lastPrinted>2020-12-07T14:27:00Z</cp:lastPrinted>
  <dcterms:created xsi:type="dcterms:W3CDTF">2026-06-01T14:24:00Z</dcterms:created>
  <dcterms:modified xsi:type="dcterms:W3CDTF">2026-06-01T14:51:00Z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SysUpdateNoER">
    <vt:lpwstr>No</vt:lpwstr>
  </property>
</Properties>
</file>