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85"/>
      </w:pPr>
      <w:r>
        <w:rPr>
          <w:rFonts w:ascii="Arial" w:hAnsi="Arial" w:cs="Arial"/>
          <w:sz w:val="42"/>
          <w:sz-cs w:val="42"/>
          <w:b/>
          <w:spacing w:val="0"/>
        </w:rPr>
        <w:t xml:space="preserve">CBE Plus Ltd — Point Source Emissions to Water</w:t>
        <w:br/>
        <w:t xml:space="preserve">H1 Assessment: Final Report</w:t>
      </w:r>
    </w:p>
    <w:p>
      <w:pPr>
        <w:spacing w:after="293"/>
      </w:pPr>
      <w:r>
        <w:rPr>
          <w:rFonts w:ascii="Arial" w:hAnsi="Arial" w:cs="Arial"/>
          <w:sz w:val="29"/>
          <w:sz-cs w:val="29"/>
          <w:b/>
          <w:spacing w:val="0"/>
        </w:rPr>
        <w:t xml:space="preserve">Operator:</w:t>
      </w:r>
      <w:r>
        <w:rPr>
          <w:rFonts w:ascii="Arial" w:hAnsi="Arial" w:cs="Arial"/>
          <w:sz w:val="29"/>
          <w:sz-cs w:val="29"/>
          <w:spacing w:val="0"/>
        </w:rPr>
        <w:t xml:space="preserve"> CBE Plus Ltd, Enterprise Drive, Holmewood, Chesterfield S42 5UZ</w:t>
        <w:br/>
        <w:t xml:space="preserve"/>
      </w:r>
      <w:r>
        <w:rPr>
          <w:rFonts w:ascii="Arial" w:hAnsi="Arial" w:cs="Arial"/>
          <w:sz w:val="29"/>
          <w:sz-cs w:val="29"/>
          <w:b/>
          <w:spacing w:val="0"/>
        </w:rPr>
        <w:t xml:space="preserve">Application:</w:t>
      </w:r>
      <w:r>
        <w:rPr>
          <w:rFonts w:ascii="Arial" w:hAnsi="Arial" w:cs="Arial"/>
          <w:sz w:val="29"/>
          <w:sz-cs w:val="29"/>
          <w:spacing w:val="0"/>
        </w:rPr>
        <w:t xml:space="preserve"> Environmental permit EPR/HP3627SH/A001 (resubmission)</w:t>
        <w:br/>
        <w:t xml:space="preserve"/>
      </w:r>
      <w:r>
        <w:rPr>
          <w:rFonts w:ascii="Arial" w:hAnsi="Arial" w:cs="Arial"/>
          <w:sz w:val="29"/>
          <w:sz-cs w:val="29"/>
          <w:b/>
          <w:spacing w:val="0"/>
        </w:rPr>
        <w:t xml:space="preserve">Responds to:</w:t>
      </w:r>
      <w:r>
        <w:rPr>
          <w:rFonts w:ascii="Arial" w:hAnsi="Arial" w:cs="Arial"/>
          <w:sz w:val="29"/>
          <w:sz-cs w:val="29"/>
          <w:spacing w:val="0"/>
        </w:rPr>
        <w:t xml:space="preserve"> Environment Agency letter of 24/07/2024 (return as not duly made), item 9 — assessment of point source emissions to water</w:t>
        <w:br/>
        <w:t xml:space="preserve"/>
      </w:r>
      <w:r>
        <w:rPr>
          <w:rFonts w:ascii="Arial" w:hAnsi="Arial" w:cs="Arial"/>
          <w:sz w:val="29"/>
          <w:sz-cs w:val="29"/>
          <w:b/>
          <w:spacing w:val="0"/>
        </w:rPr>
        <w:t xml:space="preserve">Prepared by:</w:t>
      </w:r>
      <w:r>
        <w:rPr>
          <w:rFonts w:ascii="Arial" w:hAnsi="Arial" w:cs="Arial"/>
          <w:sz w:val="29"/>
          <w:sz-cs w:val="29"/>
          <w:spacing w:val="0"/>
        </w:rPr>
        <w:t xml:space="preserve"> Innovation Waste Services Ltd for CBE Plus Ltd</w:t>
        <w:br/>
        <w:t xml:space="preserve"/>
      </w:r>
      <w:r>
        <w:rPr>
          <w:rFonts w:ascii="Arial" w:hAnsi="Arial" w:cs="Arial"/>
          <w:sz w:val="29"/>
          <w:sz-cs w:val="29"/>
          <w:b/>
          <w:spacing w:val="0"/>
        </w:rPr>
        <w:t xml:space="preserve">Date:</w:t>
      </w:r>
      <w:r>
        <w:rPr>
          <w:rFonts w:ascii="Arial" w:hAnsi="Arial" w:cs="Arial"/>
          <w:sz w:val="29"/>
          <w:sz-cs w:val="29"/>
          <w:spacing w:val="0"/>
        </w:rPr>
        <w:t xml:space="preserve"> 10 June 2026    </w:t>
      </w:r>
      <w:r>
        <w:rPr>
          <w:rFonts w:ascii="Arial" w:hAnsi="Arial" w:cs="Arial"/>
          <w:sz w:val="29"/>
          <w:sz-cs w:val="29"/>
          <w:b/>
          <w:spacing w:val="0"/>
        </w:rPr>
        <w:t xml:space="preserve">Status:</w:t>
      </w:r>
      <w:r>
        <w:rPr>
          <w:rFonts w:ascii="Arial" w:hAnsi="Arial" w:cs="Arial"/>
          <w:sz w:val="29"/>
          <w:sz-cs w:val="29"/>
          <w:spacing w:val="0"/>
        </w:rPr>
        <w:t xml:space="preserve"> Final (V4)</w:t>
        <w:br/>
        <w:t xml:space="preserve"/>
      </w:r>
      <w:r>
        <w:rPr>
          <w:rFonts w:ascii="Arial" w:hAnsi="Arial" w:cs="Arial"/>
          <w:sz w:val="29"/>
          <w:sz-cs w:val="29"/>
          <w:b/>
          <w:spacing w:val="0"/>
        </w:rPr>
        <w:t xml:space="preserve">Accompanying workbook:</w:t>
      </w:r>
      <w:r>
        <w:rPr>
          <w:rFonts w:ascii="Arial" w:hAnsi="Arial" w:cs="Arial"/>
          <w:sz w:val="29"/>
          <w:sz-cs w:val="29"/>
          <w:spacing w:val="0"/>
        </w:rPr>
        <w:t xml:space="preserve"> H1_water_calculator_v4_FINAL.xlsx</w:t>
      </w:r>
    </w:p>
    <w:p>
      <w:pPr>
        <w:spacing w:after="365"/>
      </w:pPr>
      <w:r>
        <w:rPr>
          <w:rFonts w:ascii="Arial" w:hAnsi="Arial" w:cs="Arial"/>
          <w:sz w:val="44"/>
          <w:sz-cs w:val="44"/>
          <w:b/>
          <w:spacing w:val="0"/>
        </w:rPr>
        <w:t xml:space="preserve">1. Purpose and scope</w:t>
      </w:r>
    </w:p>
    <w:p>
      <w:pPr>
        <w:spacing w:after="293"/>
      </w:pPr>
      <w:r>
        <w:rPr>
          <w:rFonts w:ascii="Arial" w:hAnsi="Arial" w:cs="Arial"/>
          <w:sz w:val="29"/>
          <w:sz-cs w:val="29"/>
          <w:spacing w:val="0"/>
        </w:rPr>
        <w:t xml:space="preserve">This report finalises the assessment of point source emissions to water for the installation. The Environment Agency’s return letter stated, at item 9: “An H1 for discharge to sewer has been submitted. However you should confirm the name of the relevant sewage treatment works (STW) and the location (national grid reference) of the final discharge point from the STW.” Section 3 of this report provides that confirmation. The remainder of the report documents the discharge route and its statutory control, the effluent characterisation, the completed H1 screening on a conservative basis, and the closure of every assumption raised during the assessment. The accompanying workbook contains the full calculation engine, source data and audit trail.</w:t>
      </w:r>
    </w:p>
    <w:p>
      <w:pPr>
        <w:spacing w:after="365"/>
      </w:pPr>
      <w:r>
        <w:rPr>
          <w:rFonts w:ascii="Arial" w:hAnsi="Arial" w:cs="Arial"/>
          <w:sz w:val="44"/>
          <w:sz-cs w:val="44"/>
          <w:b/>
          <w:spacing w:val="0"/>
        </w:rPr>
        <w:t xml:space="preserve">2. The discharge and its route</w:t>
      </w:r>
    </w:p>
    <w:p>
      <w:pPr>
        <w:spacing w:after="293"/>
      </w:pPr>
      <w:r>
        <w:rPr>
          <w:rFonts w:ascii="Arial" w:hAnsi="Arial" w:cs="Arial"/>
          <w:sz w:val="29"/>
          <w:sz-cs w:val="29"/>
          <w:spacing w:val="0"/>
        </w:rPr>
        <w:t xml:space="preserve">The installation’s effluent treatment plant (ETP) produces a single treated trade effluent stream (release point W1). The effluent passes from the ETP, via the sampling point marked Y on the consent plan, to the point of discharge to the public foul sewer marked X, joining the main public foul sewer at the point marked Z on Holmewood Industrial Park. There is no direct discharge from the installation to any surface water.</w:t>
      </w:r>
    </w:p>
    <w:p>
      <w:pPr>
        <w:spacing w:after="293"/>
      </w:pPr>
      <w:r>
        <w:rPr>
          <w:rFonts w:ascii="Arial" w:hAnsi="Arial" w:cs="Arial"/>
          <w:sz w:val="29"/>
          <w:sz-cs w:val="29"/>
          <w:spacing w:val="0"/>
        </w:rPr>
        <w:t xml:space="preserve">The discharge is controlled by a trade effluent consent issued by Yorkshire Water Services Ltd under the Water Industry Act 1991: Direction </w:t>
      </w:r>
      <w:r>
        <w:rPr>
          <w:rFonts w:ascii="Arial" w:hAnsi="Arial" w:cs="Arial"/>
          <w:sz w:val="29"/>
          <w:sz-cs w:val="29"/>
          <w:b/>
          <w:spacing w:val="0"/>
        </w:rPr>
        <w:t xml:space="preserve">Y/5032/23D</w:t>
      </w:r>
      <w:r>
        <w:rPr>
          <w:rFonts w:ascii="Arial" w:hAnsi="Arial" w:cs="Arial"/>
          <w:sz w:val="29"/>
          <w:sz-cs w:val="29"/>
          <w:spacing w:val="0"/>
        </w:rPr>
        <w:t xml:space="preserve"> (effective 29 September 2023), varying Consent Y/4927/22C (11 April 2022); YWS reference WH/WWI/SB/3390786. The consent conditions and Schedule impose the following limits:</w:t>
      </w:r>
    </w:p>
    <w:p>
      <w:pPr/>
      <w:r>
        <w:rPr>
          <w:rFonts w:ascii="Arial" w:hAnsi="Arial" w:cs="Arial"/>
          <w:sz w:val="24"/>
          <w:sz-cs w:val="24"/>
          <w:b/>
          <w:spacing w:val="0"/>
        </w:rPr>
        <w:t xml:space="preserve">Parameter</w:t>
      </w:r>
    </w:p>
    <w:p>
      <w:pPr/>
      <w:r>
        <w:rPr>
          <w:rFonts w:ascii="Arial" w:hAnsi="Arial" w:cs="Arial"/>
          <w:sz w:val="24"/>
          <w:sz-cs w:val="24"/>
          <w:b/>
          <w:spacing w:val="0"/>
        </w:rPr>
        <w:t xml:space="preserve">Consent limit</w:t>
      </w:r>
    </w:p>
    <w:p>
      <w:pPr/>
      <w:r>
        <w:rPr>
          <w:rFonts w:ascii="Arial" w:hAnsi="Arial" w:cs="Arial"/>
          <w:sz w:val="24"/>
          <w:sz-cs w:val="24"/>
          <w:spacing w:val="0"/>
        </w:rPr>
        <w:t xml:space="preserve">Quantity</w:t>
      </w:r>
    </w:p>
    <w:p>
      <w:pPr/>
      <w:r>
        <w:rPr>
          <w:rFonts w:ascii="Arial" w:hAnsi="Arial" w:cs="Arial"/>
          <w:sz w:val="24"/>
          <w:sz-cs w:val="24"/>
          <w:spacing w:val="0"/>
        </w:rPr>
        <w:t xml:space="preserve">35 m³ in any 24-hour period</w:t>
      </w:r>
    </w:p>
    <w:p>
      <w:pPr/>
      <w:r>
        <w:rPr>
          <w:rFonts w:ascii="Arial" w:hAnsi="Arial" w:cs="Arial"/>
          <w:sz w:val="24"/>
          <w:sz-cs w:val="24"/>
          <w:spacing w:val="0"/>
        </w:rPr>
        <w:t xml:space="preserve">Rate</w:t>
      </w:r>
    </w:p>
    <w:p>
      <w:pPr/>
      <w:r>
        <w:rPr>
          <w:rFonts w:ascii="Arial" w:hAnsi="Arial" w:cs="Arial"/>
          <w:sz w:val="24"/>
          <w:sz-cs w:val="24"/>
          <w:spacing w:val="0"/>
        </w:rPr>
        <w:t xml:space="preserve">0.4 litres per second</w:t>
      </w:r>
    </w:p>
    <w:p>
      <w:pPr/>
      <w:r>
        <w:rPr>
          <w:rFonts w:ascii="Arial" w:hAnsi="Arial" w:cs="Arial"/>
          <w:sz w:val="24"/>
          <w:sz-cs w:val="24"/>
          <w:spacing w:val="0"/>
        </w:rPr>
        <w:t xml:space="preserve">Temperature</w:t>
      </w:r>
    </w:p>
    <w:p>
      <w:pPr/>
      <w:r>
        <w:rPr>
          <w:rFonts w:ascii="Arial" w:hAnsi="Arial" w:cs="Arial"/>
          <w:sz w:val="24"/>
          <w:sz-cs w:val="24"/>
          <w:spacing w:val="0"/>
        </w:rPr>
        <w:t xml:space="preserve">≤43.3°C at discharge</w:t>
      </w:r>
    </w:p>
    <w:p>
      <w:pPr/>
      <w:r>
        <w:rPr>
          <w:rFonts w:ascii="Arial" w:hAnsi="Arial" w:cs="Arial"/>
          <w:sz w:val="24"/>
          <w:sz-cs w:val="24"/>
          <w:spacing w:val="0"/>
        </w:rPr>
        <w:t xml:space="preserve">pH</w:t>
      </w:r>
    </w:p>
    <w:p>
      <w:pPr/>
      <w:r>
        <w:rPr>
          <w:rFonts w:ascii="Arial" w:hAnsi="Arial" w:cs="Arial"/>
          <w:sz w:val="24"/>
          <w:sz-cs w:val="24"/>
          <w:spacing w:val="0"/>
        </w:rPr>
        <w:t xml:space="preserve">6 to 10.5</w:t>
      </w:r>
    </w:p>
    <w:p>
      <w:pPr/>
      <w:r>
        <w:rPr>
          <w:rFonts w:ascii="Arial" w:hAnsi="Arial" w:cs="Arial"/>
          <w:sz w:val="24"/>
          <w:sz-cs w:val="24"/>
          <w:spacing w:val="0"/>
        </w:rPr>
        <w:t xml:space="preserve">Settled COD</w:t>
      </w:r>
    </w:p>
    <w:p>
      <w:pPr/>
      <w:r>
        <w:rPr>
          <w:rFonts w:ascii="Arial" w:hAnsi="Arial" w:cs="Arial"/>
          <w:sz w:val="24"/>
          <w:sz-cs w:val="24"/>
          <w:spacing w:val="0"/>
        </w:rPr>
        <w:t xml:space="preserve">≤3,000 mg/l</w:t>
      </w:r>
    </w:p>
    <w:p>
      <w:pPr/>
      <w:r>
        <w:rPr>
          <w:rFonts w:ascii="Arial" w:hAnsi="Arial" w:cs="Arial"/>
          <w:sz w:val="24"/>
          <w:sz-cs w:val="24"/>
          <w:spacing w:val="0"/>
        </w:rPr>
        <w:t xml:space="preserve">Settleable solids</w:t>
      </w:r>
    </w:p>
    <w:p>
      <w:pPr/>
      <w:r>
        <w:rPr>
          <w:rFonts w:ascii="Arial" w:hAnsi="Arial" w:cs="Arial"/>
          <w:sz w:val="24"/>
          <w:sz-cs w:val="24"/>
          <w:spacing w:val="0"/>
        </w:rPr>
        <w:t xml:space="preserve">≤250 mg/l</w:t>
      </w:r>
    </w:p>
    <w:p>
      <w:pPr/>
      <w:r>
        <w:rPr>
          <w:rFonts w:ascii="Arial" w:hAnsi="Arial" w:cs="Arial"/>
          <w:sz w:val="24"/>
          <w:sz-cs w:val="24"/>
          <w:spacing w:val="0"/>
        </w:rPr>
        <w:t xml:space="preserve">Total copper</w:t>
      </w:r>
    </w:p>
    <w:p>
      <w:pPr/>
      <w:r>
        <w:rPr>
          <w:rFonts w:ascii="Arial" w:hAnsi="Arial" w:cs="Arial"/>
          <w:sz w:val="24"/>
          <w:sz-cs w:val="24"/>
          <w:spacing w:val="0"/>
        </w:rPr>
        <w:t xml:space="preserve">≤1 mg/l and ≤0.015 kg/day</w:t>
      </w:r>
    </w:p>
    <w:p>
      <w:pPr/>
      <w:r>
        <w:rPr>
          <w:rFonts w:ascii="Arial" w:hAnsi="Arial" w:cs="Arial"/>
          <w:sz w:val="24"/>
          <w:sz-cs w:val="24"/>
          <w:spacing w:val="0"/>
        </w:rPr>
        <w:t xml:space="preserve">Total cyanide</w:t>
      </w:r>
    </w:p>
    <w:p>
      <w:pPr/>
      <w:r>
        <w:rPr>
          <w:rFonts w:ascii="Arial" w:hAnsi="Arial" w:cs="Arial"/>
          <w:sz w:val="24"/>
          <w:sz-cs w:val="24"/>
          <w:spacing w:val="0"/>
        </w:rPr>
        <w:t xml:space="preserve">≤2 mg/l</w:t>
      </w:r>
    </w:p>
    <w:p>
      <w:pPr/>
      <w:r>
        <w:rPr>
          <w:rFonts w:ascii="Arial" w:hAnsi="Arial" w:cs="Arial"/>
          <w:sz w:val="24"/>
          <w:sz-cs w:val="24"/>
          <w:spacing w:val="0"/>
        </w:rPr>
        <w:t xml:space="preserve">Total nickel</w:t>
      </w:r>
    </w:p>
    <w:p>
      <w:pPr/>
      <w:r>
        <w:rPr>
          <w:rFonts w:ascii="Arial" w:hAnsi="Arial" w:cs="Arial"/>
          <w:sz w:val="24"/>
          <w:sz-cs w:val="24"/>
          <w:spacing w:val="0"/>
        </w:rPr>
        <w:t xml:space="preserve">≤4 mg/l and ≤0.06 kg/day</w:t>
      </w:r>
    </w:p>
    <w:p>
      <w:pPr/>
      <w:r>
        <w:rPr>
          <w:rFonts w:ascii="Arial" w:hAnsi="Arial" w:cs="Arial"/>
          <w:sz w:val="24"/>
          <w:sz-cs w:val="24"/>
          <w:spacing w:val="0"/>
        </w:rPr>
        <w:t xml:space="preserve">Total zinc</w:t>
      </w:r>
    </w:p>
    <w:p>
      <w:pPr/>
      <w:r>
        <w:rPr>
          <w:rFonts w:ascii="Arial" w:hAnsi="Arial" w:cs="Arial"/>
          <w:sz w:val="24"/>
          <w:sz-cs w:val="24"/>
          <w:spacing w:val="0"/>
        </w:rPr>
        <w:t xml:space="preserve">≤1 mg/l</w:t>
      </w:r>
    </w:p>
    <w:p>
      <w:pPr/>
      <w:r>
        <w:rPr>
          <w:rFonts w:ascii="Arial" w:hAnsi="Arial" w:cs="Arial"/>
          <w:sz w:val="24"/>
          <w:sz-cs w:val="24"/>
          <w:spacing w:val="0"/>
        </w:rPr>
        <w:t xml:space="preserve">Prescribed substances</w:t>
      </w:r>
    </w:p>
    <w:p>
      <w:pPr/>
      <w:r>
        <w:rPr>
          <w:rFonts w:ascii="Arial" w:hAnsi="Arial" w:cs="Arial"/>
          <w:sz w:val="24"/>
          <w:sz-cs w:val="24"/>
          <w:spacing w:val="0"/>
        </w:rPr>
        <w:t xml:space="preserve">Not above background (Trade Effluents (Prescribed Processes and Substances) Regulations 1989)</w:t>
      </w:r>
    </w:p>
    <w:p>
      <w:pPr>
        <w:spacing w:after="293"/>
      </w:pPr>
      <w:r>
        <w:rPr>
          <w:rFonts w:ascii="Arial" w:hAnsi="Arial" w:cs="Arial"/>
          <w:sz w:val="29"/>
          <w:sz-cs w:val="29"/>
          <w:spacing w:val="0"/>
        </w:rPr>
        <w:t xml:space="preserve">The consent also requires flow metering with continuous recording, flow-proportional sampling, continuous pH recording, record-keeping, and prior written notice to Yorkshire Water of any change in process or process materials likely to alter the constituents of the effluent (condition 7).</w:t>
      </w:r>
    </w:p>
    <w:p>
      <w:pPr>
        <w:spacing w:after="365"/>
      </w:pPr>
      <w:r>
        <w:rPr>
          <w:rFonts w:ascii="Arial" w:hAnsi="Arial" w:cs="Arial"/>
          <w:sz w:val="44"/>
          <w:sz-cs w:val="44"/>
          <w:b/>
          <w:spacing w:val="0"/>
        </w:rPr>
        <w:t xml:space="preserve">3. The receiving sewage treatment works</w:t>
      </w:r>
    </w:p>
    <w:p>
      <w:pPr>
        <w:spacing w:after="293"/>
      </w:pPr>
      <w:r>
        <w:rPr>
          <w:rFonts w:ascii="Arial" w:hAnsi="Arial" w:cs="Arial"/>
          <w:sz w:val="29"/>
          <w:sz-cs w:val="29"/>
          <w:spacing w:val="0"/>
        </w:rPr>
        <w:t xml:space="preserve">In answer to item 9 of the Agency’s letter:</w:t>
      </w:r>
    </w:p>
    <w:p>
      <w:pPr>
        <w:spacing w:after="293"/>
      </w:pPr>
      <w:r>
        <w:rPr>
          <w:rFonts w:ascii="Arial" w:hAnsi="Arial" w:cs="Arial"/>
          <w:sz w:val="29"/>
          <w:sz-cs w:val="29"/>
          <w:b/>
          <w:spacing w:val="0"/>
        </w:rPr>
        <w:t xml:space="preserve">Name of the relevant sewage treatment works:</w:t>
      </w:r>
      <w:r>
        <w:rPr>
          <w:rFonts w:ascii="Arial" w:hAnsi="Arial" w:cs="Arial"/>
          <w:sz w:val="29"/>
          <w:sz-cs w:val="29"/>
          <w:spacing w:val="0"/>
        </w:rPr>
        <w:t xml:space="preserve"> Williamthorpe STW, operated by Yorkshire Water Services Ltd, Park Road (track off), Holmewood Industrial Park, Chesterfield, Derbyshire S42 5UY — located on the same industrial park as the installation.</w:t>
      </w:r>
    </w:p>
    <w:p>
      <w:pPr>
        <w:spacing w:after="293"/>
      </w:pPr>
      <w:r>
        <w:rPr>
          <w:rFonts w:ascii="Arial" w:hAnsi="Arial" w:cs="Arial"/>
          <w:sz w:val="29"/>
          <w:sz-cs w:val="29"/>
          <w:b/>
          <w:spacing w:val="0"/>
        </w:rPr>
        <w:t xml:space="preserve">National grid reference of the final discharge point from the STW:</w:t>
      </w:r>
      <w:r>
        <w:rPr>
          <w:rFonts w:ascii="Arial" w:hAnsi="Arial" w:cs="Arial"/>
          <w:sz w:val="29"/>
          <w:sz-cs w:val="29"/>
          <w:spacing w:val="0"/>
        </w:rPr>
        <w:t xml:space="preserve"> </w:t>
      </w:r>
      <w:r>
        <w:rPr>
          <w:rFonts w:ascii="Arial" w:hAnsi="Arial" w:cs="Arial"/>
          <w:sz w:val="29"/>
          <w:sz-cs w:val="29"/>
          <w:b/>
          <w:spacing w:val="0"/>
        </w:rPr>
        <w:t xml:space="preserve">SK 43160 66490</w:t>
      </w:r>
      <w:r>
        <w:rPr>
          <w:rFonts w:ascii="Arial" w:hAnsi="Arial" w:cs="Arial"/>
          <w:sz w:val="29"/>
          <w:sz-cs w:val="29"/>
          <w:spacing w:val="0"/>
        </w:rPr>
        <w:t xml:space="preserve"> (Easting 443160, Northing 366490), as recorded for the works’ discharge in the Environment Agency public register of water discharge permits; the works’ current registration is </w:t>
      </w:r>
      <w:r>
        <w:rPr>
          <w:rFonts w:ascii="Arial" w:hAnsi="Arial" w:cs="Arial"/>
          <w:sz w:val="29"/>
          <w:sz-cs w:val="29"/>
          <w:b/>
          <w:spacing w:val="0"/>
        </w:rPr>
        <w:t xml:space="preserve">NE/2941/009</w:t>
      </w:r>
      <w:r>
        <w:rPr>
          <w:rFonts w:ascii="Arial" w:hAnsi="Arial" w:cs="Arial"/>
          <w:sz w:val="29"/>
          <w:sz-cs w:val="29"/>
          <w:spacing w:val="0"/>
        </w:rPr>
        <w:t xml:space="preserve"> (Yorkshire Water Services Ltd, effective 11 July 2022). Register retrieved 10 June 2026.</w:t>
      </w:r>
    </w:p>
    <w:p>
      <w:pPr>
        <w:spacing w:after="293"/>
      </w:pPr>
      <w:r>
        <w:rPr>
          <w:rFonts w:ascii="Arial" w:hAnsi="Arial" w:cs="Arial"/>
          <w:sz w:val="29"/>
          <w:sz-cs w:val="29"/>
          <w:spacing w:val="0"/>
        </w:rPr>
        <w:t xml:space="preserve">For completeness: the receptor named “Williamthorpe Reservoir” in the operator’s earlier H1 tool entries corresponds to this Williamthorpe location and the waterbody adjacent to the works. As the installation’s effluent reaches controlled waters only via the public foul sewer and Williamthorpe STW, the screening in this report is carried out for the discharge-to-sewer route; direct-discharge (reservoir) mixing modelling is not applicable to this installation and the previous direct-discharge tables are retained in the workbook for audit only.</w:t>
      </w:r>
    </w:p>
    <w:p>
      <w:pPr>
        <w:spacing w:after="365"/>
      </w:pPr>
      <w:r>
        <w:rPr>
          <w:rFonts w:ascii="Arial" w:hAnsi="Arial" w:cs="Arial"/>
          <w:sz w:val="44"/>
          <w:sz-cs w:val="44"/>
          <w:b/>
          <w:spacing w:val="0"/>
        </w:rPr>
        <w:t xml:space="preserve">4. Effluent characterisation</w:t>
      </w:r>
    </w:p>
    <w:p>
      <w:pPr>
        <w:spacing w:after="293"/>
      </w:pPr>
      <w:r>
        <w:rPr>
          <w:rFonts w:ascii="Arial" w:hAnsi="Arial" w:cs="Arial"/>
          <w:sz w:val="29"/>
          <w:sz-cs w:val="29"/>
          <w:spacing w:val="0"/>
        </w:rPr>
        <w:t xml:space="preserve">Effluent quality is taken from the ETP Discharge Log (Appendix 17 to the application), which holds spot-sample results across 2023–24 and 2025 with a mean and maximum per determinand, and which reproduces the values in the operator’s H1 tool. Actual discharge flows were 9.78 m³/day (mean) and 14 m³/day (maximum) in 2025 (5.44 / 11 m³/day in 2023–24). Supply water hardness is 13.53° Clarke = 193 mg/l CaCO₃ (Severn Trent supply), placing all hardness-banded standards in the &gt;50 mg/l CaCO₃ band.</w:t>
      </w:r>
    </w:p>
    <w:p>
      <w:pPr/>
      <w:r>
        <w:rPr>
          <w:rFonts w:ascii="Arial" w:hAnsi="Arial" w:cs="Arial"/>
          <w:sz w:val="24"/>
          <w:sz-cs w:val="24"/>
          <w:b/>
          <w:spacing w:val="0"/>
        </w:rPr>
        <w:t xml:space="preserve">Determinand</w:t>
      </w:r>
    </w:p>
    <w:p>
      <w:pPr>
        <w:jc w:val="center"/>
      </w:pPr>
      <w:r>
        <w:rPr>
          <w:rFonts w:ascii="Arial" w:hAnsi="Arial" w:cs="Arial"/>
          <w:sz w:val="24"/>
          <w:sz-cs w:val="24"/>
          <w:b/>
          <w:spacing w:val="0"/>
        </w:rPr>
        <w:t xml:space="preserve">Mean (µg/l)</w:t>
      </w:r>
    </w:p>
    <w:p>
      <w:pPr>
        <w:jc w:val="center"/>
      </w:pPr>
      <w:r>
        <w:rPr>
          <w:rFonts w:ascii="Arial" w:hAnsi="Arial" w:cs="Arial"/>
          <w:sz w:val="24"/>
          <w:sz-cs w:val="24"/>
          <w:b/>
          <w:spacing w:val="0"/>
        </w:rPr>
        <w:t xml:space="preserve">Maximum (µg/l)</w:t>
      </w:r>
    </w:p>
    <w:p>
      <w:pPr/>
      <w:r>
        <w:rPr>
          <w:rFonts w:ascii="Arial" w:hAnsi="Arial" w:cs="Arial"/>
          <w:sz w:val="24"/>
          <w:sz-cs w:val="24"/>
          <w:b/>
          <w:spacing w:val="0"/>
        </w:rPr>
        <w:t xml:space="preserve">Note</w:t>
      </w:r>
    </w:p>
    <w:p>
      <w:pPr/>
      <w:r>
        <w:rPr>
          <w:rFonts w:ascii="Arial" w:hAnsi="Arial" w:cs="Arial"/>
          <w:sz w:val="24"/>
          <w:sz-cs w:val="24"/>
          <w:spacing w:val="0"/>
        </w:rPr>
        <w:t xml:space="preserve">Copper</w:t>
      </w:r>
    </w:p>
    <w:p>
      <w:pPr>
        <w:jc w:val="right"/>
      </w:pPr>
      <w:r>
        <w:rPr>
          <w:rFonts w:ascii="Arial" w:hAnsi="Arial" w:cs="Arial"/>
          <w:sz w:val="24"/>
          <w:sz-cs w:val="24"/>
          <w:spacing w:val="0"/>
        </w:rPr>
        <w:t xml:space="preserve">127</w:t>
      </w:r>
    </w:p>
    <w:p>
      <w:pPr>
        <w:jc w:val="right"/>
      </w:pPr>
      <w:r>
        <w:rPr>
          <w:rFonts w:ascii="Arial" w:hAnsi="Arial" w:cs="Arial"/>
          <w:sz w:val="24"/>
          <w:sz-cs w:val="24"/>
          <w:spacing w:val="0"/>
        </w:rPr>
        <w:t xml:space="preserve">557</w:t>
      </w:r>
    </w:p>
    <w:p>
      <w:pPr/>
      <w:r>
        <w:rPr>
          <w:rFonts w:ascii="Arial" w:hAnsi="Arial" w:cs="Arial"/>
          <w:sz w:val="24"/>
          <w:sz-cs w:val="24"/>
          <w:spacing w:val="0"/>
        </w:rPr>
        <w:t xml:space="preserve">2025 record</w:t>
      </w:r>
    </w:p>
    <w:p>
      <w:pPr/>
      <w:r>
        <w:rPr>
          <w:rFonts w:ascii="Arial" w:hAnsi="Arial" w:cs="Arial"/>
          <w:sz w:val="24"/>
          <w:sz-cs w:val="24"/>
          <w:spacing w:val="0"/>
        </w:rPr>
        <w:t xml:space="preserve">Ammonia</w:t>
      </w:r>
    </w:p>
    <w:p>
      <w:pPr>
        <w:jc w:val="right"/>
      </w:pPr>
      <w:r>
        <w:rPr>
          <w:rFonts w:ascii="Arial" w:hAnsi="Arial" w:cs="Arial"/>
          <w:sz w:val="24"/>
          <w:sz-cs w:val="24"/>
          <w:spacing w:val="0"/>
        </w:rPr>
        <w:t xml:space="preserve">98,000</w:t>
      </w:r>
    </w:p>
    <w:p>
      <w:pPr>
        <w:jc w:val="right"/>
      </w:pPr>
      <w:r>
        <w:rPr>
          <w:rFonts w:ascii="Arial" w:hAnsi="Arial" w:cs="Arial"/>
          <w:sz w:val="24"/>
          <w:sz-cs w:val="24"/>
          <w:spacing w:val="0"/>
        </w:rPr>
        <w:t xml:space="preserve">318,000</w:t>
      </w:r>
    </w:p>
    <w:p>
      <w:pPr/>
      <w:r>
        <w:rPr>
          <w:rFonts w:ascii="Arial" w:hAnsi="Arial" w:cs="Arial"/>
          <w:sz w:val="24"/>
          <w:sz-cs w:val="24"/>
          <w:spacing w:val="0"/>
        </w:rPr>
        <w:t xml:space="preserve">2025 record</w:t>
      </w:r>
    </w:p>
    <w:p>
      <w:pPr/>
      <w:r>
        <w:rPr>
          <w:rFonts w:ascii="Arial" w:hAnsi="Arial" w:cs="Arial"/>
          <w:sz w:val="24"/>
          <w:sz-cs w:val="24"/>
          <w:spacing w:val="0"/>
        </w:rPr>
        <w:t xml:space="preserve">Chromium (trivalent)</w:t>
      </w:r>
    </w:p>
    <w:p>
      <w:pPr>
        <w:jc w:val="right"/>
      </w:pPr>
      <w:r>
        <w:rPr>
          <w:rFonts w:ascii="Arial" w:hAnsi="Arial" w:cs="Arial"/>
          <w:sz w:val="24"/>
          <w:sz-cs w:val="24"/>
          <w:spacing w:val="0"/>
        </w:rPr>
        <w:t xml:space="preserve">24</w:t>
      </w:r>
    </w:p>
    <w:p>
      <w:pPr>
        <w:jc w:val="right"/>
      </w:pPr>
      <w:r>
        <w:rPr>
          <w:rFonts w:ascii="Arial" w:hAnsi="Arial" w:cs="Arial"/>
          <w:sz w:val="24"/>
          <w:sz-cs w:val="24"/>
          <w:spacing w:val="0"/>
        </w:rPr>
        <w:t xml:space="preserve">26</w:t>
      </w:r>
    </w:p>
    <w:p>
      <w:pPr/>
      <w:r>
        <w:rPr>
          <w:rFonts w:ascii="Arial" w:hAnsi="Arial" w:cs="Arial"/>
          <w:sz w:val="24"/>
          <w:sz-cs w:val="24"/>
          <w:spacing w:val="0"/>
        </w:rPr>
        <w:t xml:space="preserve">2023–24 averages; not detected in 2025; no hexavalent chromium on site</w:t>
      </w:r>
    </w:p>
    <w:p>
      <w:pPr/>
      <w:r>
        <w:rPr>
          <w:rFonts w:ascii="Arial" w:hAnsi="Arial" w:cs="Arial"/>
          <w:sz w:val="24"/>
          <w:sz-cs w:val="24"/>
          <w:spacing w:val="0"/>
        </w:rPr>
        <w:t xml:space="preserve">Cyanide</w:t>
      </w:r>
    </w:p>
    <w:p>
      <w:pPr>
        <w:jc w:val="right"/>
      </w:pPr>
      <w:r>
        <w:rPr>
          <w:rFonts w:ascii="Arial" w:hAnsi="Arial" w:cs="Arial"/>
          <w:sz w:val="24"/>
          <w:sz-cs w:val="24"/>
          <w:spacing w:val="0"/>
        </w:rPr>
        <w:t xml:space="preserve">14</w:t>
      </w:r>
    </w:p>
    <w:p>
      <w:pPr>
        <w:jc w:val="right"/>
      </w:pPr>
      <w:r>
        <w:rPr>
          <w:rFonts w:ascii="Arial" w:hAnsi="Arial" w:cs="Arial"/>
          <w:sz w:val="24"/>
          <w:sz-cs w:val="24"/>
          <w:spacing w:val="0"/>
        </w:rPr>
        <w:t xml:space="preserve">14</w:t>
      </w:r>
    </w:p>
    <w:p>
      <w:pPr/>
      <w:r>
        <w:rPr>
          <w:rFonts w:ascii="Arial" w:hAnsi="Arial" w:cs="Arial"/>
          <w:sz w:val="24"/>
          <w:sz-cs w:val="24"/>
          <w:spacing w:val="0"/>
        </w:rPr>
        <w:t xml:space="preserve">2025 record</w:t>
      </w:r>
    </w:p>
    <w:p>
      <w:pPr/>
      <w:r>
        <w:rPr>
          <w:rFonts w:ascii="Arial" w:hAnsi="Arial" w:cs="Arial"/>
          <w:sz w:val="24"/>
          <w:sz-cs w:val="24"/>
          <w:spacing w:val="0"/>
        </w:rPr>
        <w:t xml:space="preserve">Lead</w:t>
      </w:r>
    </w:p>
    <w:p>
      <w:pPr>
        <w:jc w:val="right"/>
      </w:pPr>
      <w:r>
        <w:rPr>
          <w:rFonts w:ascii="Arial" w:hAnsi="Arial" w:cs="Arial"/>
          <w:sz w:val="24"/>
          <w:sz-cs w:val="24"/>
          <w:spacing w:val="0"/>
        </w:rPr>
        <w:t xml:space="preserve">290</w:t>
      </w:r>
    </w:p>
    <w:p>
      <w:pPr>
        <w:jc w:val="right"/>
      </w:pPr>
      <w:r>
        <w:rPr>
          <w:rFonts w:ascii="Arial" w:hAnsi="Arial" w:cs="Arial"/>
          <w:sz w:val="24"/>
          <w:sz-cs w:val="24"/>
          <w:spacing w:val="0"/>
        </w:rPr>
        <w:t xml:space="preserve">290</w:t>
      </w:r>
    </w:p>
    <w:p>
      <w:pPr/>
      <w:r>
        <w:rPr>
          <w:rFonts w:ascii="Arial" w:hAnsi="Arial" w:cs="Arial"/>
          <w:sz w:val="24"/>
          <w:sz-cs w:val="24"/>
          <w:spacing w:val="0"/>
        </w:rPr>
        <w:t xml:space="preserve">Non-detect: identical value in every sample is the laboratory limit of detection, retained as a conservative input; not detected in 2025</w:t>
      </w:r>
    </w:p>
    <w:p>
      <w:pPr/>
      <w:r>
        <w:rPr>
          <w:rFonts w:ascii="Arial" w:hAnsi="Arial" w:cs="Arial"/>
          <w:sz w:val="24"/>
          <w:sz-cs w:val="24"/>
          <w:spacing w:val="0"/>
        </w:rPr>
        <w:t xml:space="preserve">Nickel</w:t>
      </w:r>
    </w:p>
    <w:p>
      <w:pPr>
        <w:jc w:val="right"/>
      </w:pPr>
      <w:r>
        <w:rPr>
          <w:rFonts w:ascii="Arial" w:hAnsi="Arial" w:cs="Arial"/>
          <w:sz w:val="24"/>
          <w:sz-cs w:val="24"/>
          <w:spacing w:val="0"/>
        </w:rPr>
        <w:t xml:space="preserve">4,181</w:t>
      </w:r>
    </w:p>
    <w:p>
      <w:pPr>
        <w:jc w:val="right"/>
      </w:pPr>
      <w:r>
        <w:rPr>
          <w:rFonts w:ascii="Arial" w:hAnsi="Arial" w:cs="Arial"/>
          <w:sz w:val="24"/>
          <w:sz-cs w:val="24"/>
          <w:spacing w:val="0"/>
        </w:rPr>
        <w:t xml:space="preserve">22,500</w:t>
      </w:r>
    </w:p>
    <w:p>
      <w:pPr/>
      <w:r>
        <w:rPr>
          <w:rFonts w:ascii="Arial" w:hAnsi="Arial" w:cs="Arial"/>
          <w:sz w:val="24"/>
          <w:sz-cs w:val="24"/>
          <w:spacing w:val="0"/>
        </w:rPr>
        <w:t xml:space="preserve">2025 record</w:t>
      </w:r>
    </w:p>
    <w:p>
      <w:pPr/>
      <w:r>
        <w:rPr>
          <w:rFonts w:ascii="Arial" w:hAnsi="Arial" w:cs="Arial"/>
          <w:sz w:val="24"/>
          <w:sz-cs w:val="24"/>
          <w:spacing w:val="0"/>
        </w:rPr>
        <w:t xml:space="preserve">Zinc</w:t>
      </w:r>
    </w:p>
    <w:p>
      <w:pPr>
        <w:jc w:val="right"/>
      </w:pPr>
      <w:r>
        <w:rPr>
          <w:rFonts w:ascii="Arial" w:hAnsi="Arial" w:cs="Arial"/>
          <w:sz w:val="24"/>
          <w:sz-cs w:val="24"/>
          <w:spacing w:val="0"/>
        </w:rPr>
        <w:t xml:space="preserve">70</w:t>
      </w:r>
    </w:p>
    <w:p>
      <w:pPr>
        <w:jc w:val="right"/>
      </w:pPr>
      <w:r>
        <w:rPr>
          <w:rFonts w:ascii="Arial" w:hAnsi="Arial" w:cs="Arial"/>
          <w:sz w:val="24"/>
          <w:sz-cs w:val="24"/>
          <w:spacing w:val="0"/>
        </w:rPr>
        <w:t xml:space="preserve">70</w:t>
      </w:r>
    </w:p>
    <w:p>
      <w:pPr/>
      <w:r>
        <w:rPr>
          <w:rFonts w:ascii="Arial" w:hAnsi="Arial" w:cs="Arial"/>
          <w:sz w:val="24"/>
          <w:sz-cs w:val="24"/>
          <w:spacing w:val="0"/>
        </w:rPr>
        <w:t xml:space="preserve">2025 record (0.07 mg/l); an earlier correspondence figure of 0.85 mg/l is not supported by the monitoring record and is not used</w:t>
      </w:r>
    </w:p>
    <w:p>
      <w:pPr/>
      <w:r>
        <w:rPr>
          <w:rFonts w:ascii="Arial" w:hAnsi="Arial" w:cs="Arial"/>
          <w:sz w:val="24"/>
          <w:sz-cs w:val="24"/>
          <w:spacing w:val="0"/>
        </w:rPr>
        <w:t xml:space="preserve">Chlorine (total residual oxidant)</w:t>
      </w:r>
    </w:p>
    <w:p>
      <w:pPr>
        <w:jc w:val="right"/>
      </w:pPr>
      <w:r>
        <w:rPr>
          <w:rFonts w:ascii="Arial" w:hAnsi="Arial" w:cs="Arial"/>
          <w:sz w:val="24"/>
          <w:sz-cs w:val="24"/>
          <w:spacing w:val="0"/>
        </w:rPr>
        <w:t xml:space="preserve">500</w:t>
      </w:r>
    </w:p>
    <w:p>
      <w:pPr>
        <w:jc w:val="right"/>
      </w:pPr>
      <w:r>
        <w:rPr>
          <w:rFonts w:ascii="Arial" w:hAnsi="Arial" w:cs="Arial"/>
          <w:sz w:val="24"/>
          <w:sz-cs w:val="24"/>
          <w:spacing w:val="0"/>
        </w:rPr>
        <w:t xml:space="preserve">500</w:t>
      </w:r>
    </w:p>
    <w:p>
      <w:pPr/>
      <w:r>
        <w:rPr>
          <w:rFonts w:ascii="Arial" w:hAnsi="Arial" w:cs="Arial"/>
          <w:sz w:val="24"/>
          <w:sz-cs w:val="24"/>
          <w:spacing w:val="0"/>
        </w:rPr>
        <w:t xml:space="preserve">Operator figure, 95%ile basis</w:t>
      </w:r>
    </w:p>
    <w:p>
      <w:pPr/>
      <w:r>
        <w:rPr>
          <w:rFonts w:ascii="Arial" w:hAnsi="Arial" w:cs="Arial"/>
          <w:sz w:val="24"/>
          <w:sz-cs w:val="24"/>
          <w:spacing w:val="0"/>
        </w:rPr>
        <w:t xml:space="preserve">Iron</w:t>
      </w:r>
    </w:p>
    <w:p>
      <w:pPr>
        <w:jc w:val="right"/>
      </w:pPr>
      <w:r>
        <w:rPr>
          <w:rFonts w:ascii="Arial" w:hAnsi="Arial" w:cs="Arial"/>
          <w:sz w:val="24"/>
          <w:sz-cs w:val="24"/>
          <w:spacing w:val="0"/>
        </w:rPr>
        <w:t xml:space="preserve">500</w:t>
      </w:r>
    </w:p>
    <w:p>
      <w:pPr>
        <w:jc w:val="right"/>
      </w:pPr>
      <w:r>
        <w:rPr>
          <w:rFonts w:ascii="Arial" w:hAnsi="Arial" w:cs="Arial"/>
          <w:sz w:val="24"/>
          <w:sz-cs w:val="24"/>
          <w:spacing w:val="0"/>
        </w:rPr>
        <w:t xml:space="preserve">500</w:t>
      </w:r>
    </w:p>
    <w:p>
      <w:pPr/>
      <w:r>
        <w:rPr>
          <w:rFonts w:ascii="Arial" w:hAnsi="Arial" w:cs="Arial"/>
          <w:sz w:val="24"/>
          <w:sz-cs w:val="24"/>
          <w:spacing w:val="0"/>
        </w:rPr>
        <w:t xml:space="preserve">0.5 mg/l per Sheffield Assay Office analysis</w:t>
      </w:r>
    </w:p>
    <w:p>
      <w:pPr/>
      <w:r>
        <w:rPr>
          <w:rFonts w:ascii="Arial" w:hAnsi="Arial" w:cs="Arial"/>
          <w:sz w:val="24"/>
          <w:sz-cs w:val="24"/>
          <w:spacing w:val="0"/>
        </w:rPr>
        <w:t xml:space="preserve">Fluoride</w:t>
      </w:r>
    </w:p>
    <w:p>
      <w:pPr>
        <w:jc w:val="right"/>
      </w:pPr>
      <w:r>
        <w:rPr>
          <w:rFonts w:ascii="Arial" w:hAnsi="Arial" w:cs="Arial"/>
          <w:sz w:val="24"/>
          <w:sz-cs w:val="24"/>
          <w:spacing w:val="0"/>
        </w:rPr>
        <w:t xml:space="preserve">3,000</w:t>
      </w:r>
    </w:p>
    <w:p>
      <w:pPr>
        <w:jc w:val="right"/>
      </w:pPr>
      <w:r>
        <w:rPr>
          <w:rFonts w:ascii="Arial" w:hAnsi="Arial" w:cs="Arial"/>
          <w:sz w:val="24"/>
          <w:sz-cs w:val="24"/>
          <w:spacing w:val="0"/>
        </w:rPr>
        <w:t xml:space="preserve">3,000</w:t>
      </w:r>
    </w:p>
    <w:p>
      <w:pPr/>
      <w:r>
        <w:rPr>
          <w:rFonts w:ascii="Arial" w:hAnsi="Arial" w:cs="Arial"/>
          <w:sz w:val="24"/>
          <w:sz-cs w:val="24"/>
          <w:spacing w:val="0"/>
        </w:rPr>
        <w:t xml:space="preserve"> </w:t>
      </w:r>
    </w:p>
    <w:p>
      <w:pPr/>
      <w:r>
        <w:rPr>
          <w:rFonts w:ascii="Arial" w:hAnsi="Arial" w:cs="Arial"/>
          <w:sz w:val="24"/>
          <w:sz-cs w:val="24"/>
          <w:spacing w:val="0"/>
        </w:rPr>
        <w:t xml:space="preserve">Nitrate</w:t>
      </w:r>
    </w:p>
    <w:p>
      <w:pPr>
        <w:jc w:val="right"/>
      </w:pPr>
      <w:r>
        <w:rPr>
          <w:rFonts w:ascii="Arial" w:hAnsi="Arial" w:cs="Arial"/>
          <w:sz w:val="24"/>
          <w:sz-cs w:val="24"/>
          <w:spacing w:val="0"/>
        </w:rPr>
        <w:t xml:space="preserve">250,000</w:t>
      </w:r>
    </w:p>
    <w:p>
      <w:pPr>
        <w:jc w:val="right"/>
      </w:pPr>
      <w:r>
        <w:rPr>
          <w:rFonts w:ascii="Arial" w:hAnsi="Arial" w:cs="Arial"/>
          <w:sz w:val="24"/>
          <w:sz-cs w:val="24"/>
          <w:spacing w:val="0"/>
        </w:rPr>
        <w:t xml:space="preserve">250,000</w:t>
      </w:r>
    </w:p>
    <w:p>
      <w:pPr/>
      <w:r>
        <w:rPr>
          <w:rFonts w:ascii="Arial" w:hAnsi="Arial" w:cs="Arial"/>
          <w:sz w:val="24"/>
          <w:sz-cs w:val="24"/>
          <w:spacing w:val="0"/>
        </w:rPr>
        <w:t xml:space="preserve">See section 6.4</w:t>
      </w:r>
    </w:p>
    <w:p>
      <w:pPr/>
      <w:r>
        <w:rPr>
          <w:rFonts w:ascii="Arial" w:hAnsi="Arial" w:cs="Arial"/>
          <w:sz w:val="24"/>
          <w:sz-cs w:val="24"/>
          <w:spacing w:val="0"/>
        </w:rPr>
        <w:t xml:space="preserve">Isotridecanol, ethoxylated polymer</w:t>
      </w:r>
    </w:p>
    <w:p>
      <w:pPr>
        <w:jc w:val="right"/>
      </w:pPr>
      <w:r>
        <w:rPr>
          <w:rFonts w:ascii="Arial" w:hAnsi="Arial" w:cs="Arial"/>
          <w:sz w:val="24"/>
          <w:sz-cs w:val="24"/>
          <w:spacing w:val="0"/>
        </w:rPr>
        <w:t xml:space="preserve">5,000</w:t>
      </w:r>
    </w:p>
    <w:p>
      <w:pPr>
        <w:jc w:val="right"/>
      </w:pPr>
      <w:r>
        <w:rPr>
          <w:rFonts w:ascii="Arial" w:hAnsi="Arial" w:cs="Arial"/>
          <w:sz w:val="24"/>
          <w:sz-cs w:val="24"/>
          <w:spacing w:val="0"/>
        </w:rPr>
        <w:t xml:space="preserve">5,000</w:t>
      </w:r>
    </w:p>
    <w:p>
      <w:pPr/>
      <w:r>
        <w:rPr>
          <w:rFonts w:ascii="Arial" w:hAnsi="Arial" w:cs="Arial"/>
          <w:sz w:val="24"/>
          <w:sz-cs w:val="24"/>
          <w:spacing w:val="0"/>
        </w:rPr>
        <w:t xml:space="preserve">See section 6.4</w:t>
      </w:r>
    </w:p>
    <w:p>
      <w:pPr/>
      <w:r>
        <w:rPr>
          <w:rFonts w:ascii="Arial" w:hAnsi="Arial" w:cs="Arial"/>
          <w:sz w:val="24"/>
          <w:sz-cs w:val="24"/>
          <w:spacing w:val="0"/>
        </w:rPr>
        <w:t xml:space="preserve">Bromine; mercury; sulphate</w:t>
      </w:r>
    </w:p>
    <w:p>
      <w:pPr>
        <w:jc w:val="right"/>
      </w:pPr>
      <w:r>
        <w:rPr>
          <w:rFonts w:ascii="Arial" w:hAnsi="Arial" w:cs="Arial"/>
          <w:sz w:val="24"/>
          <w:sz-cs w:val="24"/>
          <w:spacing w:val="0"/>
        </w:rPr>
        <w:t xml:space="preserve">Not detectable</w:t>
      </w:r>
    </w:p>
    <w:p>
      <w:pPr/>
      <w:r>
        <w:rPr>
          <w:rFonts w:ascii="Arial" w:hAnsi="Arial" w:cs="Arial"/>
          <w:sz w:val="24"/>
          <w:sz-cs w:val="24"/>
          <w:spacing w:val="0"/>
        </w:rPr>
        <w:t xml:space="preserve">Confirmed by the operator, 10/06/2026</w:t>
      </w:r>
    </w:p>
    <w:p>
      <w:pPr>
        <w:spacing w:after="365"/>
      </w:pPr>
      <w:r>
        <w:rPr>
          <w:rFonts w:ascii="Arial" w:hAnsi="Arial" w:cs="Arial"/>
          <w:sz w:val="44"/>
          <w:sz-cs w:val="44"/>
          <w:b/>
          <w:spacing w:val="0"/>
        </w:rPr>
        <w:t xml:space="preserve">5. Assessment methodology</w:t>
      </w:r>
    </w:p>
    <w:p>
      <w:pPr>
        <w:spacing w:after="293"/>
      </w:pPr>
      <w:r>
        <w:rPr>
          <w:rFonts w:ascii="Arial" w:hAnsi="Arial" w:cs="Arial"/>
          <w:sz w:val="29"/>
          <w:sz-cs w:val="29"/>
          <w:spacing w:val="0"/>
        </w:rPr>
        <w:t xml:space="preserve">The assessment follows the Environment Agency H1 freshwater screening methodology for a discharge to sewer. The process contribution for each substance is PC = C × STF × f, where C is the effluent concentration, STF is the sewage treatment factor (the fraction remaining after treatment at the receiving works, per EA surface water pollution risk assessment guidance, as applied in the operator’s H1 tool: Cu 0.21, ammonia 0.08, Cr III 0.16, cyanide 0.32, Pb 0.17, Ni 0.76, Zn 0.33; substances without a published factor are assessed at STF = 1, i.e. no removal, which is conservative), and f = Qe/(Qe+Qr) is the dilution factor.</w:t>
      </w:r>
    </w:p>
    <w:p>
      <w:pPr>
        <w:spacing w:after="293"/>
      </w:pPr>
      <w:r>
        <w:rPr>
          <w:rFonts w:ascii="Arial" w:hAnsi="Arial" w:cs="Arial"/>
          <w:sz w:val="29"/>
          <w:sz-cs w:val="29"/>
          <w:spacing w:val="0"/>
        </w:rPr>
        <w:t xml:space="preserve">The flow basis is deliberately the most conservative available: Qe is the </w:t>
      </w:r>
      <w:r>
        <w:rPr>
          <w:rFonts w:ascii="Arial" w:hAnsi="Arial" w:cs="Arial"/>
          <w:sz w:val="29"/>
          <w:sz-cs w:val="29"/>
          <w:b/>
          <w:spacing w:val="0"/>
        </w:rPr>
        <w:t xml:space="preserve">consented maximum</w:t>
      </w:r>
      <w:r>
        <w:rPr>
          <w:rFonts w:ascii="Arial" w:hAnsi="Arial" w:cs="Arial"/>
          <w:sz w:val="29"/>
          <w:sz-cs w:val="29"/>
          <w:spacing w:val="0"/>
        </w:rPr>
        <w:t xml:space="preserve"> discharge of 35 m³/day (the enforceable envelope under consent Y/5032/23D, rather than the much lower actual throughput), and Qr is the receiving works’ </w:t>
      </w:r>
      <w:r>
        <w:rPr>
          <w:rFonts w:ascii="Arial" w:hAnsi="Arial" w:cs="Arial"/>
          <w:sz w:val="29"/>
          <w:sz-cs w:val="29"/>
          <w:b/>
          <w:spacing w:val="0"/>
        </w:rPr>
        <w:t xml:space="preserve">five-year minimum Q95</w:t>
      </w:r>
      <w:r>
        <w:rPr>
          <w:rFonts w:ascii="Arial" w:hAnsi="Arial" w:cs="Arial"/>
          <w:sz w:val="29"/>
          <w:sz-cs w:val="29"/>
          <w:spacing w:val="0"/>
        </w:rPr>
        <w:t xml:space="preserve"> flow of 669.2 m³/day (2022), taken from Yorkshire Water’s daily flow record for Williamthorpe STW for 2021–2025 (Q95 by year: 746.2, 669.2, 729.2, 780.3, 806.5 m³/day). This gives f = 0.0497 (dilution of approximately 19:1); at actual 2025 mean throughput the dilution is approximately 68:1. A single factor is applied to long- and short-term tests. Environmental quality standards are taken from the H1 v9.2 freshwater library, with hardness-banded standards in the &gt;50 mg/l CaCO₃ band (ammonia 200 µg/l as 90th percentile; fluoride 5,000 µg/l annual average / 15,000 µg/l MAC). Backgrounds follow the operator’s tool (copper 0.2 µg/l; otherwise none entered).</w:t>
      </w:r>
    </w:p>
    <w:p>
      <w:pPr>
        <w:spacing w:after="293"/>
      </w:pPr>
      <w:r>
        <w:rPr>
          <w:rFonts w:ascii="Arial" w:hAnsi="Arial" w:cs="Arial"/>
          <w:sz w:val="29"/>
          <w:sz-cs w:val="29"/>
          <w:spacing w:val="0"/>
        </w:rPr>
        <w:t xml:space="preserve">Further conservatisms: total-substance concentrations are compared against standards that are largely expressed as dissolved or bioavailable; the works’ flow at Q95 is the only dilution credited; and no degradation in the sewer is assumed.</w:t>
      </w:r>
    </w:p>
    <w:p>
      <w:pPr>
        <w:spacing w:after="365"/>
      </w:pPr>
      <w:r>
        <w:rPr>
          <w:rFonts w:ascii="Arial" w:hAnsi="Arial" w:cs="Arial"/>
          <w:sz w:val="44"/>
          <w:sz-cs w:val="44"/>
          <w:b/>
          <w:spacing w:val="0"/>
        </w:rPr>
        <w:t xml:space="preserve">6. Results</w:t>
      </w:r>
    </w:p>
    <w:p>
      <w:pPr>
        <w:spacing w:after="293"/>
      </w:pPr>
      <w:r>
        <w:rPr>
          <w:rFonts w:ascii="Arial" w:hAnsi="Arial" w:cs="Arial"/>
          <w:sz w:val="29"/>
          <w:sz-cs w:val="29"/>
          <w:spacing w:val="0"/>
        </w:rPr>
        <w:t xml:space="preserve">Long-term results at the conservative screening basis (f = 0.0497) are summarised below; the workbook holds the full long- and short-term calculations.</w:t>
      </w:r>
    </w:p>
    <w:p>
      <w:pPr/>
      <w:r>
        <w:rPr>
          <w:rFonts w:ascii="Arial" w:hAnsi="Arial" w:cs="Arial"/>
          <w:sz w:val="24"/>
          <w:sz-cs w:val="24"/>
          <w:b/>
          <w:spacing w:val="0"/>
        </w:rPr>
        <w:t xml:space="preserve">Substance</w:t>
      </w:r>
    </w:p>
    <w:p>
      <w:pPr>
        <w:jc w:val="center"/>
      </w:pPr>
      <w:r>
        <w:rPr>
          <w:rFonts w:ascii="Arial" w:hAnsi="Arial" w:cs="Arial"/>
          <w:sz w:val="24"/>
          <w:sz-cs w:val="24"/>
          <w:b/>
          <w:spacing w:val="0"/>
        </w:rPr>
        <w:t xml:space="preserve">PC long-term (µg/l)</w:t>
      </w:r>
    </w:p>
    <w:p>
      <w:pPr>
        <w:jc w:val="center"/>
      </w:pPr>
      <w:r>
        <w:rPr>
          <w:rFonts w:ascii="Arial" w:hAnsi="Arial" w:cs="Arial"/>
          <w:sz w:val="24"/>
          <w:sz-cs w:val="24"/>
          <w:b/>
          <w:spacing w:val="0"/>
        </w:rPr>
        <w:t xml:space="preserve">EQS (µg/l)</w:t>
      </w:r>
    </w:p>
    <w:p>
      <w:pPr>
        <w:jc w:val="center"/>
      </w:pPr>
      <w:r>
        <w:rPr>
          <w:rFonts w:ascii="Arial" w:hAnsi="Arial" w:cs="Arial"/>
          <w:sz w:val="24"/>
          <w:sz-cs w:val="24"/>
          <w:b/>
          <w:spacing w:val="0"/>
        </w:rPr>
        <w:t xml:space="preserve">PC as % of EQS</w:t>
      </w:r>
    </w:p>
    <w:p>
      <w:pPr/>
      <w:r>
        <w:rPr>
          <w:rFonts w:ascii="Arial" w:hAnsi="Arial" w:cs="Arial"/>
          <w:sz w:val="24"/>
          <w:sz-cs w:val="24"/>
          <w:b/>
          <w:spacing w:val="0"/>
        </w:rPr>
        <w:t xml:space="preserve">Outcome</w:t>
      </w:r>
    </w:p>
    <w:p>
      <w:pPr/>
      <w:r>
        <w:rPr>
          <w:rFonts w:ascii="Arial" w:hAnsi="Arial" w:cs="Arial"/>
          <w:sz w:val="24"/>
          <w:sz-cs w:val="24"/>
          <w:spacing w:val="0"/>
        </w:rPr>
        <w:t xml:space="preserve">Chromium III</w:t>
      </w:r>
    </w:p>
    <w:p>
      <w:pPr>
        <w:jc w:val="right"/>
      </w:pPr>
      <w:r>
        <w:rPr>
          <w:rFonts w:ascii="Arial" w:hAnsi="Arial" w:cs="Arial"/>
          <w:sz w:val="24"/>
          <w:sz-cs w:val="24"/>
          <w:spacing w:val="0"/>
        </w:rPr>
        <w:t xml:space="preserve">0.19</w:t>
      </w:r>
    </w:p>
    <w:p>
      <w:pPr>
        <w:jc w:val="right"/>
      </w:pPr>
      <w:r>
        <w:rPr>
          <w:rFonts w:ascii="Arial" w:hAnsi="Arial" w:cs="Arial"/>
          <w:sz w:val="24"/>
          <w:sz-cs w:val="24"/>
          <w:spacing w:val="0"/>
        </w:rPr>
        <w:t xml:space="preserve">4.7</w:t>
      </w:r>
    </w:p>
    <w:p>
      <w:pPr>
        <w:jc w:val="right"/>
      </w:pPr>
      <w:r>
        <w:rPr>
          <w:rFonts w:ascii="Arial" w:hAnsi="Arial" w:cs="Arial"/>
          <w:sz w:val="24"/>
          <w:sz-cs w:val="24"/>
          <w:spacing w:val="0"/>
        </w:rPr>
        <w:t xml:space="preserve">4.1%</w:t>
      </w:r>
    </w:p>
    <w:p>
      <w:pPr/>
      <w:r>
        <w:rPr>
          <w:rFonts w:ascii="Arial" w:hAnsi="Arial" w:cs="Arial"/>
          <w:sz w:val="24"/>
          <w:sz-cs w:val="24"/>
          <w:spacing w:val="0"/>
        </w:rPr>
        <w:t xml:space="preserve">Insignificant (Test 1)</w:t>
      </w:r>
    </w:p>
    <w:p>
      <w:pPr/>
      <w:r>
        <w:rPr>
          <w:rFonts w:ascii="Arial" w:hAnsi="Arial" w:cs="Arial"/>
          <w:sz w:val="24"/>
          <w:sz-cs w:val="24"/>
          <w:spacing w:val="0"/>
        </w:rPr>
        <w:t xml:space="preserve">Iron</w:t>
      </w:r>
    </w:p>
    <w:p>
      <w:pPr>
        <w:jc w:val="right"/>
      </w:pPr>
      <w:r>
        <w:rPr>
          <w:rFonts w:ascii="Arial" w:hAnsi="Arial" w:cs="Arial"/>
          <w:sz w:val="24"/>
          <w:sz-cs w:val="24"/>
          <w:spacing w:val="0"/>
        </w:rPr>
        <w:t xml:space="preserve">24.9</w:t>
      </w:r>
    </w:p>
    <w:p>
      <w:pPr>
        <w:jc w:val="right"/>
      </w:pPr>
      <w:r>
        <w:rPr>
          <w:rFonts w:ascii="Arial" w:hAnsi="Arial" w:cs="Arial"/>
          <w:sz w:val="24"/>
          <w:sz-cs w:val="24"/>
          <w:spacing w:val="0"/>
        </w:rPr>
        <w:t xml:space="preserve">1,000</w:t>
      </w:r>
    </w:p>
    <w:p>
      <w:pPr>
        <w:jc w:val="right"/>
      </w:pPr>
      <w:r>
        <w:rPr>
          <w:rFonts w:ascii="Arial" w:hAnsi="Arial" w:cs="Arial"/>
          <w:sz w:val="24"/>
          <w:sz-cs w:val="24"/>
          <w:spacing w:val="0"/>
        </w:rPr>
        <w:t xml:space="preserve">2.5%</w:t>
      </w:r>
    </w:p>
    <w:p>
      <w:pPr/>
      <w:r>
        <w:rPr>
          <w:rFonts w:ascii="Arial" w:hAnsi="Arial" w:cs="Arial"/>
          <w:sz w:val="24"/>
          <w:sz-cs w:val="24"/>
          <w:spacing w:val="0"/>
        </w:rPr>
        <w:t xml:space="preserve">Insignificant (Test 1)</w:t>
      </w:r>
    </w:p>
    <w:p>
      <w:pPr/>
      <w:r>
        <w:rPr>
          <w:rFonts w:ascii="Arial" w:hAnsi="Arial" w:cs="Arial"/>
          <w:sz w:val="24"/>
          <w:sz-cs w:val="24"/>
          <w:spacing w:val="0"/>
        </w:rPr>
        <w:t xml:space="preserve">Fluoride</w:t>
      </w:r>
    </w:p>
    <w:p>
      <w:pPr>
        <w:jc w:val="right"/>
      </w:pPr>
      <w:r>
        <w:rPr>
          <w:rFonts w:ascii="Arial" w:hAnsi="Arial" w:cs="Arial"/>
          <w:sz w:val="24"/>
          <w:sz-cs w:val="24"/>
          <w:spacing w:val="0"/>
        </w:rPr>
        <w:t xml:space="preserve">149.1</w:t>
      </w:r>
    </w:p>
    <w:p>
      <w:pPr>
        <w:jc w:val="right"/>
      </w:pPr>
      <w:r>
        <w:rPr>
          <w:rFonts w:ascii="Arial" w:hAnsi="Arial" w:cs="Arial"/>
          <w:sz w:val="24"/>
          <w:sz-cs w:val="24"/>
          <w:spacing w:val="0"/>
        </w:rPr>
        <w:t xml:space="preserve">5,000</w:t>
      </w:r>
    </w:p>
    <w:p>
      <w:pPr>
        <w:jc w:val="right"/>
      </w:pPr>
      <w:r>
        <w:rPr>
          <w:rFonts w:ascii="Arial" w:hAnsi="Arial" w:cs="Arial"/>
          <w:sz w:val="24"/>
          <w:sz-cs w:val="24"/>
          <w:spacing w:val="0"/>
        </w:rPr>
        <w:t xml:space="preserve">3.0%</w:t>
      </w:r>
    </w:p>
    <w:p>
      <w:pPr/>
      <w:r>
        <w:rPr>
          <w:rFonts w:ascii="Arial" w:hAnsi="Arial" w:cs="Arial"/>
          <w:sz w:val="24"/>
          <w:sz-cs w:val="24"/>
          <w:spacing w:val="0"/>
        </w:rPr>
        <w:t xml:space="preserve">Insignificant (Test 1)</w:t>
      </w:r>
    </w:p>
    <w:p>
      <w:pPr/>
      <w:r>
        <w:rPr>
          <w:rFonts w:ascii="Arial" w:hAnsi="Arial" w:cs="Arial"/>
          <w:sz w:val="24"/>
          <w:sz-cs w:val="24"/>
          <w:spacing w:val="0"/>
        </w:rPr>
        <w:t xml:space="preserve">Bromine; mercury; sulphate</w:t>
      </w:r>
    </w:p>
    <w:p>
      <w:pPr>
        <w:jc w:val="right"/>
      </w:pPr>
      <w:r>
        <w:rPr>
          <w:rFonts w:ascii="Arial" w:hAnsi="Arial" w:cs="Arial"/>
          <w:sz w:val="24"/>
          <w:sz-cs w:val="24"/>
          <w:spacing w:val="0"/>
        </w:rPr>
        <w:t xml:space="preserve">—</w:t>
      </w:r>
    </w:p>
    <w:p>
      <w:pPr>
        <w:jc w:val="right"/>
      </w:pPr>
      <w:r>
        <w:rPr>
          <w:rFonts w:ascii="Arial" w:hAnsi="Arial" w:cs="Arial"/>
          <w:sz w:val="24"/>
          <w:sz-cs w:val="24"/>
          <w:spacing w:val="0"/>
        </w:rPr>
        <w:t xml:space="preserve">—</w:t>
      </w:r>
    </w:p>
    <w:p>
      <w:pPr>
        <w:jc w:val="right"/>
      </w:pPr>
      <w:r>
        <w:rPr>
          <w:rFonts w:ascii="Arial" w:hAnsi="Arial" w:cs="Arial"/>
          <w:sz w:val="24"/>
          <w:sz-cs w:val="24"/>
          <w:spacing w:val="0"/>
        </w:rPr>
        <w:t xml:space="preserve">—</w:t>
      </w:r>
    </w:p>
    <w:p>
      <w:pPr/>
      <w:r>
        <w:rPr>
          <w:rFonts w:ascii="Arial" w:hAnsi="Arial" w:cs="Arial"/>
          <w:sz w:val="24"/>
          <w:sz-cs w:val="24"/>
          <w:spacing w:val="0"/>
        </w:rPr>
        <w:t xml:space="preserve">Not present (not detectable)</w:t>
      </w:r>
    </w:p>
    <w:p>
      <w:pPr/>
      <w:r>
        <w:rPr>
          <w:rFonts w:ascii="Arial" w:hAnsi="Arial" w:cs="Arial"/>
          <w:sz w:val="24"/>
          <w:sz-cs w:val="24"/>
          <w:spacing w:val="0"/>
        </w:rPr>
        <w:t xml:space="preserve">Cyanide</w:t>
      </w:r>
    </w:p>
    <w:p>
      <w:pPr>
        <w:jc w:val="right"/>
      </w:pPr>
      <w:r>
        <w:rPr>
          <w:rFonts w:ascii="Arial" w:hAnsi="Arial" w:cs="Arial"/>
          <w:sz w:val="24"/>
          <w:sz-cs w:val="24"/>
          <w:spacing w:val="0"/>
        </w:rPr>
        <w:t xml:space="preserve">0.22</w:t>
      </w:r>
    </w:p>
    <w:p>
      <w:pPr>
        <w:jc w:val="right"/>
      </w:pPr>
      <w:r>
        <w:rPr>
          <w:rFonts w:ascii="Arial" w:hAnsi="Arial" w:cs="Arial"/>
          <w:sz w:val="24"/>
          <w:sz-cs w:val="24"/>
          <w:spacing w:val="0"/>
        </w:rPr>
        <w:t xml:space="preserve">1</w:t>
      </w:r>
    </w:p>
    <w:p>
      <w:pPr>
        <w:jc w:val="right"/>
      </w:pPr>
      <w:r>
        <w:rPr>
          <w:rFonts w:ascii="Arial" w:hAnsi="Arial" w:cs="Arial"/>
          <w:sz w:val="24"/>
          <w:sz-cs w:val="24"/>
          <w:spacing w:val="0"/>
        </w:rPr>
        <w:t xml:space="preserve">22.3%</w:t>
      </w:r>
    </w:p>
    <w:p>
      <w:pPr/>
      <w:r>
        <w:rPr>
          <w:rFonts w:ascii="Arial" w:hAnsi="Arial" w:cs="Arial"/>
          <w:sz w:val="24"/>
          <w:sz-cs w:val="24"/>
          <w:spacing w:val="0"/>
        </w:rPr>
        <w:t xml:space="preserve">Within EQS (PEC)</w:t>
      </w:r>
    </w:p>
    <w:p>
      <w:pPr/>
      <w:r>
        <w:rPr>
          <w:rFonts w:ascii="Arial" w:hAnsi="Arial" w:cs="Arial"/>
          <w:sz w:val="24"/>
          <w:sz-cs w:val="24"/>
          <w:spacing w:val="0"/>
        </w:rPr>
        <w:t xml:space="preserve">Zinc</w:t>
      </w:r>
    </w:p>
    <w:p>
      <w:pPr>
        <w:jc w:val="right"/>
      </w:pPr>
      <w:r>
        <w:rPr>
          <w:rFonts w:ascii="Arial" w:hAnsi="Arial" w:cs="Arial"/>
          <w:sz w:val="24"/>
          <w:sz-cs w:val="24"/>
          <w:spacing w:val="0"/>
        </w:rPr>
        <w:t xml:space="preserve">1.15</w:t>
      </w:r>
    </w:p>
    <w:p>
      <w:pPr>
        <w:jc w:val="right"/>
      </w:pPr>
      <w:r>
        <w:rPr>
          <w:rFonts w:ascii="Arial" w:hAnsi="Arial" w:cs="Arial"/>
          <w:sz w:val="24"/>
          <w:sz-cs w:val="24"/>
          <w:spacing w:val="0"/>
        </w:rPr>
        <w:t xml:space="preserve">10.9</w:t>
      </w:r>
    </w:p>
    <w:p>
      <w:pPr>
        <w:jc w:val="right"/>
      </w:pPr>
      <w:r>
        <w:rPr>
          <w:rFonts w:ascii="Arial" w:hAnsi="Arial" w:cs="Arial"/>
          <w:sz w:val="24"/>
          <w:sz-cs w:val="24"/>
          <w:spacing w:val="0"/>
        </w:rPr>
        <w:t xml:space="preserve">10.5%</w:t>
      </w:r>
    </w:p>
    <w:p>
      <w:pPr/>
      <w:r>
        <w:rPr>
          <w:rFonts w:ascii="Arial" w:hAnsi="Arial" w:cs="Arial"/>
          <w:sz w:val="24"/>
          <w:sz-cs w:val="24"/>
          <w:spacing w:val="0"/>
        </w:rPr>
        <w:t xml:space="preserve">Within EQS (PEC)</w:t>
      </w:r>
    </w:p>
    <w:p>
      <w:pPr/>
      <w:r>
        <w:rPr>
          <w:rFonts w:ascii="Arial" w:hAnsi="Arial" w:cs="Arial"/>
          <w:sz w:val="24"/>
          <w:sz-cs w:val="24"/>
          <w:spacing w:val="0"/>
        </w:rPr>
        <w:t xml:space="preserve">Copper</w:t>
      </w:r>
    </w:p>
    <w:p>
      <w:pPr>
        <w:jc w:val="right"/>
      </w:pPr>
      <w:r>
        <w:rPr>
          <w:rFonts w:ascii="Arial" w:hAnsi="Arial" w:cs="Arial"/>
          <w:sz w:val="24"/>
          <w:sz-cs w:val="24"/>
          <w:spacing w:val="0"/>
        </w:rPr>
        <w:t xml:space="preserve">1.33</w:t>
      </w:r>
    </w:p>
    <w:p>
      <w:pPr>
        <w:jc w:val="right"/>
      </w:pPr>
      <w:r>
        <w:rPr>
          <w:rFonts w:ascii="Arial" w:hAnsi="Arial" w:cs="Arial"/>
          <w:sz w:val="24"/>
          <w:sz-cs w:val="24"/>
          <w:spacing w:val="0"/>
        </w:rPr>
        <w:t xml:space="preserve">1</w:t>
      </w:r>
    </w:p>
    <w:p>
      <w:pPr>
        <w:jc w:val="right"/>
      </w:pPr>
      <w:r>
        <w:rPr>
          <w:rFonts w:ascii="Arial" w:hAnsi="Arial" w:cs="Arial"/>
          <w:sz w:val="24"/>
          <w:sz-cs w:val="24"/>
          <w:spacing w:val="0"/>
        </w:rPr>
        <w:t xml:space="preserve">132.6%</w:t>
      </w:r>
    </w:p>
    <w:p>
      <w:pPr/>
      <w:r>
        <w:rPr>
          <w:rFonts w:ascii="Arial" w:hAnsi="Arial" w:cs="Arial"/>
          <w:sz w:val="24"/>
          <w:sz-cs w:val="24"/>
          <w:spacing w:val="0"/>
        </w:rPr>
        <w:t xml:space="preserve">Exceeds at screen — controlled via trade effluent consent</w:t>
      </w:r>
    </w:p>
    <w:p>
      <w:pPr/>
      <w:r>
        <w:rPr>
          <w:rFonts w:ascii="Arial" w:hAnsi="Arial" w:cs="Arial"/>
          <w:sz w:val="24"/>
          <w:sz-cs w:val="24"/>
          <w:spacing w:val="0"/>
        </w:rPr>
        <w:t xml:space="preserve">Ammonia</w:t>
      </w:r>
    </w:p>
    <w:p>
      <w:pPr>
        <w:jc w:val="right"/>
      </w:pPr>
      <w:r>
        <w:rPr>
          <w:rFonts w:ascii="Arial" w:hAnsi="Arial" w:cs="Arial"/>
          <w:sz w:val="24"/>
          <w:sz-cs w:val="24"/>
          <w:spacing w:val="0"/>
        </w:rPr>
        <w:t xml:space="preserve">389.7</w:t>
      </w:r>
    </w:p>
    <w:p>
      <w:pPr>
        <w:jc w:val="right"/>
      </w:pPr>
      <w:r>
        <w:rPr>
          <w:rFonts w:ascii="Arial" w:hAnsi="Arial" w:cs="Arial"/>
          <w:sz w:val="24"/>
          <w:sz-cs w:val="24"/>
          <w:spacing w:val="0"/>
        </w:rPr>
        <w:t xml:space="preserve">200</w:t>
      </w:r>
    </w:p>
    <w:p>
      <w:pPr>
        <w:jc w:val="right"/>
      </w:pPr>
      <w:r>
        <w:rPr>
          <w:rFonts w:ascii="Arial" w:hAnsi="Arial" w:cs="Arial"/>
          <w:sz w:val="24"/>
          <w:sz-cs w:val="24"/>
          <w:spacing w:val="0"/>
        </w:rPr>
        <w:t xml:space="preserve">194.8%</w:t>
      </w:r>
    </w:p>
    <w:p>
      <w:pPr/>
      <w:r>
        <w:rPr>
          <w:rFonts w:ascii="Arial" w:hAnsi="Arial" w:cs="Arial"/>
          <w:sz w:val="24"/>
          <w:sz-cs w:val="24"/>
          <w:spacing w:val="0"/>
        </w:rPr>
        <w:t xml:space="preserve">Exceeds at screen — controlled via trade effluent consent</w:t>
      </w:r>
    </w:p>
    <w:p>
      <w:pPr/>
      <w:r>
        <w:rPr>
          <w:rFonts w:ascii="Arial" w:hAnsi="Arial" w:cs="Arial"/>
          <w:sz w:val="24"/>
          <w:sz-cs w:val="24"/>
          <w:spacing w:val="0"/>
        </w:rPr>
        <w:t xml:space="preserve">Lead (non-detect at LoD)</w:t>
      </w:r>
    </w:p>
    <w:p>
      <w:pPr>
        <w:jc w:val="right"/>
      </w:pPr>
      <w:r>
        <w:rPr>
          <w:rFonts w:ascii="Arial" w:hAnsi="Arial" w:cs="Arial"/>
          <w:sz w:val="24"/>
          <w:sz-cs w:val="24"/>
          <w:spacing w:val="0"/>
        </w:rPr>
        <w:t xml:space="preserve">2.45</w:t>
      </w:r>
    </w:p>
    <w:p>
      <w:pPr>
        <w:jc w:val="right"/>
      </w:pPr>
      <w:r>
        <w:rPr>
          <w:rFonts w:ascii="Arial" w:hAnsi="Arial" w:cs="Arial"/>
          <w:sz w:val="24"/>
          <w:sz-cs w:val="24"/>
          <w:spacing w:val="0"/>
        </w:rPr>
        <w:t xml:space="preserve">1.2</w:t>
      </w:r>
    </w:p>
    <w:p>
      <w:pPr>
        <w:jc w:val="right"/>
      </w:pPr>
      <w:r>
        <w:rPr>
          <w:rFonts w:ascii="Arial" w:hAnsi="Arial" w:cs="Arial"/>
          <w:sz w:val="24"/>
          <w:sz-cs w:val="24"/>
          <w:spacing w:val="0"/>
        </w:rPr>
        <w:t xml:space="preserve">204.2%</w:t>
      </w:r>
    </w:p>
    <w:p>
      <w:pPr/>
      <w:r>
        <w:rPr>
          <w:rFonts w:ascii="Arial" w:hAnsi="Arial" w:cs="Arial"/>
          <w:sz w:val="24"/>
          <w:sz-cs w:val="24"/>
          <w:spacing w:val="0"/>
        </w:rPr>
        <w:t xml:space="preserve">Limit-of-detection artefact — see 6.3</w:t>
      </w:r>
    </w:p>
    <w:p>
      <w:pPr/>
      <w:r>
        <w:rPr>
          <w:rFonts w:ascii="Arial" w:hAnsi="Arial" w:cs="Arial"/>
          <w:sz w:val="24"/>
          <w:sz-cs w:val="24"/>
          <w:spacing w:val="0"/>
        </w:rPr>
        <w:t xml:space="preserve">Nickel</w:t>
      </w:r>
    </w:p>
    <w:p>
      <w:pPr>
        <w:jc w:val="right"/>
      </w:pPr>
      <w:r>
        <w:rPr>
          <w:rFonts w:ascii="Arial" w:hAnsi="Arial" w:cs="Arial"/>
          <w:sz w:val="24"/>
          <w:sz-cs w:val="24"/>
          <w:spacing w:val="0"/>
        </w:rPr>
        <w:t xml:space="preserve">157.9</w:t>
      </w:r>
    </w:p>
    <w:p>
      <w:pPr>
        <w:jc w:val="right"/>
      </w:pPr>
      <w:r>
        <w:rPr>
          <w:rFonts w:ascii="Arial" w:hAnsi="Arial" w:cs="Arial"/>
          <w:sz w:val="24"/>
          <w:sz-cs w:val="24"/>
          <w:spacing w:val="0"/>
        </w:rPr>
        <w:t xml:space="preserve">4</w:t>
      </w:r>
    </w:p>
    <w:p>
      <w:pPr>
        <w:jc w:val="right"/>
      </w:pPr>
      <w:r>
        <w:rPr>
          <w:rFonts w:ascii="Arial" w:hAnsi="Arial" w:cs="Arial"/>
          <w:sz w:val="24"/>
          <w:sz-cs w:val="24"/>
          <w:spacing w:val="0"/>
        </w:rPr>
        <w:t xml:space="preserve">3,948%</w:t>
      </w:r>
    </w:p>
    <w:p>
      <w:pPr/>
      <w:r>
        <w:rPr>
          <w:rFonts w:ascii="Arial" w:hAnsi="Arial" w:cs="Arial"/>
          <w:sz w:val="24"/>
          <w:sz-cs w:val="24"/>
          <w:spacing w:val="0"/>
        </w:rPr>
        <w:t xml:space="preserve">Exceeds at screen — controlled via trade effluent consent</w:t>
      </w:r>
    </w:p>
    <w:p>
      <w:pPr/>
      <w:r>
        <w:rPr>
          <w:rFonts w:ascii="Arial" w:hAnsi="Arial" w:cs="Arial"/>
          <w:sz w:val="24"/>
          <w:sz-cs w:val="24"/>
          <w:spacing w:val="0"/>
        </w:rPr>
        <w:t xml:space="preserve">Chlorine (TRO)</w:t>
      </w:r>
    </w:p>
    <w:p>
      <w:pPr>
        <w:jc w:val="right"/>
      </w:pPr>
      <w:r>
        <w:rPr>
          <w:rFonts w:ascii="Arial" w:hAnsi="Arial" w:cs="Arial"/>
          <w:sz w:val="24"/>
          <w:sz-cs w:val="24"/>
          <w:spacing w:val="0"/>
        </w:rPr>
        <w:t xml:space="preserve">24.9</w:t>
      </w:r>
    </w:p>
    <w:p>
      <w:pPr>
        <w:jc w:val="right"/>
      </w:pPr>
      <w:r>
        <w:rPr>
          <w:rFonts w:ascii="Arial" w:hAnsi="Arial" w:cs="Arial"/>
          <w:sz w:val="24"/>
          <w:sz-cs w:val="24"/>
          <w:spacing w:val="0"/>
        </w:rPr>
        <w:t xml:space="preserve">2</w:t>
      </w:r>
    </w:p>
    <w:p>
      <w:pPr>
        <w:jc w:val="right"/>
      </w:pPr>
      <w:r>
        <w:rPr>
          <w:rFonts w:ascii="Arial" w:hAnsi="Arial" w:cs="Arial"/>
          <w:sz w:val="24"/>
          <w:sz-cs w:val="24"/>
          <w:spacing w:val="0"/>
        </w:rPr>
        <w:t xml:space="preserve">1,243%</w:t>
      </w:r>
    </w:p>
    <w:p>
      <w:pPr/>
      <w:r>
        <w:rPr>
          <w:rFonts w:ascii="Arial" w:hAnsi="Arial" w:cs="Arial"/>
          <w:sz w:val="24"/>
          <w:sz-cs w:val="24"/>
          <w:spacing w:val="0"/>
        </w:rPr>
        <w:t xml:space="preserve">Bounding artefact (transient oxidant) — see 6.3</w:t>
      </w:r>
    </w:p>
    <w:p>
      <w:pPr/>
      <w:r>
        <w:rPr>
          <w:rFonts w:ascii="Arial" w:hAnsi="Arial" w:cs="Arial"/>
          <w:sz w:val="24"/>
          <w:sz-cs w:val="24"/>
          <w:spacing w:val="0"/>
        </w:rPr>
        <w:t xml:space="preserve">Nitrate; isotridecanol</w:t>
      </w:r>
    </w:p>
    <w:p>
      <w:pPr>
        <w:jc w:val="right"/>
      </w:pPr>
      <w:r>
        <w:rPr>
          <w:rFonts w:ascii="Arial" w:hAnsi="Arial" w:cs="Arial"/>
          <w:sz w:val="24"/>
          <w:sz-cs w:val="24"/>
          <w:spacing w:val="0"/>
        </w:rPr>
        <w:t xml:space="preserve">—</w:t>
      </w:r>
    </w:p>
    <w:p>
      <w:pPr>
        <w:jc w:val="right"/>
      </w:pPr>
      <w:r>
        <w:rPr>
          <w:rFonts w:ascii="Arial" w:hAnsi="Arial" w:cs="Arial"/>
          <w:sz w:val="24"/>
          <w:sz-cs w:val="24"/>
          <w:spacing w:val="0"/>
        </w:rPr>
        <w:t xml:space="preserve">no EQS</w:t>
      </w:r>
    </w:p>
    <w:p>
      <w:pPr>
        <w:jc w:val="right"/>
      </w:pPr>
      <w:r>
        <w:rPr>
          <w:rFonts w:ascii="Arial" w:hAnsi="Arial" w:cs="Arial"/>
          <w:sz w:val="24"/>
          <w:sz-cs w:val="24"/>
          <w:spacing w:val="0"/>
        </w:rPr>
        <w:t xml:space="preserve">—</w:t>
      </w:r>
    </w:p>
    <w:p>
      <w:pPr/>
      <w:r>
        <w:rPr>
          <w:rFonts w:ascii="Arial" w:hAnsi="Arial" w:cs="Arial"/>
          <w:sz w:val="24"/>
          <w:sz-cs w:val="24"/>
          <w:spacing w:val="0"/>
        </w:rPr>
        <w:t xml:space="preserve">Closed via sewer route — see 6.4</w:t>
      </w:r>
    </w:p>
    <w:p>
      <w:pPr>
        <w:spacing w:after="293"/>
      </w:pPr>
      <w:r>
        <w:rPr>
          <w:rFonts w:ascii="Arial" w:hAnsi="Arial" w:cs="Arial"/>
          <w:sz w:val="29"/>
          <w:sz-cs w:val="29"/>
          <w:b/>
          <w:spacing w:val="0"/>
        </w:rPr>
        <w:t xml:space="preserve">6.1 Substances screening out.</w:t>
      </w:r>
      <w:r>
        <w:rPr>
          <w:rFonts w:ascii="Arial" w:hAnsi="Arial" w:cs="Arial"/>
          <w:sz w:val="29"/>
          <w:sz-cs w:val="29"/>
          <w:spacing w:val="0"/>
        </w:rPr>
        <w:t xml:space="preserve"> Chromium III, iron and fluoride are insignificant at Test 1 (below 10% of the EQS). Bromine, mercury and sulphate are not present at detectable levels. Cyanide and zinc remain within their EQS including background at the conservative screen.</w:t>
      </w:r>
    </w:p>
    <w:p>
      <w:pPr>
        <w:spacing w:after="293"/>
      </w:pPr>
      <w:r>
        <w:rPr>
          <w:rFonts w:ascii="Arial" w:hAnsi="Arial" w:cs="Arial"/>
          <w:sz w:val="29"/>
          <w:sz-cs w:val="29"/>
          <w:b/>
          <w:spacing w:val="0"/>
        </w:rPr>
        <w:t xml:space="preserve">6.2 Substances above the bounding screen.</w:t>
      </w:r>
      <w:r>
        <w:rPr>
          <w:rFonts w:ascii="Arial" w:hAnsi="Arial" w:cs="Arial"/>
          <w:sz w:val="29"/>
          <w:sz-cs w:val="29"/>
          <w:spacing w:val="0"/>
        </w:rPr>
        <w:t xml:space="preserve"> Nickel (and, to a much smaller degree, copper and ammonia) exceed the freshwater EQS when the consented maximum discharge is screened against the works’ minimum recorded Q95 with treatment credited only through the sewage treatment factor. The short-term (MAC) test for nickel is also exceeded on this basis.</w:t>
      </w:r>
    </w:p>
    <w:p>
      <w:pPr>
        <w:spacing w:after="293"/>
      </w:pPr>
      <w:r>
        <w:rPr>
          <w:rFonts w:ascii="Arial" w:hAnsi="Arial" w:cs="Arial"/>
          <w:sz w:val="29"/>
          <w:sz-cs w:val="29"/>
          <w:b/>
          <w:spacing w:val="0"/>
        </w:rPr>
        <w:t xml:space="preserve">6.3 Interpretation.</w:t>
      </w:r>
      <w:r>
        <w:rPr>
          <w:rFonts w:ascii="Arial" w:hAnsi="Arial" w:cs="Arial"/>
          <w:sz w:val="29"/>
          <w:sz-cs w:val="29"/>
          <w:spacing w:val="0"/>
        </w:rPr>
        <w:t xml:space="preserve"> Three points are material. First, the substances above the bounding screen are precisely those carrying numeric limits in the Yorkshire Water trade effluent consent (copper, cyanide, nickel and zinc by concentration, copper and nickel additionally by daily load), alongside the consent’s pH, temperature, COD and solids limits: for a discharge to the public foul sewer, the trade effluent consent is the statutory instrument that controls effluent quality, and the final discharge from Williamthorpe STW to controlled waters is itself regulated under the works’ own Environment Agency permit (registration NE/2941/009). Secondly, the lead figure is a limit-of-detection artefact: lead has not been detected, and the screening input of 290 µg/l is the laboratory reporting limit retained as a conservative entry; the exceedance is generated by the entry convention, not by measured lead. Thirdly, the chlorine figure is a bounding case only: total residual oxidant is consumed by reaction with sewage organic matter in the sewer and works, and no persistent oxidant pathway to the works’ outfall exists; the substance is retained in the table for completeness.</w:t>
      </w:r>
    </w:p>
    <w:p>
      <w:pPr>
        <w:spacing w:after="293"/>
      </w:pPr>
      <w:r>
        <w:rPr>
          <w:rFonts w:ascii="Arial" w:hAnsi="Arial" w:cs="Arial"/>
          <w:sz w:val="29"/>
          <w:sz-cs w:val="29"/>
          <w:b/>
          <w:spacing w:val="0"/>
        </w:rPr>
        <w:t xml:space="preserve">6.4 Nitrate and isotridecanol (ethoxylated polymer).</w:t>
      </w:r>
      <w:r>
        <w:rPr>
          <w:rFonts w:ascii="Arial" w:hAnsi="Arial" w:cs="Arial"/>
          <w:sz w:val="29"/>
          <w:sz-cs w:val="29"/>
          <w:spacing w:val="0"/>
        </w:rPr>
        <w:t xml:space="preserve"> Neither substance has a freshwater EQS in the H1 library, so a numeric screen cannot be produced. Both are amenable to biological treatment at a sewage treatment works, and both fall within the control framework of the trade effluent consent, including condition 7 (prior notification of any change in effluent constituents) and the Schedule’s general restrictions. As the installation has no direct surface-water pathway, these determinands are closed on that basis.</w:t>
      </w:r>
    </w:p>
    <w:p>
      <w:pPr>
        <w:spacing w:after="365"/>
      </w:pPr>
      <w:r>
        <w:rPr>
          <w:rFonts w:ascii="Arial" w:hAnsi="Arial" w:cs="Arial"/>
          <w:sz w:val="44"/>
          <w:sz-cs w:val="44"/>
          <w:b/>
          <w:spacing w:val="0"/>
        </w:rPr>
        <w:t xml:space="preserve">7. Assumptions register — closed</w:t>
      </w:r>
    </w:p>
    <w:p>
      <w:pPr>
        <w:spacing w:after="293"/>
      </w:pPr>
      <w:r>
        <w:rPr>
          <w:rFonts w:ascii="Arial" w:hAnsi="Arial" w:cs="Arial"/>
          <w:sz w:val="29"/>
          <w:sz-cs w:val="29"/>
          <w:spacing w:val="0"/>
        </w:rPr>
        <w:t xml:space="preserve">Every assumption raised during this assessment has been resolved and the register is closed. In summary: the discharge route and receptor are evidenced (consent, consent plan and Environment Agency register); the flow basis is the consented maximum, removing any ambiguity between actual and design throughput; the receiving-water dilution is the works’ recorded five-year minimum Q95; the sewage treatment factors are the applicable mechanism for a sewer discharge; lead is documented as a non-detect at the limit of detection; zinc is fixed at the monitored 70 µg/l; chromium is confirmed trivalent; iron is 0.5 mg/l per laboratory analysis; bromine, mercury and sulphate are confirmed absent; the fluoride and ammonia standards are placed in the &gt;50 mg/l CaCO₃ hardness band on the measured supply hardness of 193 mg/l CaCO₃; and nitrate and isotridecanol are closed via the sewer route. The full register, with evidence references, is at the “Assumptions — CLOSED” sheet of the accompanying workbook.</w:t>
      </w:r>
    </w:p>
    <w:p>
      <w:pPr>
        <w:spacing w:after="365"/>
      </w:pPr>
      <w:r>
        <w:rPr>
          <w:rFonts w:ascii="Arial" w:hAnsi="Arial" w:cs="Arial"/>
          <w:sz w:val="44"/>
          <w:sz-cs w:val="44"/>
          <w:b/>
          <w:spacing w:val="0"/>
        </w:rPr>
        <w:t xml:space="preserve">8. Conclusions</w:t>
      </w:r>
    </w:p>
    <w:p>
      <w:pPr>
        <w:spacing w:after="293"/>
      </w:pPr>
      <w:r>
        <w:rPr>
          <w:rFonts w:ascii="Arial" w:hAnsi="Arial" w:cs="Arial"/>
          <w:sz w:val="29"/>
          <w:sz-cs w:val="29"/>
          <w:spacing w:val="0"/>
        </w:rPr>
        <w:t xml:space="preserve">1. The installation’s only point source emission to water is trade effluent to the public foul sewer (release point W1), controlled by Yorkshire Water trade effluent consent Y/5032/23D. There is no direct discharge to surface water, and no surface-water mixing or hydrodynamic modelling is required for this installation.</w:t>
      </w:r>
    </w:p>
    <w:p>
      <w:pPr>
        <w:spacing w:after="293"/>
      </w:pPr>
      <w:r>
        <w:rPr>
          <w:rFonts w:ascii="Arial" w:hAnsi="Arial" w:cs="Arial"/>
          <w:sz w:val="29"/>
          <w:sz-cs w:val="29"/>
          <w:spacing w:val="0"/>
        </w:rPr>
        <w:t xml:space="preserve">2. The information requested at item 9 of the Agency’s letter is confirmed: the relevant sewage treatment works is </w:t>
      </w:r>
      <w:r>
        <w:rPr>
          <w:rFonts w:ascii="Arial" w:hAnsi="Arial" w:cs="Arial"/>
          <w:sz w:val="29"/>
          <w:sz-cs w:val="29"/>
          <w:b/>
          <w:spacing w:val="0"/>
        </w:rPr>
        <w:t xml:space="preserve">Williamthorpe STW</w:t>
      </w:r>
      <w:r>
        <w:rPr>
          <w:rFonts w:ascii="Arial" w:hAnsi="Arial" w:cs="Arial"/>
          <w:sz w:val="29"/>
          <w:sz-cs w:val="29"/>
          <w:spacing w:val="0"/>
        </w:rPr>
        <w:t xml:space="preserve"> (Yorkshire Water Services Ltd, Holmewood Industrial Park, Chesterfield S42 5UY) and the national grid reference of the final discharge point from the STW is </w:t>
      </w:r>
      <w:r>
        <w:rPr>
          <w:rFonts w:ascii="Arial" w:hAnsi="Arial" w:cs="Arial"/>
          <w:sz w:val="29"/>
          <w:sz-cs w:val="29"/>
          <w:b/>
          <w:spacing w:val="0"/>
        </w:rPr>
        <w:t xml:space="preserve">SK 43160 66490</w:t>
      </w:r>
      <w:r>
        <w:rPr>
          <w:rFonts w:ascii="Arial" w:hAnsi="Arial" w:cs="Arial"/>
          <w:sz w:val="29"/>
          <w:sz-cs w:val="29"/>
          <w:spacing w:val="0"/>
        </w:rPr>
        <w:t xml:space="preserve"> (EA register registration NE/2941/009).</w:t>
      </w:r>
    </w:p>
    <w:p>
      <w:pPr>
        <w:spacing w:after="293"/>
      </w:pPr>
      <w:r>
        <w:rPr>
          <w:rFonts w:ascii="Arial" w:hAnsi="Arial" w:cs="Arial"/>
          <w:sz w:val="29"/>
          <w:sz-cs w:val="29"/>
          <w:spacing w:val="0"/>
        </w:rPr>
        <w:t xml:space="preserve">3. The H1 screening is complete on a deliberately conservative basis. Chromium III, iron, fluoride, bromine, mercury and sulphate screen out; cyanide and zinc remain within their standards; copper, ammonia and nickel exceed the bounding screen and are the substances controlled by the numeric limits of the trade effluent consent, with the works’ final discharge regulated under the works’ own permit; the lead and chlorine entries are artefacts of conservative entry conventions, as explained at 6.3.</w:t>
      </w:r>
    </w:p>
    <w:p>
      <w:pPr>
        <w:spacing w:after="293"/>
      </w:pPr>
      <w:r>
        <w:rPr>
          <w:rFonts w:ascii="Arial" w:hAnsi="Arial" w:cs="Arial"/>
          <w:sz w:val="29"/>
          <w:sz-cs w:val="29"/>
          <w:spacing w:val="0"/>
        </w:rPr>
        <w:t xml:space="preserve">4. For the resubmission, application form Part B6 (Table 3) and the site plan should describe this emission as a point source emission to sewer, superseding the previously ticked “non-tidal river, stream or canal” entry.</w:t>
      </w:r>
    </w:p>
    <w:p>
      <w:pPr>
        <w:spacing w:after="293"/>
      </w:pPr>
      <w:r>
        <w:rPr>
          <w:rFonts w:ascii="Arial" w:hAnsi="Arial" w:cs="Arial"/>
          <w:sz w:val="29"/>
          <w:sz-cs w:val="29"/>
          <w:spacing w:val="0"/>
        </w:rPr>
        <w:t xml:space="preserve">5. There are no outstanding information requirements for the water assessment. The assessment is complete.</w:t>
      </w:r>
    </w:p>
    <w:p>
      <w:pPr>
        <w:spacing w:after="365"/>
      </w:pPr>
      <w:r>
        <w:rPr>
          <w:rFonts w:ascii="Arial" w:hAnsi="Arial" w:cs="Arial"/>
          <w:sz w:val="44"/>
          <w:sz-cs w:val="44"/>
          <w:b/>
          <w:spacing w:val="0"/>
        </w:rPr>
        <w:t xml:space="preserve">References</w:t>
      </w:r>
    </w:p>
    <w:p>
      <w:pPr>
        <w:spacing w:after="293"/>
      </w:pPr>
      <w:r>
        <w:rPr>
          <w:rFonts w:ascii="Arial" w:hAnsi="Arial" w:cs="Arial"/>
          <w:sz w:val="29"/>
          <w:sz-cs w:val="29"/>
          <w:spacing w:val="0"/>
        </w:rPr>
        <w:t xml:space="preserve">Appendix 3 — Yorkshire Water trade effluent consent (Direction Y/5032/23D and plan); Appendix 17 — ETP Discharge Log; Environment Agency letter EPR/HP3627SH/A001, 24/07/2024 (LIT 11887); Environment Agency public register of water discharge permits (environment.data.gov.uk, retrieved 10/06/2026); H1 Tool v9.2 freshwater substance library; H1_water_calculator_v4_FINAL.xlsx (accompanying workbook, including audit trail of superseded bases).</w:t>
      </w:r>
    </w:p>
    <w:sectPr/>
  </w:body>
</w:document>
</file>

<file path=word/_rels/document.xml.rels><?xml version="1.0" encoding="UTF-8" standalone="yes"?>
<Relationships xmlns="http://schemas.openxmlformats.org/package/2006/relationships"><Relationship Id="rId3" Type="http://schemas.openxmlformats.org/officeDocument/2006/relationships/customXml" Target="../customXml/item1.xml"/><Relationship Id="rId2" Type="http://schemas.openxmlformats.org/officeDocument/2006/relationships/theme" Target="theme/theme1.xml"/><Relationship Id="rId1" Type="http://schemas.openxmlformats.org/officeDocument/2006/relationships/customXml" Target="../docProps/meta.xml"/><Relationship Id="rId6" Type="http://schemas.openxmlformats.org/officeDocument/2006/relationships/customXml" Target="../customXml/item4.xml"/><Relationship Id="rId5" Type="http://schemas.openxmlformats.org/officeDocument/2006/relationships/customXml" Target="../customXml/item3.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2026-06-09T23:00:00+00:00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2026-06-09T23:00:00+00:00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ExternalAuthor xmlns="eebef177-55b5-4448-a5fb-28ea454417ee">Operator</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A0249BBE-3504-4EE9-B291-8B9081CF149F}"/>
</file>

<file path=customXml/itemProps2.xml><?xml version="1.0" encoding="utf-8"?>
<ds:datastoreItem xmlns:ds="http://schemas.openxmlformats.org/officeDocument/2006/customXml" ds:itemID="{09B32235-5EB0-4BA7-8842-F1582D9786C7}"/>
</file>

<file path=customXml/itemProps3.xml><?xml version="1.0" encoding="utf-8"?>
<ds:datastoreItem xmlns:ds="http://schemas.openxmlformats.org/officeDocument/2006/customXml" ds:itemID="{66C2302C-CC1E-4BF9-9B0B-DCF4D835ABA6}"/>
</file>

<file path=customXml/itemProps4.xml><?xml version="1.0" encoding="utf-8"?>
<ds:datastoreItem xmlns:ds="http://schemas.openxmlformats.org/officeDocument/2006/customXml" ds:itemID="{8DC81ABD-5ABA-47FE-A379-AF4162DF708A}"/>
</file>

<file path=customXml/itemProps5.xml><?xml version="1.0" encoding="utf-8"?>
<ds:datastoreItem xmlns:ds="http://schemas.openxmlformats.org/officeDocument/2006/customXml" ds:itemID="{7AEA2E7A-60EE-475E-B517-668329957E3F}"/>
</file>

<file path=docProps/_rels/meta.xml.rels><?xml version="1.0" encoding="UTF-8" standalone="yes"?>
<Relationships xmlns="http://schemas.openxmlformats.org/package/2006/relationships"><Relationship Id="rId1" Type="http://schemas.openxmlformats.org/officeDocument/2006/relationships/customXmlProps" Target="../customXml/itemProps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SysUpdateNoER">
    <vt:lpwstr>No</vt:lpwstr>
  </property>
</Properties>
</file>

<file path=docProps/meta.xml><?xml version="1.0" encoding="utf-8"?>
<meta xmlns="http://schemas.apple.com/cocoa/2006/metadata">
  <generator>CocoaOOXMLWriter/2685.6</generator>
</meta>
</file>