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299B" w14:textId="74B97D52" w:rsidR="00664626" w:rsidRPr="005A63E2" w:rsidRDefault="00664626" w:rsidP="005A63E2">
      <w:pPr>
        <w:jc w:val="both"/>
        <w:rPr>
          <w:rFonts w:ascii="Poppins" w:hAnsi="Poppins" w:cs="Poppins"/>
          <w:sz w:val="20"/>
          <w:szCs w:val="20"/>
        </w:rPr>
      </w:pPr>
    </w:p>
    <w:p w14:paraId="7C7DC4B2" w14:textId="0E817D74" w:rsidR="00664626" w:rsidRPr="005A63E2" w:rsidRDefault="00664626" w:rsidP="005A63E2">
      <w:pPr>
        <w:jc w:val="both"/>
        <w:rPr>
          <w:rFonts w:ascii="Poppins" w:hAnsi="Poppins" w:cs="Poppins"/>
          <w:sz w:val="20"/>
          <w:szCs w:val="20"/>
        </w:rPr>
      </w:pPr>
    </w:p>
    <w:p w14:paraId="7FEFD300" w14:textId="1F342A0D" w:rsidR="00664626" w:rsidRPr="00274CD4" w:rsidRDefault="00664626" w:rsidP="00747881">
      <w:pPr>
        <w:jc w:val="both"/>
        <w:rPr>
          <w:rFonts w:ascii="Poppins" w:hAnsi="Poppins" w:cs="Poppins"/>
          <w:sz w:val="20"/>
          <w:szCs w:val="20"/>
        </w:rPr>
      </w:pPr>
    </w:p>
    <w:p w14:paraId="2E7EAE66" w14:textId="0B09A1FC" w:rsidR="00664626" w:rsidRPr="00274CD4" w:rsidRDefault="00F5600E" w:rsidP="00747881">
      <w:pPr>
        <w:jc w:val="both"/>
        <w:rPr>
          <w:rFonts w:ascii="Poppins" w:hAnsi="Poppins" w:cs="Poppins"/>
          <w:sz w:val="20"/>
          <w:szCs w:val="20"/>
        </w:rPr>
      </w:pPr>
      <w:r w:rsidRPr="00274CD4">
        <w:rPr>
          <w:rFonts w:ascii="Poppins" w:hAnsi="Poppins" w:cs="Poppins"/>
          <w:noProof/>
          <w:sz w:val="20"/>
          <w:szCs w:val="20"/>
        </w:rPr>
        <mc:AlternateContent>
          <mc:Choice Requires="wps">
            <w:drawing>
              <wp:anchor distT="0" distB="0" distL="114300" distR="114300" simplePos="0" relativeHeight="251659264" behindDoc="0" locked="0" layoutInCell="1" allowOverlap="1" wp14:anchorId="7118172C" wp14:editId="0B98094E">
                <wp:simplePos x="0" y="0"/>
                <wp:positionH relativeFrom="margin">
                  <wp:align>left</wp:align>
                </wp:positionH>
                <wp:positionV relativeFrom="paragraph">
                  <wp:posOffset>165100</wp:posOffset>
                </wp:positionV>
                <wp:extent cx="6146800" cy="3100387"/>
                <wp:effectExtent l="0" t="0" r="6350" b="5080"/>
                <wp:wrapNone/>
                <wp:docPr id="8" name="Text Box 8"/>
                <wp:cNvGraphicFramePr/>
                <a:graphic xmlns:a="http://schemas.openxmlformats.org/drawingml/2006/main">
                  <a:graphicData uri="http://schemas.microsoft.com/office/word/2010/wordprocessingShape">
                    <wps:wsp>
                      <wps:cNvSpPr txBox="1"/>
                      <wps:spPr>
                        <a:xfrm>
                          <a:off x="0" y="0"/>
                          <a:ext cx="6146800" cy="3100387"/>
                        </a:xfrm>
                        <a:prstGeom prst="rect">
                          <a:avLst/>
                        </a:prstGeom>
                        <a:noFill/>
                        <a:ln w="6350">
                          <a:noFill/>
                        </a:ln>
                      </wps:spPr>
                      <wps:txbx>
                        <w:txbxContent>
                          <w:p w14:paraId="5E7010DE" w14:textId="227B8449" w:rsidR="00664626" w:rsidRPr="0076627B" w:rsidRDefault="00113972" w:rsidP="0076627B">
                            <w:pPr>
                              <w:pStyle w:val="DocHeading"/>
                              <w:rPr>
                                <w:sz w:val="80"/>
                                <w:szCs w:val="80"/>
                              </w:rPr>
                            </w:pPr>
                            <w:r>
                              <w:rPr>
                                <w:sz w:val="80"/>
                                <w:szCs w:val="80"/>
                              </w:rPr>
                              <w:t>Woodhouse Mill Sludge Treatment Facility:</w:t>
                            </w:r>
                            <w:r>
                              <w:rPr>
                                <w:sz w:val="80"/>
                                <w:szCs w:val="80"/>
                              </w:rPr>
                              <w:br/>
                              <w:t>Accident Management Plan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8172C" id="_x0000_t202" coordsize="21600,21600" o:spt="202" path="m,l,21600r21600,l21600,xe">
                <v:stroke joinstyle="miter"/>
                <v:path gradientshapeok="t" o:connecttype="rect"/>
              </v:shapetype>
              <v:shape id="Text Box 8" o:spid="_x0000_s1026" type="#_x0000_t202" style="position:absolute;left:0;text-align:left;margin-left:0;margin-top:13pt;width:484pt;height:24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" filled="f" stroked="f" strokeweight=".5pt">
                <v:textbox inset="0,0,0,0">
                  <w:txbxContent>
                    <w:p w14:paraId="5E7010DE" w14:textId="227B8449" w:rsidR="00664626" w:rsidRPr="0076627B" w:rsidRDefault="00113972" w:rsidP="0076627B">
                      <w:pPr>
                        <w:pStyle w:val="DocHeading"/>
                        <w:rPr>
                          <w:sz w:val="80"/>
                          <w:szCs w:val="80"/>
                        </w:rPr>
                      </w:pPr>
                      <w:r>
                        <w:rPr>
                          <w:sz w:val="80"/>
                          <w:szCs w:val="80"/>
                        </w:rPr>
                        <w:t>Woodhouse Mill Sludge Treatment Facility:</w:t>
                      </w:r>
                      <w:r>
                        <w:rPr>
                          <w:sz w:val="80"/>
                          <w:szCs w:val="80"/>
                        </w:rPr>
                        <w:br/>
                        <w:t>Accident Management Plan</w:t>
                      </w:r>
                    </w:p>
                  </w:txbxContent>
                </v:textbox>
                <w10:wrap anchorx="margin"/>
              </v:shape>
            </w:pict>
          </mc:Fallback>
        </mc:AlternateContent>
      </w:r>
    </w:p>
    <w:p w14:paraId="4CF53B39" w14:textId="77777777" w:rsidR="00664626" w:rsidRPr="00274CD4" w:rsidRDefault="00664626" w:rsidP="00747881">
      <w:pPr>
        <w:jc w:val="both"/>
        <w:rPr>
          <w:rFonts w:ascii="Poppins" w:hAnsi="Poppins" w:cs="Poppins"/>
          <w:sz w:val="20"/>
          <w:szCs w:val="20"/>
        </w:rPr>
      </w:pPr>
    </w:p>
    <w:p w14:paraId="76EDCE13" w14:textId="77777777" w:rsidR="00664626" w:rsidRPr="00274CD4" w:rsidRDefault="00664626" w:rsidP="00747881">
      <w:pPr>
        <w:jc w:val="both"/>
        <w:rPr>
          <w:rFonts w:ascii="Poppins" w:hAnsi="Poppins" w:cs="Poppins"/>
          <w:sz w:val="20"/>
          <w:szCs w:val="20"/>
        </w:rPr>
      </w:pPr>
    </w:p>
    <w:p w14:paraId="1C079CF9" w14:textId="77777777" w:rsidR="00664626" w:rsidRPr="00274CD4" w:rsidRDefault="00664626" w:rsidP="00747881">
      <w:pPr>
        <w:jc w:val="both"/>
        <w:rPr>
          <w:rFonts w:ascii="Poppins" w:hAnsi="Poppins" w:cs="Poppins"/>
          <w:sz w:val="20"/>
          <w:szCs w:val="20"/>
        </w:rPr>
      </w:pPr>
    </w:p>
    <w:p w14:paraId="6B1DCFDA" w14:textId="77777777" w:rsidR="00664626" w:rsidRPr="00274CD4" w:rsidRDefault="00664626" w:rsidP="00747881">
      <w:pPr>
        <w:jc w:val="both"/>
        <w:rPr>
          <w:rFonts w:ascii="Poppins" w:hAnsi="Poppins" w:cs="Poppins"/>
          <w:sz w:val="20"/>
          <w:szCs w:val="20"/>
        </w:rPr>
      </w:pPr>
    </w:p>
    <w:p w14:paraId="71BBBE67" w14:textId="77777777" w:rsidR="00664626" w:rsidRPr="00274CD4" w:rsidRDefault="00664626" w:rsidP="00747881">
      <w:pPr>
        <w:jc w:val="both"/>
        <w:rPr>
          <w:rFonts w:ascii="Poppins" w:hAnsi="Poppins" w:cs="Poppins"/>
          <w:sz w:val="20"/>
          <w:szCs w:val="20"/>
        </w:rPr>
      </w:pPr>
    </w:p>
    <w:p w14:paraId="4A8457F3" w14:textId="77777777" w:rsidR="00664626" w:rsidRPr="00274CD4" w:rsidRDefault="00664626" w:rsidP="00747881">
      <w:pPr>
        <w:jc w:val="both"/>
        <w:rPr>
          <w:rFonts w:ascii="Poppins" w:hAnsi="Poppins" w:cs="Poppins"/>
          <w:sz w:val="20"/>
          <w:szCs w:val="20"/>
        </w:rPr>
      </w:pPr>
    </w:p>
    <w:p w14:paraId="522ED9B9" w14:textId="77777777" w:rsidR="00664626" w:rsidRPr="00274CD4" w:rsidRDefault="00664626" w:rsidP="00747881">
      <w:pPr>
        <w:jc w:val="both"/>
        <w:rPr>
          <w:rFonts w:ascii="Poppins" w:hAnsi="Poppins" w:cs="Poppins"/>
          <w:sz w:val="20"/>
          <w:szCs w:val="20"/>
        </w:rPr>
      </w:pPr>
    </w:p>
    <w:p w14:paraId="6A635CE1" w14:textId="77777777" w:rsidR="00664626" w:rsidRPr="00274CD4" w:rsidRDefault="00664626" w:rsidP="00747881">
      <w:pPr>
        <w:jc w:val="both"/>
        <w:rPr>
          <w:rFonts w:ascii="Poppins" w:hAnsi="Poppins" w:cs="Poppins"/>
          <w:sz w:val="20"/>
          <w:szCs w:val="20"/>
        </w:rPr>
      </w:pPr>
    </w:p>
    <w:p w14:paraId="00EF194E" w14:textId="77777777" w:rsidR="00664626" w:rsidRPr="00274CD4" w:rsidRDefault="00664626" w:rsidP="00747881">
      <w:pPr>
        <w:jc w:val="both"/>
        <w:rPr>
          <w:rFonts w:ascii="Poppins" w:hAnsi="Poppins" w:cs="Poppins"/>
          <w:sz w:val="20"/>
          <w:szCs w:val="20"/>
        </w:rPr>
      </w:pPr>
    </w:p>
    <w:p w14:paraId="6FAA7896" w14:textId="77777777" w:rsidR="00664626" w:rsidRPr="00274CD4" w:rsidRDefault="00664626" w:rsidP="00747881">
      <w:pPr>
        <w:jc w:val="both"/>
        <w:rPr>
          <w:rFonts w:ascii="Poppins" w:hAnsi="Poppins" w:cs="Poppins"/>
          <w:sz w:val="20"/>
          <w:szCs w:val="20"/>
        </w:rPr>
      </w:pPr>
    </w:p>
    <w:p w14:paraId="79E0F59F" w14:textId="77777777" w:rsidR="00664626" w:rsidRPr="00274CD4" w:rsidRDefault="00664626" w:rsidP="00747881">
      <w:pPr>
        <w:jc w:val="both"/>
        <w:rPr>
          <w:rFonts w:ascii="Poppins" w:hAnsi="Poppins" w:cs="Poppins"/>
          <w:sz w:val="20"/>
          <w:szCs w:val="20"/>
        </w:rPr>
      </w:pPr>
    </w:p>
    <w:p w14:paraId="463BC621" w14:textId="77777777" w:rsidR="00664626" w:rsidRPr="00274CD4" w:rsidRDefault="00664626" w:rsidP="00747881">
      <w:pPr>
        <w:jc w:val="both"/>
        <w:rPr>
          <w:rFonts w:ascii="Poppins" w:hAnsi="Poppins" w:cs="Poppins"/>
          <w:sz w:val="20"/>
          <w:szCs w:val="20"/>
        </w:rPr>
        <w:sectPr w:rsidR="00664626" w:rsidRPr="00274CD4" w:rsidSect="00664626">
          <w:footerReference w:type="default" r:id="rId11"/>
          <w:headerReference w:type="first" r:id="rId12"/>
          <w:footerReference w:type="first" r:id="rId13"/>
          <w:pgSz w:w="11900" w:h="16840"/>
          <w:pgMar w:top="1247" w:right="1361" w:bottom="1361" w:left="1304" w:header="720" w:footer="720" w:gutter="0"/>
          <w:cols w:num="2" w:space="720"/>
          <w:titlePg/>
          <w:docGrid w:linePitch="360"/>
        </w:sectPr>
      </w:pPr>
    </w:p>
    <w:p w14:paraId="7E2CB315" w14:textId="77777777" w:rsidR="00664626" w:rsidRPr="005A63E2" w:rsidRDefault="00664626" w:rsidP="005A63E2">
      <w:pPr>
        <w:pStyle w:val="Paragraphtext"/>
        <w:rPr>
          <w:rFonts w:ascii="Poppins" w:hAnsi="Poppins" w:cs="Poppins"/>
          <w:b/>
          <w:bCs/>
        </w:rPr>
      </w:pPr>
      <w:r w:rsidRPr="005A63E2">
        <w:rPr>
          <w:rFonts w:ascii="Poppins" w:hAnsi="Poppins" w:cs="Poppins"/>
          <w:b/>
          <w:bCs/>
        </w:rPr>
        <w:lastRenderedPageBreak/>
        <w:t>Document Control</w:t>
      </w:r>
    </w:p>
    <w:tbl>
      <w:tblPr>
        <w:tblStyle w:val="ListTable6Colorful-Accent6"/>
        <w:tblW w:w="9214" w:type="dxa"/>
        <w:tblLayout w:type="fixed"/>
        <w:tblCellMar>
          <w:top w:w="113" w:type="dxa"/>
          <w:bottom w:w="113" w:type="dxa"/>
        </w:tblCellMar>
        <w:tblLook w:val="0480" w:firstRow="0" w:lastRow="0" w:firstColumn="1" w:lastColumn="0" w:noHBand="0" w:noVBand="1"/>
      </w:tblPr>
      <w:tblGrid>
        <w:gridCol w:w="2410"/>
        <w:gridCol w:w="6804"/>
      </w:tblGrid>
      <w:tr w:rsidR="002447C9" w:rsidRPr="00274CD4" w14:paraId="2F224A7E" w14:textId="77777777" w:rsidTr="39546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3DF1754" w14:textId="77777777" w:rsidR="00664626" w:rsidRPr="00274CD4" w:rsidRDefault="00664626" w:rsidP="00747881">
            <w:pPr>
              <w:pStyle w:val="Tabletext"/>
              <w:jc w:val="both"/>
              <w:rPr>
                <w:rFonts w:cs="Poppins"/>
                <w:color w:val="auto"/>
                <w:sz w:val="20"/>
                <w:szCs w:val="20"/>
              </w:rPr>
            </w:pPr>
            <w:r w:rsidRPr="00274CD4">
              <w:rPr>
                <w:rFonts w:cs="Poppins"/>
                <w:color w:val="auto"/>
                <w:sz w:val="20"/>
                <w:szCs w:val="20"/>
              </w:rPr>
              <w:t>Document Control Ref:</w:t>
            </w:r>
          </w:p>
        </w:tc>
        <w:tc>
          <w:tcPr>
            <w:tcW w:w="6804" w:type="dxa"/>
          </w:tcPr>
          <w:p w14:paraId="708EBE2A" w14:textId="621367C2" w:rsidR="00664626" w:rsidRPr="00274CD4" w:rsidRDefault="00664626"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sidRPr="00274CD4">
              <w:rPr>
                <w:rFonts w:cs="Poppins"/>
                <w:color w:val="auto"/>
                <w:sz w:val="20"/>
                <w:szCs w:val="20"/>
              </w:rPr>
              <w:t>V</w:t>
            </w:r>
            <w:r w:rsidR="00E167B9">
              <w:rPr>
                <w:rFonts w:cs="Poppins"/>
                <w:color w:val="auto"/>
                <w:sz w:val="20"/>
                <w:szCs w:val="20"/>
              </w:rPr>
              <w:t>001</w:t>
            </w:r>
          </w:p>
        </w:tc>
      </w:tr>
      <w:tr w:rsidR="002447C9" w:rsidRPr="00274CD4" w14:paraId="6792B3D4" w14:textId="77777777" w:rsidTr="3954691E">
        <w:tc>
          <w:tcPr>
            <w:cnfStyle w:val="001000000000" w:firstRow="0" w:lastRow="0" w:firstColumn="1" w:lastColumn="0" w:oddVBand="0" w:evenVBand="0" w:oddHBand="0" w:evenHBand="0" w:firstRowFirstColumn="0" w:firstRowLastColumn="0" w:lastRowFirstColumn="0" w:lastRowLastColumn="0"/>
            <w:tcW w:w="2410" w:type="dxa"/>
          </w:tcPr>
          <w:p w14:paraId="519099B7" w14:textId="77777777" w:rsidR="00664626" w:rsidRPr="00274CD4" w:rsidRDefault="00664626" w:rsidP="00747881">
            <w:pPr>
              <w:pStyle w:val="Tabletext"/>
              <w:jc w:val="both"/>
              <w:rPr>
                <w:rFonts w:cs="Poppins"/>
                <w:color w:val="auto"/>
                <w:sz w:val="20"/>
                <w:szCs w:val="20"/>
              </w:rPr>
            </w:pPr>
            <w:r w:rsidRPr="00274CD4">
              <w:rPr>
                <w:rFonts w:cs="Poppins"/>
                <w:color w:val="auto"/>
                <w:sz w:val="20"/>
                <w:szCs w:val="20"/>
              </w:rPr>
              <w:t>Document Location:</w:t>
            </w:r>
          </w:p>
        </w:tc>
        <w:tc>
          <w:tcPr>
            <w:tcW w:w="6804" w:type="dxa"/>
          </w:tcPr>
          <w:p w14:paraId="3365E86F" w14:textId="7BD8491D" w:rsidR="00664626" w:rsidRPr="00274CD4" w:rsidRDefault="00664626" w:rsidP="00747881">
            <w:pPr>
              <w:pStyle w:val="Tabletext"/>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r w:rsidRPr="00274CD4">
              <w:rPr>
                <w:rFonts w:cs="Poppins"/>
                <w:color w:val="auto"/>
                <w:sz w:val="20"/>
                <w:szCs w:val="20"/>
              </w:rPr>
              <w:t>YW IMS (Environment and Waste &gt; Waste and Installations &gt; IED)</w:t>
            </w:r>
          </w:p>
        </w:tc>
      </w:tr>
      <w:tr w:rsidR="002447C9" w:rsidRPr="00274CD4" w14:paraId="5CED9438" w14:textId="77777777" w:rsidTr="39546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209AD20" w14:textId="77777777" w:rsidR="00664626" w:rsidRPr="00274CD4" w:rsidRDefault="00664626" w:rsidP="00747881">
            <w:pPr>
              <w:pStyle w:val="Tabletext"/>
              <w:jc w:val="both"/>
              <w:rPr>
                <w:rFonts w:cs="Poppins"/>
                <w:color w:val="auto"/>
                <w:sz w:val="20"/>
                <w:szCs w:val="20"/>
              </w:rPr>
            </w:pPr>
            <w:r w:rsidRPr="00274CD4">
              <w:rPr>
                <w:rFonts w:cs="Poppins"/>
                <w:color w:val="auto"/>
                <w:sz w:val="20"/>
                <w:szCs w:val="20"/>
              </w:rPr>
              <w:t>Document Custodian:</w:t>
            </w:r>
          </w:p>
        </w:tc>
        <w:tc>
          <w:tcPr>
            <w:tcW w:w="6804" w:type="dxa"/>
          </w:tcPr>
          <w:p w14:paraId="484367B0" w14:textId="5EFF46ED" w:rsidR="00664626" w:rsidRPr="00274CD4" w:rsidRDefault="00EA7701"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sidRPr="00C53B22">
              <w:rPr>
                <w:rFonts w:cs="Poppins"/>
                <w:color w:val="auto"/>
                <w:sz w:val="20"/>
                <w:szCs w:val="20"/>
              </w:rPr>
              <w:t>David Shaw</w:t>
            </w:r>
          </w:p>
        </w:tc>
      </w:tr>
      <w:tr w:rsidR="002447C9" w:rsidRPr="00274CD4" w14:paraId="5921AB1C" w14:textId="77777777" w:rsidTr="3954691E">
        <w:tc>
          <w:tcPr>
            <w:cnfStyle w:val="001000000000" w:firstRow="0" w:lastRow="0" w:firstColumn="1" w:lastColumn="0" w:oddVBand="0" w:evenVBand="0" w:oddHBand="0" w:evenHBand="0" w:firstRowFirstColumn="0" w:firstRowLastColumn="0" w:lastRowFirstColumn="0" w:lastRowLastColumn="0"/>
            <w:tcW w:w="2410" w:type="dxa"/>
          </w:tcPr>
          <w:p w14:paraId="215C0B8D" w14:textId="77777777" w:rsidR="00664626" w:rsidRPr="00274CD4" w:rsidRDefault="00664626" w:rsidP="00747881">
            <w:pPr>
              <w:pStyle w:val="Tabletext"/>
              <w:jc w:val="both"/>
              <w:rPr>
                <w:rFonts w:cs="Poppins"/>
                <w:color w:val="auto"/>
                <w:sz w:val="20"/>
                <w:szCs w:val="20"/>
              </w:rPr>
            </w:pPr>
            <w:r w:rsidRPr="00274CD4">
              <w:rPr>
                <w:rFonts w:cs="Poppins"/>
                <w:color w:val="auto"/>
                <w:sz w:val="20"/>
                <w:szCs w:val="20"/>
              </w:rPr>
              <w:t>Review Period:</w:t>
            </w:r>
          </w:p>
        </w:tc>
        <w:tc>
          <w:tcPr>
            <w:tcW w:w="6804" w:type="dxa"/>
          </w:tcPr>
          <w:p w14:paraId="215CD631" w14:textId="0F859009" w:rsidR="00C57F90" w:rsidRDefault="00B43754" w:rsidP="00C57F90">
            <w:pPr>
              <w:pStyle w:val="Tabletext"/>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r w:rsidRPr="00274CD4">
              <w:rPr>
                <w:rFonts w:cs="Poppins"/>
                <w:color w:val="auto"/>
                <w:sz w:val="20"/>
                <w:szCs w:val="20"/>
              </w:rPr>
              <w:t xml:space="preserve">Every </w:t>
            </w:r>
            <w:r w:rsidR="00C57F90">
              <w:rPr>
                <w:rFonts w:cs="Poppins"/>
                <w:color w:val="auto"/>
                <w:sz w:val="20"/>
                <w:szCs w:val="20"/>
              </w:rPr>
              <w:t>4 years</w:t>
            </w:r>
            <w:r w:rsidRPr="00274CD4">
              <w:rPr>
                <w:rFonts w:cs="Poppins"/>
                <w:color w:val="auto"/>
                <w:sz w:val="20"/>
                <w:szCs w:val="20"/>
              </w:rPr>
              <w:t xml:space="preserve"> or sooner </w:t>
            </w:r>
            <w:r w:rsidR="00C57F90">
              <w:rPr>
                <w:rFonts w:cs="Poppins"/>
                <w:color w:val="auto"/>
                <w:sz w:val="20"/>
                <w:szCs w:val="20"/>
              </w:rPr>
              <w:t>in the event of changes that may impact this plan, including (but not limited to):</w:t>
            </w:r>
          </w:p>
          <w:p w14:paraId="11C29EA6" w14:textId="2CFCCC4E" w:rsidR="00C57F90" w:rsidRDefault="00C57F90" w:rsidP="00C57F90">
            <w:pPr>
              <w:pStyle w:val="Tabletext"/>
              <w:numPr>
                <w:ilvl w:val="0"/>
                <w:numId w:val="32"/>
              </w:numPr>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r>
              <w:rPr>
                <w:rFonts w:cs="Poppins"/>
                <w:color w:val="auto"/>
                <w:sz w:val="20"/>
                <w:szCs w:val="20"/>
              </w:rPr>
              <w:t>Changes to site activities, equipment or management / operational procedures.</w:t>
            </w:r>
          </w:p>
          <w:p w14:paraId="60E05B1A" w14:textId="5ADD5447" w:rsidR="00C57F90" w:rsidRPr="00C57F90" w:rsidRDefault="00C57F90" w:rsidP="00C57F90">
            <w:pPr>
              <w:pStyle w:val="Tabletext"/>
              <w:numPr>
                <w:ilvl w:val="0"/>
                <w:numId w:val="32"/>
              </w:numPr>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r>
              <w:rPr>
                <w:rFonts w:cs="Poppins"/>
                <w:color w:val="auto"/>
                <w:sz w:val="20"/>
                <w:szCs w:val="20"/>
              </w:rPr>
              <w:t>An accident or incident on this site, or other similar sites (whether or not these are YW sites) that prompts a review of accident risks, preventive controls and emergency responses measures.</w:t>
            </w:r>
          </w:p>
          <w:p w14:paraId="6333E694" w14:textId="26BF5CD9" w:rsidR="00664626" w:rsidRPr="00274CD4" w:rsidRDefault="00664626" w:rsidP="00747881">
            <w:pPr>
              <w:pStyle w:val="Tabletext"/>
              <w:jc w:val="both"/>
              <w:cnfStyle w:val="000000000000" w:firstRow="0" w:lastRow="0" w:firstColumn="0" w:lastColumn="0" w:oddVBand="0" w:evenVBand="0" w:oddHBand="0" w:evenHBand="0" w:firstRowFirstColumn="0" w:firstRowLastColumn="0" w:lastRowFirstColumn="0" w:lastRowLastColumn="0"/>
              <w:rPr>
                <w:rFonts w:eastAsia="Calibri" w:cs="Poppins"/>
                <w:color w:val="auto"/>
                <w:sz w:val="20"/>
                <w:szCs w:val="20"/>
              </w:rPr>
            </w:pPr>
          </w:p>
        </w:tc>
      </w:tr>
    </w:tbl>
    <w:p w14:paraId="633C2931" w14:textId="77777777" w:rsidR="00664626" w:rsidRPr="005A63E2" w:rsidRDefault="00664626" w:rsidP="005A63E2">
      <w:pPr>
        <w:pStyle w:val="Paragraphtext"/>
        <w:rPr>
          <w:rFonts w:ascii="Poppins" w:hAnsi="Poppins" w:cs="Poppins"/>
          <w:b/>
          <w:bCs/>
        </w:rPr>
      </w:pPr>
      <w:r w:rsidRPr="005A63E2">
        <w:rPr>
          <w:rFonts w:ascii="Poppins" w:hAnsi="Poppins" w:cs="Poppins"/>
          <w:b/>
          <w:bCs/>
        </w:rPr>
        <w:t>Document Approval</w:t>
      </w:r>
    </w:p>
    <w:tbl>
      <w:tblPr>
        <w:tblStyle w:val="ListTable6Colorful-Accent6"/>
        <w:tblW w:w="9214" w:type="dxa"/>
        <w:tblLayout w:type="fixed"/>
        <w:tblLook w:val="0480" w:firstRow="0" w:lastRow="0" w:firstColumn="1" w:lastColumn="0" w:noHBand="0" w:noVBand="1"/>
      </w:tblPr>
      <w:tblGrid>
        <w:gridCol w:w="4678"/>
        <w:gridCol w:w="4536"/>
      </w:tblGrid>
      <w:tr w:rsidR="002447C9" w:rsidRPr="00274CD4" w14:paraId="40504BA6" w14:textId="77777777" w:rsidTr="00D31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60529D3" w14:textId="77777777" w:rsidR="00664626" w:rsidRPr="00274CD4" w:rsidRDefault="00664626" w:rsidP="00747881">
            <w:pPr>
              <w:pStyle w:val="Tabletext"/>
              <w:spacing w:before="120" w:after="0"/>
              <w:jc w:val="both"/>
              <w:rPr>
                <w:rFonts w:cs="Poppins"/>
                <w:color w:val="auto"/>
                <w:sz w:val="20"/>
                <w:szCs w:val="20"/>
              </w:rPr>
            </w:pPr>
            <w:r w:rsidRPr="00274CD4">
              <w:rPr>
                <w:rFonts w:cs="Poppins"/>
                <w:color w:val="auto"/>
                <w:sz w:val="20"/>
                <w:szCs w:val="20"/>
              </w:rPr>
              <w:t>Name</w:t>
            </w:r>
          </w:p>
        </w:tc>
        <w:tc>
          <w:tcPr>
            <w:tcW w:w="4536" w:type="dxa"/>
          </w:tcPr>
          <w:p w14:paraId="5F224224" w14:textId="77777777" w:rsidR="00664626" w:rsidRPr="00274CD4" w:rsidRDefault="00664626" w:rsidP="00747881">
            <w:pPr>
              <w:pStyle w:val="Tabletext"/>
              <w:spacing w:before="120" w:after="0"/>
              <w:jc w:val="both"/>
              <w:cnfStyle w:val="000000100000" w:firstRow="0" w:lastRow="0" w:firstColumn="0" w:lastColumn="0" w:oddVBand="0" w:evenVBand="0" w:oddHBand="1" w:evenHBand="0" w:firstRowFirstColumn="0" w:firstRowLastColumn="0" w:lastRowFirstColumn="0" w:lastRowLastColumn="0"/>
              <w:rPr>
                <w:rFonts w:cs="Poppins"/>
                <w:b/>
                <w:bCs/>
                <w:color w:val="auto"/>
                <w:sz w:val="20"/>
                <w:szCs w:val="20"/>
              </w:rPr>
            </w:pPr>
            <w:r w:rsidRPr="00274CD4">
              <w:rPr>
                <w:rFonts w:cs="Poppins"/>
                <w:b/>
                <w:bCs/>
                <w:color w:val="auto"/>
                <w:sz w:val="20"/>
                <w:szCs w:val="20"/>
              </w:rPr>
              <w:t>Name</w:t>
            </w:r>
          </w:p>
        </w:tc>
      </w:tr>
      <w:tr w:rsidR="002447C9" w:rsidRPr="00274CD4" w14:paraId="6004912C" w14:textId="77777777" w:rsidTr="00D31763">
        <w:trPr>
          <w:trHeight w:val="113"/>
        </w:trPr>
        <w:tc>
          <w:tcPr>
            <w:cnfStyle w:val="001000000000" w:firstRow="0" w:lastRow="0" w:firstColumn="1" w:lastColumn="0" w:oddVBand="0" w:evenVBand="0" w:oddHBand="0" w:evenHBand="0" w:firstRowFirstColumn="0" w:firstRowLastColumn="0" w:lastRowFirstColumn="0" w:lastRowLastColumn="0"/>
            <w:tcW w:w="4678" w:type="dxa"/>
            <w:shd w:val="clear" w:color="auto" w:fill="EFF6FF"/>
          </w:tcPr>
          <w:p w14:paraId="637300B6" w14:textId="22F94DB1" w:rsidR="00664626" w:rsidRPr="00C53B22" w:rsidRDefault="00FA21F6" w:rsidP="00747881">
            <w:pPr>
              <w:pStyle w:val="Tabletext"/>
              <w:spacing w:before="40" w:after="120"/>
              <w:jc w:val="both"/>
              <w:rPr>
                <w:rFonts w:cs="Poppins"/>
                <w:color w:val="auto"/>
                <w:sz w:val="20"/>
                <w:szCs w:val="20"/>
              </w:rPr>
            </w:pPr>
            <w:r w:rsidRPr="00C53B22">
              <w:rPr>
                <w:rFonts w:cs="Poppins"/>
                <w:b w:val="0"/>
                <w:bCs w:val="0"/>
                <w:color w:val="auto"/>
                <w:sz w:val="20"/>
                <w:szCs w:val="20"/>
              </w:rPr>
              <w:t>David Shaw</w:t>
            </w:r>
          </w:p>
          <w:p w14:paraId="4DEF250D" w14:textId="254DB48E" w:rsidR="00664626" w:rsidRPr="00274CD4" w:rsidRDefault="00FA21F6" w:rsidP="00747881">
            <w:pPr>
              <w:pStyle w:val="Tabletext"/>
              <w:spacing w:before="40" w:after="120"/>
              <w:jc w:val="both"/>
              <w:rPr>
                <w:rFonts w:cs="Poppins"/>
                <w:b w:val="0"/>
                <w:bCs w:val="0"/>
                <w:color w:val="auto"/>
                <w:sz w:val="20"/>
                <w:szCs w:val="20"/>
              </w:rPr>
            </w:pPr>
            <w:r w:rsidRPr="00C53B22">
              <w:rPr>
                <w:rFonts w:cs="Poppins"/>
                <w:b w:val="0"/>
                <w:bCs w:val="0"/>
                <w:color w:val="auto"/>
                <w:sz w:val="20"/>
                <w:szCs w:val="20"/>
              </w:rPr>
              <w:t>Policy and Assurance</w:t>
            </w:r>
          </w:p>
        </w:tc>
        <w:tc>
          <w:tcPr>
            <w:tcW w:w="4536" w:type="dxa"/>
            <w:shd w:val="clear" w:color="auto" w:fill="EFF6FF"/>
          </w:tcPr>
          <w:p w14:paraId="7CABA5CC" w14:textId="324F21C7" w:rsidR="00664626" w:rsidRPr="00274CD4" w:rsidRDefault="00664626" w:rsidP="00747881">
            <w:pPr>
              <w:pStyle w:val="Tabletext"/>
              <w:spacing w:before="40" w:after="120"/>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p>
        </w:tc>
      </w:tr>
      <w:tr w:rsidR="002447C9" w:rsidRPr="00274CD4" w14:paraId="19F041AD" w14:textId="77777777" w:rsidTr="00D31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FFFFFF" w:themeFill="background1"/>
          </w:tcPr>
          <w:p w14:paraId="2A422DD0" w14:textId="77777777" w:rsidR="00664626" w:rsidRPr="00274CD4" w:rsidRDefault="00664626" w:rsidP="00747881">
            <w:pPr>
              <w:pStyle w:val="Tabletext"/>
              <w:spacing w:before="120" w:after="120"/>
              <w:jc w:val="both"/>
              <w:rPr>
                <w:rFonts w:cs="Poppins"/>
                <w:color w:val="auto"/>
                <w:sz w:val="20"/>
                <w:szCs w:val="20"/>
              </w:rPr>
            </w:pPr>
            <w:r w:rsidRPr="00274CD4">
              <w:rPr>
                <w:rFonts w:cs="Poppins"/>
                <w:color w:val="auto"/>
                <w:sz w:val="20"/>
                <w:szCs w:val="20"/>
              </w:rPr>
              <w:t>Document Owner (Author)</w:t>
            </w:r>
          </w:p>
        </w:tc>
        <w:tc>
          <w:tcPr>
            <w:tcW w:w="4536" w:type="dxa"/>
            <w:shd w:val="clear" w:color="auto" w:fill="FFFFFF" w:themeFill="background1"/>
          </w:tcPr>
          <w:p w14:paraId="47E43C75" w14:textId="77777777" w:rsidR="00664626" w:rsidRPr="00274CD4" w:rsidRDefault="00664626" w:rsidP="00747881">
            <w:pPr>
              <w:pStyle w:val="Tabletext"/>
              <w:spacing w:before="120" w:after="120"/>
              <w:jc w:val="both"/>
              <w:cnfStyle w:val="000000100000" w:firstRow="0" w:lastRow="0" w:firstColumn="0" w:lastColumn="0" w:oddVBand="0" w:evenVBand="0" w:oddHBand="1" w:evenHBand="0" w:firstRowFirstColumn="0" w:firstRowLastColumn="0" w:lastRowFirstColumn="0" w:lastRowLastColumn="0"/>
              <w:rPr>
                <w:rFonts w:cs="Poppins"/>
                <w:b/>
                <w:bCs/>
                <w:color w:val="auto"/>
                <w:sz w:val="20"/>
                <w:szCs w:val="20"/>
              </w:rPr>
            </w:pPr>
            <w:r w:rsidRPr="00274CD4">
              <w:rPr>
                <w:rFonts w:cs="Poppins"/>
                <w:b/>
                <w:bCs/>
                <w:color w:val="auto"/>
                <w:sz w:val="20"/>
                <w:szCs w:val="20"/>
              </w:rPr>
              <w:t>Document Approval Manager (Tier 3)</w:t>
            </w:r>
          </w:p>
        </w:tc>
      </w:tr>
    </w:tbl>
    <w:p w14:paraId="31145647" w14:textId="77777777" w:rsidR="00664626" w:rsidRPr="00274CD4" w:rsidRDefault="00664626" w:rsidP="00747881">
      <w:pPr>
        <w:jc w:val="both"/>
        <w:rPr>
          <w:rFonts w:ascii="Poppins" w:hAnsi="Poppins" w:cs="Poppins"/>
          <w:sz w:val="20"/>
          <w:szCs w:val="20"/>
        </w:rPr>
      </w:pPr>
    </w:p>
    <w:p w14:paraId="743E9FC1" w14:textId="77777777" w:rsidR="00664626" w:rsidRPr="005A63E2" w:rsidRDefault="00664626" w:rsidP="005A63E2">
      <w:pPr>
        <w:pStyle w:val="Paragraphtext"/>
        <w:rPr>
          <w:rFonts w:ascii="Poppins" w:hAnsi="Poppins" w:cs="Poppins"/>
          <w:b/>
          <w:bCs/>
        </w:rPr>
      </w:pPr>
      <w:r w:rsidRPr="005A63E2">
        <w:rPr>
          <w:rFonts w:ascii="Poppins" w:hAnsi="Poppins" w:cs="Poppins"/>
          <w:b/>
          <w:bCs/>
        </w:rPr>
        <w:t>Document Revision History</w:t>
      </w:r>
    </w:p>
    <w:tbl>
      <w:tblPr>
        <w:tblStyle w:val="ListTable6Colorful-Accent6"/>
        <w:tblW w:w="9214" w:type="dxa"/>
        <w:tblLayout w:type="fixed"/>
        <w:tblCellMar>
          <w:top w:w="113" w:type="dxa"/>
          <w:bottom w:w="113" w:type="dxa"/>
        </w:tblCellMar>
        <w:tblLook w:val="04A0" w:firstRow="1" w:lastRow="0" w:firstColumn="1" w:lastColumn="0" w:noHBand="0" w:noVBand="1"/>
      </w:tblPr>
      <w:tblGrid>
        <w:gridCol w:w="1134"/>
        <w:gridCol w:w="1418"/>
        <w:gridCol w:w="2126"/>
        <w:gridCol w:w="2132"/>
        <w:gridCol w:w="2404"/>
      </w:tblGrid>
      <w:tr w:rsidR="002447C9" w:rsidRPr="00274CD4" w14:paraId="44AB7059" w14:textId="77777777" w:rsidTr="00BC7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183B7A3" w14:textId="77777777" w:rsidR="00664626" w:rsidRPr="00274CD4" w:rsidRDefault="00664626" w:rsidP="00747881">
            <w:pPr>
              <w:pStyle w:val="Tabletext"/>
              <w:jc w:val="both"/>
              <w:rPr>
                <w:rFonts w:cs="Poppins"/>
                <w:b/>
                <w:bCs w:val="0"/>
                <w:color w:val="auto"/>
                <w:sz w:val="20"/>
                <w:szCs w:val="20"/>
              </w:rPr>
            </w:pPr>
            <w:r w:rsidRPr="00274CD4">
              <w:rPr>
                <w:rFonts w:cs="Poppins"/>
                <w:b/>
                <w:bCs w:val="0"/>
                <w:color w:val="auto"/>
                <w:sz w:val="20"/>
                <w:szCs w:val="20"/>
              </w:rPr>
              <w:t>Version</w:t>
            </w:r>
          </w:p>
        </w:tc>
        <w:tc>
          <w:tcPr>
            <w:tcW w:w="1418" w:type="dxa"/>
          </w:tcPr>
          <w:p w14:paraId="552899E4" w14:textId="77777777" w:rsidR="00664626" w:rsidRPr="00274CD4" w:rsidRDefault="00664626" w:rsidP="00747881">
            <w:pPr>
              <w:pStyle w:val="Tabletext"/>
              <w:jc w:val="both"/>
              <w:cnfStyle w:val="100000000000" w:firstRow="1" w:lastRow="0" w:firstColumn="0" w:lastColumn="0" w:oddVBand="0" w:evenVBand="0" w:oddHBand="0" w:evenHBand="0" w:firstRowFirstColumn="0" w:firstRowLastColumn="0" w:lastRowFirstColumn="0" w:lastRowLastColumn="0"/>
              <w:rPr>
                <w:rFonts w:cs="Poppins"/>
                <w:b/>
                <w:bCs w:val="0"/>
                <w:color w:val="auto"/>
                <w:sz w:val="20"/>
                <w:szCs w:val="20"/>
              </w:rPr>
            </w:pPr>
            <w:r w:rsidRPr="00274CD4">
              <w:rPr>
                <w:rFonts w:cs="Poppins"/>
                <w:b/>
                <w:bCs w:val="0"/>
                <w:color w:val="auto"/>
                <w:sz w:val="20"/>
                <w:szCs w:val="20"/>
              </w:rPr>
              <w:t>Date</w:t>
            </w:r>
          </w:p>
        </w:tc>
        <w:tc>
          <w:tcPr>
            <w:tcW w:w="2126" w:type="dxa"/>
          </w:tcPr>
          <w:p w14:paraId="11A4AA14" w14:textId="77777777" w:rsidR="00664626" w:rsidRPr="00274CD4" w:rsidRDefault="00664626" w:rsidP="00747881">
            <w:pPr>
              <w:pStyle w:val="Tabletext"/>
              <w:jc w:val="both"/>
              <w:cnfStyle w:val="100000000000" w:firstRow="1" w:lastRow="0" w:firstColumn="0" w:lastColumn="0" w:oddVBand="0" w:evenVBand="0" w:oddHBand="0" w:evenHBand="0" w:firstRowFirstColumn="0" w:firstRowLastColumn="0" w:lastRowFirstColumn="0" w:lastRowLastColumn="0"/>
              <w:rPr>
                <w:rFonts w:cs="Poppins"/>
                <w:b/>
                <w:bCs w:val="0"/>
                <w:color w:val="auto"/>
                <w:sz w:val="20"/>
                <w:szCs w:val="20"/>
              </w:rPr>
            </w:pPr>
            <w:r w:rsidRPr="00274CD4">
              <w:rPr>
                <w:rFonts w:cs="Poppins"/>
                <w:b/>
                <w:bCs w:val="0"/>
                <w:color w:val="auto"/>
                <w:sz w:val="20"/>
                <w:szCs w:val="20"/>
              </w:rPr>
              <w:t>Revised By</w:t>
            </w:r>
          </w:p>
        </w:tc>
        <w:tc>
          <w:tcPr>
            <w:tcW w:w="2132" w:type="dxa"/>
          </w:tcPr>
          <w:p w14:paraId="751D8A78" w14:textId="77777777" w:rsidR="00664626" w:rsidRPr="00274CD4" w:rsidRDefault="00664626" w:rsidP="00747881">
            <w:pPr>
              <w:pStyle w:val="Tabletext"/>
              <w:jc w:val="both"/>
              <w:cnfStyle w:val="100000000000" w:firstRow="1" w:lastRow="0" w:firstColumn="0" w:lastColumn="0" w:oddVBand="0" w:evenVBand="0" w:oddHBand="0" w:evenHBand="0" w:firstRowFirstColumn="0" w:firstRowLastColumn="0" w:lastRowFirstColumn="0" w:lastRowLastColumn="0"/>
              <w:rPr>
                <w:rFonts w:cs="Poppins"/>
                <w:b/>
                <w:bCs w:val="0"/>
                <w:color w:val="auto"/>
                <w:sz w:val="20"/>
                <w:szCs w:val="20"/>
              </w:rPr>
            </w:pPr>
            <w:r w:rsidRPr="00274CD4">
              <w:rPr>
                <w:rFonts w:cs="Poppins"/>
                <w:b/>
                <w:bCs w:val="0"/>
                <w:color w:val="auto"/>
                <w:sz w:val="20"/>
                <w:szCs w:val="20"/>
              </w:rPr>
              <w:t>Reviewed By</w:t>
            </w:r>
          </w:p>
        </w:tc>
        <w:tc>
          <w:tcPr>
            <w:tcW w:w="2404" w:type="dxa"/>
          </w:tcPr>
          <w:p w14:paraId="09560932" w14:textId="77777777" w:rsidR="00664626" w:rsidRPr="00274CD4" w:rsidRDefault="00664626" w:rsidP="00747881">
            <w:pPr>
              <w:pStyle w:val="Tabletext"/>
              <w:jc w:val="both"/>
              <w:cnfStyle w:val="100000000000" w:firstRow="1" w:lastRow="0" w:firstColumn="0" w:lastColumn="0" w:oddVBand="0" w:evenVBand="0" w:oddHBand="0" w:evenHBand="0" w:firstRowFirstColumn="0" w:firstRowLastColumn="0" w:lastRowFirstColumn="0" w:lastRowLastColumn="0"/>
              <w:rPr>
                <w:rFonts w:cs="Poppins"/>
                <w:b/>
                <w:bCs w:val="0"/>
                <w:color w:val="auto"/>
                <w:sz w:val="20"/>
                <w:szCs w:val="20"/>
              </w:rPr>
            </w:pPr>
            <w:r w:rsidRPr="00274CD4">
              <w:rPr>
                <w:rFonts w:cs="Poppins"/>
                <w:b/>
                <w:bCs w:val="0"/>
                <w:color w:val="auto"/>
                <w:sz w:val="20"/>
                <w:szCs w:val="20"/>
              </w:rPr>
              <w:t>Amendment Details</w:t>
            </w:r>
          </w:p>
        </w:tc>
      </w:tr>
      <w:tr w:rsidR="002447C9" w:rsidRPr="00274CD4" w14:paraId="523E570F" w14:textId="77777777" w:rsidTr="00BC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001CE1E" w14:textId="77777777" w:rsidR="00664626" w:rsidRPr="00274CD4" w:rsidRDefault="00664626" w:rsidP="00747881">
            <w:pPr>
              <w:pStyle w:val="Tabletext"/>
              <w:jc w:val="both"/>
              <w:rPr>
                <w:rFonts w:cs="Poppins"/>
                <w:color w:val="auto"/>
                <w:sz w:val="20"/>
                <w:szCs w:val="20"/>
              </w:rPr>
            </w:pPr>
            <w:r w:rsidRPr="00274CD4">
              <w:rPr>
                <w:rFonts w:cs="Poppins"/>
                <w:color w:val="auto"/>
                <w:sz w:val="20"/>
                <w:szCs w:val="20"/>
              </w:rPr>
              <w:t>1</w:t>
            </w:r>
          </w:p>
        </w:tc>
        <w:tc>
          <w:tcPr>
            <w:tcW w:w="1418" w:type="dxa"/>
          </w:tcPr>
          <w:p w14:paraId="604D08D2" w14:textId="163F0187" w:rsidR="00664626" w:rsidRPr="00274CD4" w:rsidRDefault="00693325"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Pr>
                <w:rFonts w:cs="Poppins"/>
                <w:color w:val="auto"/>
                <w:sz w:val="20"/>
                <w:szCs w:val="20"/>
              </w:rPr>
              <w:t>2</w:t>
            </w:r>
            <w:r w:rsidR="007805D4">
              <w:rPr>
                <w:rFonts w:cs="Poppins"/>
                <w:color w:val="auto"/>
                <w:sz w:val="20"/>
                <w:szCs w:val="20"/>
              </w:rPr>
              <w:t>4</w:t>
            </w:r>
            <w:r w:rsidR="00664626" w:rsidRPr="00274CD4">
              <w:rPr>
                <w:rFonts w:cs="Poppins"/>
                <w:color w:val="auto"/>
                <w:sz w:val="20"/>
                <w:szCs w:val="20"/>
              </w:rPr>
              <w:t>/</w:t>
            </w:r>
            <w:r>
              <w:rPr>
                <w:rFonts w:cs="Poppins"/>
                <w:color w:val="auto"/>
                <w:sz w:val="20"/>
                <w:szCs w:val="20"/>
              </w:rPr>
              <w:t>1</w:t>
            </w:r>
            <w:r w:rsidR="00664626" w:rsidRPr="00274CD4">
              <w:rPr>
                <w:rFonts w:cs="Poppins"/>
                <w:color w:val="auto"/>
                <w:sz w:val="20"/>
                <w:szCs w:val="20"/>
              </w:rPr>
              <w:t>/202</w:t>
            </w:r>
            <w:r w:rsidR="007805D4">
              <w:rPr>
                <w:rFonts w:cs="Poppins"/>
                <w:color w:val="auto"/>
                <w:sz w:val="20"/>
                <w:szCs w:val="20"/>
              </w:rPr>
              <w:t>4</w:t>
            </w:r>
          </w:p>
        </w:tc>
        <w:tc>
          <w:tcPr>
            <w:tcW w:w="2126" w:type="dxa"/>
          </w:tcPr>
          <w:p w14:paraId="69E3BCDF" w14:textId="77777777" w:rsidR="00693325" w:rsidRPr="00C53B22" w:rsidRDefault="00693325"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sidRPr="00C53B22">
              <w:rPr>
                <w:rFonts w:cs="Poppins"/>
                <w:color w:val="auto"/>
                <w:sz w:val="20"/>
                <w:szCs w:val="20"/>
              </w:rPr>
              <w:t>David</w:t>
            </w:r>
          </w:p>
          <w:p w14:paraId="06585BC7" w14:textId="10684D40" w:rsidR="00664626" w:rsidRPr="00C53B22" w:rsidRDefault="00693325"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sidRPr="00C53B22">
              <w:rPr>
                <w:rFonts w:cs="Poppins"/>
                <w:color w:val="auto"/>
                <w:sz w:val="20"/>
                <w:szCs w:val="20"/>
              </w:rPr>
              <w:t>Shaw</w:t>
            </w:r>
          </w:p>
        </w:tc>
        <w:tc>
          <w:tcPr>
            <w:tcW w:w="2132" w:type="dxa"/>
          </w:tcPr>
          <w:p w14:paraId="2FBA2333" w14:textId="2590C8BA" w:rsidR="00693325" w:rsidRPr="00C53B22" w:rsidRDefault="00693325"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sidRPr="00C53B22">
              <w:rPr>
                <w:rFonts w:cs="Poppins"/>
                <w:color w:val="auto"/>
                <w:sz w:val="20"/>
                <w:szCs w:val="20"/>
              </w:rPr>
              <w:t>Hazel</w:t>
            </w:r>
          </w:p>
          <w:p w14:paraId="06C58975" w14:textId="1A796AFB" w:rsidR="00664626" w:rsidRPr="00C53B22" w:rsidRDefault="00693325"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sidRPr="00C53B22">
              <w:rPr>
                <w:rFonts w:cs="Poppins"/>
                <w:color w:val="auto"/>
                <w:sz w:val="20"/>
                <w:szCs w:val="20"/>
              </w:rPr>
              <w:t>Morgan</w:t>
            </w:r>
          </w:p>
        </w:tc>
        <w:tc>
          <w:tcPr>
            <w:tcW w:w="2404" w:type="dxa"/>
          </w:tcPr>
          <w:p w14:paraId="63370EC4" w14:textId="77777777" w:rsidR="00664626" w:rsidRPr="00274CD4" w:rsidRDefault="00664626"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sidRPr="00274CD4">
              <w:rPr>
                <w:rFonts w:cs="Poppins"/>
                <w:color w:val="auto"/>
                <w:sz w:val="20"/>
                <w:szCs w:val="20"/>
              </w:rPr>
              <w:t>New document</w:t>
            </w:r>
          </w:p>
        </w:tc>
      </w:tr>
      <w:tr w:rsidR="002447C9" w:rsidRPr="00274CD4" w14:paraId="1A8500D9" w14:textId="77777777" w:rsidTr="00BC7472">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tcPr>
          <w:p w14:paraId="3C9EBCD5" w14:textId="77777777" w:rsidR="00664626" w:rsidRPr="00274CD4" w:rsidRDefault="00664626" w:rsidP="00747881">
            <w:pPr>
              <w:pStyle w:val="Tabletext"/>
              <w:jc w:val="both"/>
              <w:rPr>
                <w:rFonts w:cs="Poppins"/>
                <w:color w:val="auto"/>
                <w:sz w:val="20"/>
                <w:szCs w:val="20"/>
              </w:rPr>
            </w:pPr>
            <w:r w:rsidRPr="00274CD4">
              <w:rPr>
                <w:rFonts w:cs="Poppins"/>
                <w:color w:val="auto"/>
                <w:sz w:val="20"/>
                <w:szCs w:val="20"/>
              </w:rPr>
              <w:t>2</w:t>
            </w:r>
          </w:p>
        </w:tc>
        <w:tc>
          <w:tcPr>
            <w:tcW w:w="1418" w:type="dxa"/>
            <w:shd w:val="clear" w:color="auto" w:fill="FFFFFF" w:themeFill="background1"/>
          </w:tcPr>
          <w:p w14:paraId="30BEFDD0" w14:textId="77777777" w:rsidR="00664626" w:rsidRPr="00274CD4" w:rsidRDefault="00664626" w:rsidP="00747881">
            <w:pPr>
              <w:pStyle w:val="Tabletext"/>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p>
        </w:tc>
        <w:tc>
          <w:tcPr>
            <w:tcW w:w="2126" w:type="dxa"/>
            <w:shd w:val="clear" w:color="auto" w:fill="FFFFFF" w:themeFill="background1"/>
          </w:tcPr>
          <w:p w14:paraId="2A1BE483" w14:textId="77777777" w:rsidR="00664626" w:rsidRPr="00274CD4" w:rsidRDefault="00664626" w:rsidP="00747881">
            <w:pPr>
              <w:pStyle w:val="Tabletext"/>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p>
        </w:tc>
        <w:tc>
          <w:tcPr>
            <w:tcW w:w="2132" w:type="dxa"/>
            <w:shd w:val="clear" w:color="auto" w:fill="FFFFFF" w:themeFill="background1"/>
          </w:tcPr>
          <w:p w14:paraId="0B1A482A" w14:textId="77777777" w:rsidR="00664626" w:rsidRPr="00274CD4" w:rsidRDefault="00664626" w:rsidP="00747881">
            <w:pPr>
              <w:pStyle w:val="Tabletext"/>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p>
        </w:tc>
        <w:tc>
          <w:tcPr>
            <w:tcW w:w="2404" w:type="dxa"/>
            <w:shd w:val="clear" w:color="auto" w:fill="FFFFFF" w:themeFill="background1"/>
          </w:tcPr>
          <w:p w14:paraId="0A4F2D2E" w14:textId="77777777" w:rsidR="00664626" w:rsidRPr="00274CD4" w:rsidRDefault="00664626" w:rsidP="00747881">
            <w:pPr>
              <w:pStyle w:val="Tabletext"/>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p>
        </w:tc>
      </w:tr>
      <w:tr w:rsidR="002447C9" w:rsidRPr="00274CD4" w14:paraId="5744D66F" w14:textId="77777777" w:rsidTr="00BC7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B7E5514" w14:textId="77777777" w:rsidR="00664626" w:rsidRPr="00274CD4" w:rsidRDefault="00664626" w:rsidP="00747881">
            <w:pPr>
              <w:pStyle w:val="Tabletext"/>
              <w:jc w:val="both"/>
              <w:rPr>
                <w:rFonts w:cs="Poppins"/>
                <w:color w:val="auto"/>
                <w:sz w:val="20"/>
                <w:szCs w:val="20"/>
              </w:rPr>
            </w:pPr>
            <w:r w:rsidRPr="00274CD4">
              <w:rPr>
                <w:rFonts w:cs="Poppins"/>
                <w:color w:val="auto"/>
                <w:sz w:val="20"/>
                <w:szCs w:val="20"/>
              </w:rPr>
              <w:t>3</w:t>
            </w:r>
          </w:p>
        </w:tc>
        <w:tc>
          <w:tcPr>
            <w:tcW w:w="1418" w:type="dxa"/>
          </w:tcPr>
          <w:p w14:paraId="3892CEB6" w14:textId="77777777" w:rsidR="00664626" w:rsidRPr="00274CD4" w:rsidRDefault="00664626"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p>
        </w:tc>
        <w:tc>
          <w:tcPr>
            <w:tcW w:w="2126" w:type="dxa"/>
          </w:tcPr>
          <w:p w14:paraId="7310EC10" w14:textId="77777777" w:rsidR="00664626" w:rsidRPr="00274CD4" w:rsidRDefault="00664626"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p>
        </w:tc>
        <w:tc>
          <w:tcPr>
            <w:tcW w:w="2132" w:type="dxa"/>
          </w:tcPr>
          <w:p w14:paraId="6B3D1ABF" w14:textId="77777777" w:rsidR="00664626" w:rsidRPr="00274CD4" w:rsidRDefault="00664626"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p>
        </w:tc>
        <w:tc>
          <w:tcPr>
            <w:tcW w:w="2404" w:type="dxa"/>
          </w:tcPr>
          <w:p w14:paraId="2237F1D2" w14:textId="77777777" w:rsidR="00664626" w:rsidRPr="00274CD4" w:rsidRDefault="00664626"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p>
        </w:tc>
      </w:tr>
    </w:tbl>
    <w:p w14:paraId="0A36CB7C" w14:textId="12CBE918" w:rsidR="005919ED" w:rsidRPr="00274CD4" w:rsidRDefault="005919ED" w:rsidP="00747881">
      <w:pPr>
        <w:jc w:val="both"/>
        <w:rPr>
          <w:rFonts w:ascii="Poppins" w:hAnsi="Poppins" w:cs="Poppins"/>
          <w:sz w:val="20"/>
          <w:szCs w:val="20"/>
        </w:rPr>
      </w:pPr>
    </w:p>
    <w:p w14:paraId="09D2DD2E" w14:textId="53546FFC" w:rsidR="005919ED" w:rsidRPr="00274CD4" w:rsidRDefault="00E4432C" w:rsidP="00747881">
      <w:pPr>
        <w:jc w:val="both"/>
        <w:rPr>
          <w:rFonts w:ascii="Poppins" w:hAnsi="Poppins" w:cs="Poppins"/>
          <w:sz w:val="20"/>
          <w:szCs w:val="20"/>
        </w:rPr>
      </w:pPr>
      <w:r w:rsidRPr="00274CD4">
        <w:rPr>
          <w:rFonts w:ascii="Poppins" w:hAnsi="Poppins" w:cs="Poppins"/>
          <w:noProof/>
          <w:sz w:val="20"/>
          <w:szCs w:val="20"/>
        </w:rPr>
        <mc:AlternateContent>
          <mc:Choice Requires="wps">
            <w:drawing>
              <wp:anchor distT="0" distB="0" distL="114300" distR="114300" simplePos="0" relativeHeight="251657216" behindDoc="0" locked="0" layoutInCell="1" allowOverlap="1" wp14:anchorId="12F8A031" wp14:editId="78BDF87B">
                <wp:simplePos x="0" y="0"/>
                <wp:positionH relativeFrom="margin">
                  <wp:align>left</wp:align>
                </wp:positionH>
                <wp:positionV relativeFrom="page">
                  <wp:posOffset>7476545</wp:posOffset>
                </wp:positionV>
                <wp:extent cx="5794624" cy="956931"/>
                <wp:effectExtent l="0" t="0" r="15875" b="15240"/>
                <wp:wrapNone/>
                <wp:docPr id="2" name="Text Box 2"/>
                <wp:cNvGraphicFramePr/>
                <a:graphic xmlns:a="http://schemas.openxmlformats.org/drawingml/2006/main">
                  <a:graphicData uri="http://schemas.microsoft.com/office/word/2010/wordprocessingShape">
                    <wps:wsp>
                      <wps:cNvSpPr txBox="1"/>
                      <wps:spPr>
                        <a:xfrm>
                          <a:off x="0" y="0"/>
                          <a:ext cx="5794624" cy="956931"/>
                        </a:xfrm>
                        <a:prstGeom prst="rect">
                          <a:avLst/>
                        </a:prstGeom>
                        <a:solidFill>
                          <a:schemeClr val="bg1"/>
                        </a:solidFill>
                        <a:ln w="6350">
                          <a:solidFill>
                            <a:schemeClr val="tx2"/>
                          </a:solidFill>
                        </a:ln>
                      </wps:spPr>
                      <wps:txbx>
                        <w:txbxContent>
                          <w:p w14:paraId="2657751E" w14:textId="77777777" w:rsidR="00664626" w:rsidRDefault="00664626" w:rsidP="00664626">
                            <w:pPr>
                              <w:pStyle w:val="Heading4"/>
                            </w:pPr>
                            <w:r>
                              <w:t>Business areas affected by this document</w:t>
                            </w:r>
                          </w:p>
                          <w:p w14:paraId="0434C237" w14:textId="5D250C55" w:rsidR="00664626" w:rsidRPr="009B38D6" w:rsidRDefault="00664626" w:rsidP="00664626">
                            <w:pPr>
                              <w:spacing w:afterLines="60" w:after="144"/>
                            </w:pPr>
                            <w:r>
                              <w:t xml:space="preserve">This applies to colleagues that are operating </w:t>
                            </w:r>
                            <w:r w:rsidR="00C53B22">
                              <w:t xml:space="preserve">or managing Woodhouse Mill </w:t>
                            </w:r>
                            <w:r>
                              <w:t>STF</w:t>
                            </w:r>
                            <w:r w:rsidR="00C53B22">
                              <w: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8A031" id="Text Box 2" o:spid="_x0000_s1027" type="#_x0000_t202" style="position:absolute;left:0;text-align:left;margin-left:0;margin-top:588.7pt;width:456.25pt;height:75.3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" fillcolor="white [3212]" strokecolor="#44546a [3215]" strokeweight=".5pt">
                <v:textbox inset="2.5mm,2.5mm,2.5mm,2.5mm">
                  <w:txbxContent>
                    <w:p w14:paraId="2657751E" w14:textId="77777777" w:rsidR="00664626" w:rsidRDefault="00664626" w:rsidP="00664626">
                      <w:pPr>
                        <w:pStyle w:val="Heading4"/>
                      </w:pPr>
                      <w:r>
                        <w:t>Business areas affected by this document</w:t>
                      </w:r>
                    </w:p>
                    <w:p w14:paraId="0434C237" w14:textId="5D250C55" w:rsidR="00664626" w:rsidRPr="009B38D6" w:rsidRDefault="00664626" w:rsidP="00664626">
                      <w:pPr>
                        <w:spacing w:afterLines="60" w:after="144"/>
                      </w:pPr>
                      <w:r>
                        <w:t xml:space="preserve">This applies to colleagues that are operating </w:t>
                      </w:r>
                      <w:r w:rsidR="00C53B22">
                        <w:t xml:space="preserve">or managing Woodhouse Mill </w:t>
                      </w:r>
                      <w:r>
                        <w:t>STF</w:t>
                      </w:r>
                      <w:r w:rsidR="00C53B22">
                        <w:t>.</w:t>
                      </w:r>
                    </w:p>
                  </w:txbxContent>
                </v:textbox>
                <w10:wrap anchorx="margin" anchory="page"/>
              </v:shape>
            </w:pict>
          </mc:Fallback>
        </mc:AlternateContent>
      </w:r>
      <w:r w:rsidR="005919ED" w:rsidRPr="00274CD4">
        <w:rPr>
          <w:rFonts w:ascii="Poppins" w:hAnsi="Poppins" w:cs="Poppins"/>
          <w:sz w:val="20"/>
          <w:szCs w:val="20"/>
        </w:rPr>
        <w:br w:type="page"/>
      </w:r>
    </w:p>
    <w:p w14:paraId="03FFF157" w14:textId="77777777" w:rsidR="007F2BBD" w:rsidRPr="00274CD4" w:rsidRDefault="007F2BBD" w:rsidP="00747881">
      <w:pPr>
        <w:pStyle w:val="Heading1"/>
        <w:numPr>
          <w:ilvl w:val="0"/>
          <w:numId w:val="5"/>
        </w:numPr>
        <w:ind w:left="0" w:firstLine="0"/>
        <w:jc w:val="both"/>
        <w:rPr>
          <w:sz w:val="20"/>
          <w:szCs w:val="20"/>
        </w:rPr>
      </w:pPr>
      <w:bookmarkStart w:id="0" w:name="_Toc85117562"/>
      <w:r w:rsidRPr="00274CD4">
        <w:rPr>
          <w:sz w:val="20"/>
          <w:szCs w:val="20"/>
        </w:rPr>
        <w:lastRenderedPageBreak/>
        <w:t>Introduction</w:t>
      </w:r>
      <w:bookmarkEnd w:id="0"/>
    </w:p>
    <w:p w14:paraId="39ABDA5B" w14:textId="77777777" w:rsidR="000243C3" w:rsidRDefault="000243C3" w:rsidP="00565DFA">
      <w:pPr>
        <w:pStyle w:val="NormalWeb"/>
        <w:shd w:val="clear" w:color="auto" w:fill="FFFFFF"/>
        <w:spacing w:before="0" w:beforeAutospacing="0" w:after="160" w:afterAutospacing="0" w:line="259" w:lineRule="auto"/>
        <w:rPr>
          <w:rFonts w:ascii="Poppins" w:eastAsiaTheme="minorHAnsi" w:hAnsi="Poppins" w:cs="Poppins"/>
          <w:sz w:val="20"/>
          <w:szCs w:val="20"/>
          <w:lang w:eastAsia="en-US"/>
        </w:rPr>
      </w:pPr>
      <w:r>
        <w:rPr>
          <w:rFonts w:ascii="Poppins" w:eastAsiaTheme="minorHAnsi" w:hAnsi="Poppins" w:cs="Poppins"/>
          <w:sz w:val="20"/>
          <w:szCs w:val="20"/>
          <w:lang w:eastAsia="en-US"/>
        </w:rPr>
        <w:t xml:space="preserve">In accordance with the Environmental Permit for Woodhouse Mill Sludge Treatment Facility (STF) (permit reference: </w:t>
      </w:r>
      <w:r w:rsidRPr="000243C3">
        <w:rPr>
          <w:rFonts w:ascii="Poppins" w:eastAsiaTheme="minorHAnsi" w:hAnsi="Poppins" w:cs="Poppins"/>
          <w:sz w:val="20"/>
          <w:szCs w:val="20"/>
          <w:lang w:eastAsia="en-US"/>
        </w:rPr>
        <w:t>EPR/DP3092ZJ</w:t>
      </w:r>
      <w:r>
        <w:rPr>
          <w:rFonts w:ascii="Poppins" w:eastAsiaTheme="minorHAnsi" w:hAnsi="Poppins" w:cs="Poppins"/>
          <w:sz w:val="20"/>
          <w:szCs w:val="20"/>
          <w:lang w:eastAsia="en-US"/>
        </w:rPr>
        <w:t>), this document presents the Accident Management Plan for the permitted facility.</w:t>
      </w:r>
      <w:r w:rsidRPr="000243C3">
        <w:rPr>
          <w:rFonts w:ascii="Poppins" w:eastAsiaTheme="minorHAnsi" w:hAnsi="Poppins" w:cs="Poppins"/>
          <w:sz w:val="20"/>
          <w:szCs w:val="20"/>
          <w:lang w:eastAsia="en-US"/>
        </w:rPr>
        <w:t xml:space="preserve"> </w:t>
      </w:r>
    </w:p>
    <w:p w14:paraId="531432F8" w14:textId="7CA19791" w:rsidR="000243C3" w:rsidRPr="000243C3" w:rsidRDefault="000243C3" w:rsidP="00565DFA">
      <w:pPr>
        <w:pStyle w:val="NormalWeb"/>
        <w:shd w:val="clear" w:color="auto" w:fill="FFFFFF"/>
        <w:spacing w:before="0" w:beforeAutospacing="0" w:after="160" w:afterAutospacing="0" w:line="259" w:lineRule="auto"/>
        <w:rPr>
          <w:rFonts w:ascii="Poppins" w:eastAsiaTheme="minorHAnsi" w:hAnsi="Poppins" w:cs="Poppins"/>
          <w:sz w:val="20"/>
          <w:szCs w:val="20"/>
          <w:lang w:eastAsia="en-US"/>
        </w:rPr>
      </w:pPr>
      <w:r>
        <w:rPr>
          <w:rFonts w:ascii="Poppins" w:eastAsiaTheme="minorHAnsi" w:hAnsi="Poppins" w:cs="Poppins"/>
          <w:sz w:val="20"/>
          <w:szCs w:val="20"/>
          <w:lang w:eastAsia="en-US"/>
        </w:rPr>
        <w:t>This</w:t>
      </w:r>
      <w:r w:rsidRPr="000243C3">
        <w:rPr>
          <w:rFonts w:ascii="Poppins" w:eastAsiaTheme="minorHAnsi" w:hAnsi="Poppins" w:cs="Poppins"/>
          <w:sz w:val="20"/>
          <w:szCs w:val="20"/>
          <w:lang w:eastAsia="en-US"/>
        </w:rPr>
        <w:t xml:space="preserve"> plan</w:t>
      </w:r>
      <w:r>
        <w:rPr>
          <w:rFonts w:ascii="Poppins" w:eastAsiaTheme="minorHAnsi" w:hAnsi="Poppins" w:cs="Poppins"/>
          <w:sz w:val="20"/>
          <w:szCs w:val="20"/>
          <w:lang w:eastAsia="en-US"/>
        </w:rPr>
        <w:t xml:space="preserve"> </w:t>
      </w:r>
      <w:r w:rsidR="002C2409">
        <w:rPr>
          <w:rFonts w:ascii="Poppins" w:eastAsiaTheme="minorHAnsi" w:hAnsi="Poppins" w:cs="Poppins"/>
          <w:sz w:val="20"/>
          <w:szCs w:val="20"/>
          <w:lang w:eastAsia="en-US"/>
        </w:rPr>
        <w:t>is established to identify</w:t>
      </w:r>
      <w:r w:rsidR="00565DFA">
        <w:rPr>
          <w:rFonts w:ascii="Poppins" w:eastAsiaTheme="minorHAnsi" w:hAnsi="Poppins" w:cs="Poppins"/>
          <w:sz w:val="20"/>
          <w:szCs w:val="20"/>
          <w:lang w:eastAsia="en-US"/>
        </w:rPr>
        <w:t>, evaluate</w:t>
      </w:r>
      <w:r w:rsidR="002C2409">
        <w:rPr>
          <w:rFonts w:ascii="Poppins" w:eastAsiaTheme="minorHAnsi" w:hAnsi="Poppins" w:cs="Poppins"/>
          <w:sz w:val="20"/>
          <w:szCs w:val="20"/>
          <w:lang w:eastAsia="en-US"/>
        </w:rPr>
        <w:t xml:space="preserve"> and prepare for potential</w:t>
      </w:r>
      <w:r w:rsidRPr="000243C3">
        <w:rPr>
          <w:rFonts w:ascii="Poppins" w:eastAsiaTheme="minorHAnsi" w:hAnsi="Poppins" w:cs="Poppins"/>
          <w:sz w:val="20"/>
          <w:szCs w:val="20"/>
          <w:lang w:eastAsia="en-US"/>
        </w:rPr>
        <w:t xml:space="preserve"> incidents or events that could result in:</w:t>
      </w:r>
    </w:p>
    <w:p w14:paraId="48F4247E" w14:textId="651EF09B" w:rsidR="000243C3" w:rsidRPr="000243C3" w:rsidRDefault="000243C3" w:rsidP="00565DFA">
      <w:pPr>
        <w:numPr>
          <w:ilvl w:val="0"/>
          <w:numId w:val="30"/>
        </w:numPr>
        <w:shd w:val="clear" w:color="auto" w:fill="FFFFFF"/>
        <w:ind w:left="1020"/>
        <w:rPr>
          <w:rFonts w:ascii="Poppins" w:hAnsi="Poppins" w:cs="Poppins"/>
          <w:sz w:val="20"/>
          <w:szCs w:val="20"/>
        </w:rPr>
      </w:pPr>
      <w:r w:rsidRPr="000243C3">
        <w:rPr>
          <w:rFonts w:ascii="Poppins" w:hAnsi="Poppins" w:cs="Poppins"/>
          <w:sz w:val="20"/>
          <w:szCs w:val="20"/>
        </w:rPr>
        <w:t>Pollution</w:t>
      </w:r>
      <w:r>
        <w:rPr>
          <w:rFonts w:ascii="Poppins" w:hAnsi="Poppins" w:cs="Poppins"/>
          <w:sz w:val="20"/>
          <w:szCs w:val="20"/>
        </w:rPr>
        <w:t>; and / or</w:t>
      </w:r>
    </w:p>
    <w:p w14:paraId="5928CBCA" w14:textId="04425CBC" w:rsidR="000243C3" w:rsidRPr="000243C3" w:rsidRDefault="000243C3" w:rsidP="00565DFA">
      <w:pPr>
        <w:numPr>
          <w:ilvl w:val="0"/>
          <w:numId w:val="30"/>
        </w:numPr>
        <w:shd w:val="clear" w:color="auto" w:fill="FFFFFF"/>
        <w:ind w:left="1020"/>
        <w:rPr>
          <w:rFonts w:ascii="Poppins" w:hAnsi="Poppins" w:cs="Poppins"/>
          <w:sz w:val="20"/>
          <w:szCs w:val="20"/>
        </w:rPr>
      </w:pPr>
      <w:r w:rsidRPr="000243C3">
        <w:rPr>
          <w:rFonts w:ascii="Poppins" w:hAnsi="Poppins" w:cs="Poppins"/>
          <w:sz w:val="20"/>
          <w:szCs w:val="20"/>
        </w:rPr>
        <w:t>not being able to comply with permit</w:t>
      </w:r>
      <w:r>
        <w:rPr>
          <w:rFonts w:ascii="Poppins" w:hAnsi="Poppins" w:cs="Poppins"/>
          <w:sz w:val="20"/>
          <w:szCs w:val="20"/>
        </w:rPr>
        <w:t xml:space="preserve"> conditions.</w:t>
      </w:r>
    </w:p>
    <w:p w14:paraId="10C622A3" w14:textId="02E42AB7" w:rsidR="00C57F90" w:rsidRPr="002C2409" w:rsidRDefault="00C57F90" w:rsidP="00565DFA">
      <w:pPr>
        <w:rPr>
          <w:rFonts w:ascii="Poppins" w:hAnsi="Poppins" w:cs="Poppins"/>
          <w:sz w:val="20"/>
          <w:szCs w:val="20"/>
        </w:rPr>
      </w:pPr>
      <w:r w:rsidRPr="002C2409">
        <w:rPr>
          <w:rFonts w:ascii="Poppins" w:hAnsi="Poppins" w:cs="Poppins"/>
          <w:sz w:val="20"/>
          <w:szCs w:val="20"/>
        </w:rPr>
        <w:t xml:space="preserve">This plan for accident prevention and management follows relevant </w:t>
      </w:r>
      <w:r w:rsidR="002C2409" w:rsidRPr="002C2409">
        <w:rPr>
          <w:rFonts w:ascii="Poppins" w:hAnsi="Poppins" w:cs="Poppins"/>
          <w:sz w:val="20"/>
          <w:szCs w:val="20"/>
        </w:rPr>
        <w:t xml:space="preserve">Environment Agency </w:t>
      </w:r>
      <w:r w:rsidRPr="002C2409">
        <w:rPr>
          <w:rFonts w:ascii="Poppins" w:hAnsi="Poppins" w:cs="Poppins"/>
          <w:sz w:val="20"/>
          <w:szCs w:val="20"/>
        </w:rPr>
        <w:t xml:space="preserve">guidance and includes the following sections: </w:t>
      </w:r>
    </w:p>
    <w:p w14:paraId="0549C967" w14:textId="32EB2088" w:rsidR="005A63E2" w:rsidRDefault="005A63E2" w:rsidP="00565DFA">
      <w:pPr>
        <w:pStyle w:val="ListParagraph"/>
        <w:numPr>
          <w:ilvl w:val="0"/>
          <w:numId w:val="33"/>
        </w:numPr>
        <w:spacing w:after="160" w:line="259" w:lineRule="auto"/>
        <w:rPr>
          <w:rFonts w:cs="Poppins"/>
          <w:sz w:val="20"/>
          <w:szCs w:val="20"/>
        </w:rPr>
      </w:pPr>
      <w:r>
        <w:rPr>
          <w:rFonts w:cs="Poppins"/>
          <w:sz w:val="20"/>
          <w:szCs w:val="20"/>
        </w:rPr>
        <w:t>Overview of management controls (Section 2)</w:t>
      </w:r>
    </w:p>
    <w:p w14:paraId="337F5F47" w14:textId="51A6256B" w:rsidR="002C2409" w:rsidRDefault="002C2409" w:rsidP="00565DFA">
      <w:pPr>
        <w:pStyle w:val="ListParagraph"/>
        <w:numPr>
          <w:ilvl w:val="0"/>
          <w:numId w:val="33"/>
        </w:numPr>
        <w:spacing w:after="160" w:line="259" w:lineRule="auto"/>
        <w:rPr>
          <w:rFonts w:cs="Poppins"/>
          <w:sz w:val="20"/>
          <w:szCs w:val="20"/>
        </w:rPr>
      </w:pPr>
      <w:r w:rsidRPr="002C2409">
        <w:rPr>
          <w:rFonts w:cs="Poppins"/>
          <w:sz w:val="20"/>
          <w:szCs w:val="20"/>
        </w:rPr>
        <w:t>Identification of relevant sensitive receptors</w:t>
      </w:r>
      <w:r w:rsidR="00C57F90" w:rsidRPr="002C2409">
        <w:rPr>
          <w:rFonts w:cs="Poppins"/>
          <w:sz w:val="20"/>
          <w:szCs w:val="20"/>
        </w:rPr>
        <w:t xml:space="preserve"> (Section </w:t>
      </w:r>
      <w:r w:rsidR="005A63E2">
        <w:rPr>
          <w:rFonts w:cs="Poppins"/>
          <w:sz w:val="20"/>
          <w:szCs w:val="20"/>
        </w:rPr>
        <w:t>3</w:t>
      </w:r>
      <w:r w:rsidR="00C57F90" w:rsidRPr="002C2409">
        <w:rPr>
          <w:rFonts w:cs="Poppins"/>
          <w:sz w:val="20"/>
          <w:szCs w:val="20"/>
        </w:rPr>
        <w:t>)</w:t>
      </w:r>
      <w:r w:rsidR="00533FFE">
        <w:rPr>
          <w:rFonts w:cs="Poppins"/>
          <w:sz w:val="20"/>
          <w:szCs w:val="20"/>
        </w:rPr>
        <w:t>.</w:t>
      </w:r>
    </w:p>
    <w:p w14:paraId="6450A323" w14:textId="1E5525FD" w:rsidR="002C2409" w:rsidRDefault="002C2409" w:rsidP="00565DFA">
      <w:pPr>
        <w:pStyle w:val="ListParagraph"/>
        <w:numPr>
          <w:ilvl w:val="0"/>
          <w:numId w:val="33"/>
        </w:numPr>
        <w:spacing w:after="160" w:line="259" w:lineRule="auto"/>
        <w:rPr>
          <w:rFonts w:cs="Poppins"/>
          <w:sz w:val="20"/>
          <w:szCs w:val="20"/>
        </w:rPr>
      </w:pPr>
      <w:r w:rsidRPr="002C2409">
        <w:rPr>
          <w:rFonts w:cs="Poppins"/>
          <w:sz w:val="20"/>
          <w:szCs w:val="20"/>
        </w:rPr>
        <w:t xml:space="preserve">Identification of </w:t>
      </w:r>
      <w:r w:rsidR="00C57F90" w:rsidRPr="002C2409">
        <w:rPr>
          <w:rFonts w:cs="Poppins"/>
          <w:sz w:val="20"/>
          <w:szCs w:val="20"/>
        </w:rPr>
        <w:t xml:space="preserve">potentially polluting substances </w:t>
      </w:r>
      <w:r w:rsidRPr="002C2409">
        <w:rPr>
          <w:rFonts w:cs="Poppins"/>
          <w:sz w:val="20"/>
          <w:szCs w:val="20"/>
        </w:rPr>
        <w:t>held on</w:t>
      </w:r>
      <w:r w:rsidR="00C57F90" w:rsidRPr="002C2409">
        <w:rPr>
          <w:rFonts w:cs="Poppins"/>
          <w:sz w:val="20"/>
          <w:szCs w:val="20"/>
        </w:rPr>
        <w:t xml:space="preserve"> site (Section </w:t>
      </w:r>
      <w:r w:rsidR="005A63E2">
        <w:rPr>
          <w:rFonts w:cs="Poppins"/>
          <w:sz w:val="20"/>
          <w:szCs w:val="20"/>
        </w:rPr>
        <w:t>4</w:t>
      </w:r>
      <w:r w:rsidR="00C57F90" w:rsidRPr="002C2409">
        <w:rPr>
          <w:rFonts w:cs="Poppins"/>
          <w:sz w:val="20"/>
          <w:szCs w:val="20"/>
        </w:rPr>
        <w:t>)</w:t>
      </w:r>
      <w:r w:rsidR="00533FFE">
        <w:rPr>
          <w:rFonts w:cs="Poppins"/>
          <w:sz w:val="20"/>
          <w:szCs w:val="20"/>
        </w:rPr>
        <w:t>.</w:t>
      </w:r>
    </w:p>
    <w:p w14:paraId="4287ADB1" w14:textId="4950AE1E" w:rsidR="002C2409" w:rsidRDefault="002C2409" w:rsidP="00565DFA">
      <w:pPr>
        <w:pStyle w:val="ListParagraph"/>
        <w:numPr>
          <w:ilvl w:val="0"/>
          <w:numId w:val="33"/>
        </w:numPr>
        <w:spacing w:after="160" w:line="259" w:lineRule="auto"/>
        <w:rPr>
          <w:rFonts w:cs="Poppins"/>
          <w:sz w:val="20"/>
          <w:szCs w:val="20"/>
        </w:rPr>
      </w:pPr>
      <w:r w:rsidRPr="002C2409">
        <w:rPr>
          <w:rFonts w:cs="Poppins"/>
          <w:sz w:val="20"/>
          <w:szCs w:val="20"/>
        </w:rPr>
        <w:t xml:space="preserve">Identification </w:t>
      </w:r>
      <w:r w:rsidR="00C57F90" w:rsidRPr="002C2409">
        <w:rPr>
          <w:rFonts w:cs="Poppins"/>
          <w:sz w:val="20"/>
          <w:szCs w:val="20"/>
        </w:rPr>
        <w:t xml:space="preserve">potential accidents </w:t>
      </w:r>
      <w:r>
        <w:rPr>
          <w:rFonts w:cs="Poppins"/>
          <w:sz w:val="20"/>
          <w:szCs w:val="20"/>
        </w:rPr>
        <w:t>and incidents and assessment of the overall risk posed by these hazards</w:t>
      </w:r>
      <w:r w:rsidRPr="002C2409">
        <w:rPr>
          <w:rFonts w:cs="Poppins"/>
          <w:sz w:val="20"/>
          <w:szCs w:val="20"/>
        </w:rPr>
        <w:t xml:space="preserve"> (Section </w:t>
      </w:r>
      <w:r w:rsidR="005A63E2">
        <w:rPr>
          <w:rFonts w:cs="Poppins"/>
          <w:sz w:val="20"/>
          <w:szCs w:val="20"/>
        </w:rPr>
        <w:t>5</w:t>
      </w:r>
      <w:r w:rsidRPr="002C2409">
        <w:rPr>
          <w:rFonts w:cs="Poppins"/>
          <w:sz w:val="20"/>
          <w:szCs w:val="20"/>
        </w:rPr>
        <w:t>)</w:t>
      </w:r>
      <w:r w:rsidR="00533FFE">
        <w:rPr>
          <w:rFonts w:cs="Poppins"/>
          <w:sz w:val="20"/>
          <w:szCs w:val="20"/>
        </w:rPr>
        <w:t>.</w:t>
      </w:r>
    </w:p>
    <w:p w14:paraId="17CF6C0E" w14:textId="0438B6BE" w:rsidR="002C2409" w:rsidRDefault="002C2409" w:rsidP="00565DFA">
      <w:pPr>
        <w:pStyle w:val="ListParagraph"/>
        <w:numPr>
          <w:ilvl w:val="0"/>
          <w:numId w:val="33"/>
        </w:numPr>
        <w:spacing w:after="160" w:line="259" w:lineRule="auto"/>
        <w:rPr>
          <w:rFonts w:cs="Poppins"/>
          <w:sz w:val="20"/>
          <w:szCs w:val="20"/>
        </w:rPr>
      </w:pPr>
      <w:r>
        <w:rPr>
          <w:rFonts w:cs="Poppins"/>
          <w:sz w:val="20"/>
          <w:szCs w:val="20"/>
        </w:rPr>
        <w:t>The overall risk of each of the hazard is identified on the basis of the likelihood of the event occurring and the environmental consequence of that event, taking account of:</w:t>
      </w:r>
    </w:p>
    <w:p w14:paraId="56402901" w14:textId="32EE6BC2" w:rsidR="002C2409" w:rsidRDefault="002C2409" w:rsidP="00565DFA">
      <w:pPr>
        <w:pStyle w:val="ListParagraph"/>
        <w:numPr>
          <w:ilvl w:val="1"/>
          <w:numId w:val="33"/>
        </w:numPr>
        <w:spacing w:after="160" w:line="259" w:lineRule="auto"/>
        <w:rPr>
          <w:rFonts w:cs="Poppins"/>
          <w:sz w:val="20"/>
          <w:szCs w:val="20"/>
        </w:rPr>
      </w:pPr>
      <w:r>
        <w:rPr>
          <w:rFonts w:cs="Poppins"/>
          <w:sz w:val="20"/>
          <w:szCs w:val="20"/>
        </w:rPr>
        <w:t>Preventive controls in place; and</w:t>
      </w:r>
    </w:p>
    <w:p w14:paraId="52B157B3" w14:textId="2E7EB670" w:rsidR="00C57F90" w:rsidRDefault="002C2409" w:rsidP="00565DFA">
      <w:pPr>
        <w:pStyle w:val="ListParagraph"/>
        <w:numPr>
          <w:ilvl w:val="1"/>
          <w:numId w:val="33"/>
        </w:numPr>
        <w:spacing w:after="160" w:line="259" w:lineRule="auto"/>
        <w:rPr>
          <w:rFonts w:cs="Poppins"/>
          <w:sz w:val="20"/>
          <w:szCs w:val="20"/>
        </w:rPr>
      </w:pPr>
      <w:r>
        <w:rPr>
          <w:rFonts w:cs="Poppins"/>
          <w:sz w:val="20"/>
          <w:szCs w:val="20"/>
        </w:rPr>
        <w:t>Actions to be taken in the event of the accident / incident occurring.</w:t>
      </w:r>
    </w:p>
    <w:p w14:paraId="1162F525" w14:textId="76E473DD" w:rsidR="00533FFE" w:rsidRDefault="00533FFE" w:rsidP="00565DFA">
      <w:pPr>
        <w:pStyle w:val="ListParagraph"/>
        <w:numPr>
          <w:ilvl w:val="0"/>
          <w:numId w:val="33"/>
        </w:numPr>
        <w:spacing w:after="160" w:line="259" w:lineRule="auto"/>
        <w:rPr>
          <w:rFonts w:cs="Poppins"/>
          <w:sz w:val="20"/>
          <w:szCs w:val="20"/>
        </w:rPr>
      </w:pPr>
      <w:r>
        <w:rPr>
          <w:rFonts w:cs="Poppins"/>
          <w:sz w:val="20"/>
          <w:szCs w:val="20"/>
        </w:rPr>
        <w:t xml:space="preserve">Summary of actions to be taken following an accident or incident occurring, including measures to record, investigate and respond to the incident (Section </w:t>
      </w:r>
      <w:r w:rsidR="005A63E2">
        <w:rPr>
          <w:rFonts w:cs="Poppins"/>
          <w:sz w:val="20"/>
          <w:szCs w:val="20"/>
        </w:rPr>
        <w:t>6</w:t>
      </w:r>
      <w:r>
        <w:rPr>
          <w:rFonts w:cs="Poppins"/>
          <w:sz w:val="20"/>
          <w:szCs w:val="20"/>
        </w:rPr>
        <w:t>).</w:t>
      </w:r>
    </w:p>
    <w:p w14:paraId="34F5032B" w14:textId="20665782" w:rsidR="00533FFE" w:rsidRPr="002C2409" w:rsidRDefault="00533FFE" w:rsidP="00565DFA">
      <w:pPr>
        <w:pStyle w:val="ListParagraph"/>
        <w:numPr>
          <w:ilvl w:val="0"/>
          <w:numId w:val="33"/>
        </w:numPr>
        <w:spacing w:after="160" w:line="259" w:lineRule="auto"/>
        <w:rPr>
          <w:rFonts w:cs="Poppins"/>
          <w:sz w:val="20"/>
          <w:szCs w:val="20"/>
        </w:rPr>
      </w:pPr>
      <w:r>
        <w:rPr>
          <w:rFonts w:cs="Poppins"/>
          <w:sz w:val="20"/>
          <w:szCs w:val="20"/>
        </w:rPr>
        <w:t xml:space="preserve">List of emergency contacts (Section </w:t>
      </w:r>
      <w:r w:rsidR="005A63E2">
        <w:rPr>
          <w:rFonts w:cs="Poppins"/>
          <w:sz w:val="20"/>
          <w:szCs w:val="20"/>
        </w:rPr>
        <w:t>7</w:t>
      </w:r>
      <w:r>
        <w:rPr>
          <w:rFonts w:cs="Poppins"/>
          <w:sz w:val="20"/>
          <w:szCs w:val="20"/>
        </w:rPr>
        <w:t>).</w:t>
      </w:r>
    </w:p>
    <w:p w14:paraId="3F21D580" w14:textId="77777777" w:rsidR="00C57F90" w:rsidRDefault="00C57F90" w:rsidP="00C57F90"/>
    <w:p w14:paraId="4B52FAD0" w14:textId="6EA0EC22" w:rsidR="00C57F90" w:rsidRPr="00274CD4" w:rsidRDefault="00C57F90" w:rsidP="00C57F90">
      <w:pPr>
        <w:pStyle w:val="Heading1"/>
        <w:numPr>
          <w:ilvl w:val="0"/>
          <w:numId w:val="5"/>
        </w:numPr>
        <w:ind w:left="0" w:firstLine="0"/>
        <w:jc w:val="both"/>
        <w:rPr>
          <w:sz w:val="20"/>
          <w:szCs w:val="20"/>
        </w:rPr>
      </w:pPr>
      <w:r>
        <w:rPr>
          <w:sz w:val="20"/>
          <w:szCs w:val="20"/>
        </w:rPr>
        <w:t>Overview of relevant management controls and procedures</w:t>
      </w:r>
    </w:p>
    <w:p w14:paraId="2FA0EA8D" w14:textId="6C7CD36E" w:rsidR="00C57F90" w:rsidRPr="005A63E2" w:rsidRDefault="005A63E2" w:rsidP="005A63E2">
      <w:pPr>
        <w:rPr>
          <w:rFonts w:ascii="Poppins" w:hAnsi="Poppins" w:cs="Poppins"/>
          <w:sz w:val="20"/>
          <w:szCs w:val="20"/>
        </w:rPr>
      </w:pPr>
      <w:r w:rsidRPr="005A63E2">
        <w:rPr>
          <w:rFonts w:ascii="Poppins" w:hAnsi="Poppins" w:cs="Poppins"/>
          <w:sz w:val="20"/>
          <w:szCs w:val="20"/>
        </w:rPr>
        <w:t>YW has an established EMS, which is certified to the ISO 14001 standard.  The EMS forms part of a wider corporate Integrated Management System (IMS) which also incorporates quality management, health and safety management, asset management, organisational resilience and business continuity requirements.  The management system follows an asset life cycle approach, from design through to decommissioning.</w:t>
      </w:r>
      <w:r>
        <w:rPr>
          <w:rFonts w:ascii="Poppins" w:hAnsi="Poppins" w:cs="Poppins"/>
          <w:sz w:val="20"/>
          <w:szCs w:val="20"/>
        </w:rPr>
        <w:t xml:space="preserve">  </w:t>
      </w:r>
      <w:r w:rsidRPr="005A63E2">
        <w:rPr>
          <w:rFonts w:ascii="Poppins" w:hAnsi="Poppins" w:cs="Poppins"/>
          <w:sz w:val="20"/>
          <w:szCs w:val="20"/>
        </w:rPr>
        <w:t>Corporate level management system processes are in place, which are supplemented by site-specific documented procedures and processes.</w:t>
      </w:r>
    </w:p>
    <w:p w14:paraId="7BC980AE" w14:textId="77777777" w:rsidR="005A63E2" w:rsidRPr="005A63E2" w:rsidRDefault="005A63E2" w:rsidP="005A63E2">
      <w:pPr>
        <w:spacing w:before="240"/>
        <w:rPr>
          <w:rFonts w:ascii="Poppins" w:hAnsi="Poppins" w:cs="Poppins"/>
          <w:sz w:val="20"/>
          <w:szCs w:val="20"/>
        </w:rPr>
      </w:pPr>
      <w:r w:rsidRPr="005A63E2">
        <w:rPr>
          <w:rFonts w:ascii="Poppins" w:hAnsi="Poppins" w:cs="Poppins"/>
          <w:sz w:val="20"/>
          <w:szCs w:val="20"/>
        </w:rPr>
        <w:t>YW has developed processes to identify, respond to and control emergency situations that may cause adverse environmental consequences. Spill kits are readily accessible at locations where there is a risk of spillage (e.g. delivery, storage and areas of use).  Spill control toolbox talks are provided to staff.  This includes information about how to prevent and control pollution incidents from accidental spills of oils, fuels, sludge and chemicals.</w:t>
      </w:r>
    </w:p>
    <w:p w14:paraId="7C5A89BF" w14:textId="0BC82617" w:rsidR="005A63E2" w:rsidRPr="005A63E2" w:rsidRDefault="005A63E2" w:rsidP="005A63E2">
      <w:pPr>
        <w:rPr>
          <w:rFonts w:ascii="Poppins" w:hAnsi="Poppins" w:cs="Poppins"/>
          <w:sz w:val="20"/>
          <w:szCs w:val="20"/>
        </w:rPr>
      </w:pPr>
      <w:r w:rsidRPr="005A63E2">
        <w:rPr>
          <w:rFonts w:ascii="Poppins" w:hAnsi="Poppins" w:cs="Poppins"/>
          <w:sz w:val="20"/>
          <w:szCs w:val="20"/>
        </w:rPr>
        <w:lastRenderedPageBreak/>
        <w:t xml:space="preserve">Contingency plans help minimise potential environmental impacts; this includes emergencies arising from breakdowns, enforced shutdowns, abnormal circumstances such as flooding as well as major fire and spill/loss of containment events.  </w:t>
      </w:r>
    </w:p>
    <w:p w14:paraId="76F904D5" w14:textId="38634C03" w:rsidR="00522206" w:rsidRDefault="005A63E2" w:rsidP="005A63E2">
      <w:pPr>
        <w:rPr>
          <w:rFonts w:ascii="Poppins" w:hAnsi="Poppins" w:cs="Poppins"/>
          <w:sz w:val="20"/>
          <w:szCs w:val="20"/>
        </w:rPr>
      </w:pPr>
      <w:r w:rsidRPr="005A63E2">
        <w:rPr>
          <w:rFonts w:ascii="Poppins" w:hAnsi="Poppins" w:cs="Poppins"/>
          <w:sz w:val="20"/>
          <w:szCs w:val="20"/>
        </w:rPr>
        <w:t>The YW Business Continuity Plan is in place to define and prioritise critical business functions, details the immediate response requirements for a critical incident and details strategies and actions to be taken to ensure business continuity. All Bioresources sites, including Woodhouse Mill STF, have the capability of remote monitoring and remote operation of key functions.  A security guard is present on site 12 hours per day Monday to Friday and CCTV security cameras are located across the site with monitoring provided 24/7 by the YW Service Delivery Centre.  All buildings are alarmed and high-risk equipment is provided with secondary fencing for added security.</w:t>
      </w:r>
    </w:p>
    <w:p w14:paraId="33040C54" w14:textId="77777777" w:rsidR="005A63E2" w:rsidRPr="005A63E2" w:rsidRDefault="005A63E2" w:rsidP="005A63E2">
      <w:pPr>
        <w:rPr>
          <w:rFonts w:ascii="Poppins" w:hAnsi="Poppins" w:cs="Poppins"/>
          <w:sz w:val="20"/>
          <w:szCs w:val="20"/>
        </w:rPr>
      </w:pPr>
    </w:p>
    <w:p w14:paraId="1FF1E55E" w14:textId="3D3641F5" w:rsidR="00C57F90" w:rsidRDefault="00C57F90" w:rsidP="00C57F90">
      <w:pPr>
        <w:pStyle w:val="Heading1"/>
        <w:numPr>
          <w:ilvl w:val="0"/>
          <w:numId w:val="5"/>
        </w:numPr>
        <w:ind w:left="0" w:firstLine="0"/>
        <w:jc w:val="both"/>
        <w:rPr>
          <w:sz w:val="20"/>
          <w:szCs w:val="20"/>
        </w:rPr>
      </w:pPr>
      <w:r>
        <w:rPr>
          <w:sz w:val="20"/>
          <w:szCs w:val="20"/>
        </w:rPr>
        <w:t>Sensitive receptors</w:t>
      </w:r>
    </w:p>
    <w:p w14:paraId="383859C9" w14:textId="4451EF37" w:rsidR="005A63E2" w:rsidRPr="005A63E2" w:rsidRDefault="005A63E2" w:rsidP="005A63E2">
      <w:pPr>
        <w:rPr>
          <w:rFonts w:ascii="Poppins" w:hAnsi="Poppins" w:cs="Poppins"/>
          <w:sz w:val="18"/>
          <w:szCs w:val="18"/>
        </w:rPr>
      </w:pPr>
      <w:r w:rsidRPr="005A63E2">
        <w:rPr>
          <w:rFonts w:ascii="Poppins" w:hAnsi="Poppins" w:cs="Poppins"/>
          <w:sz w:val="18"/>
          <w:szCs w:val="18"/>
        </w:rPr>
        <w:t>A summary of sensitive receptors relevant to Woodhouse Mill STF is provided in Table 1 below.</w:t>
      </w:r>
    </w:p>
    <w:p w14:paraId="585C7371" w14:textId="57B35E0C" w:rsidR="00522206" w:rsidRPr="00522206" w:rsidRDefault="00522206" w:rsidP="00522206">
      <w:pPr>
        <w:spacing w:after="60"/>
      </w:pPr>
      <w:r w:rsidRPr="00522206">
        <w:rPr>
          <w:rFonts w:ascii="Poppins" w:hAnsi="Poppins" w:cs="Poppins"/>
          <w:b/>
          <w:sz w:val="20"/>
          <w:szCs w:val="20"/>
        </w:rPr>
        <w:t>Table 1: Raw Materials Associated with the Facility and their Potential to Pollute</w:t>
      </w:r>
    </w:p>
    <w:tbl>
      <w:tblPr>
        <w:tblStyle w:val="TableGrid"/>
        <w:tblW w:w="9209" w:type="dxa"/>
        <w:tblLook w:val="04A0" w:firstRow="1" w:lastRow="0" w:firstColumn="1" w:lastColumn="0" w:noHBand="0" w:noVBand="1"/>
      </w:tblPr>
      <w:tblGrid>
        <w:gridCol w:w="2689"/>
        <w:gridCol w:w="6520"/>
      </w:tblGrid>
      <w:tr w:rsidR="00522206" w:rsidRPr="00522206" w14:paraId="485EEA60" w14:textId="77777777" w:rsidTr="00522206">
        <w:tc>
          <w:tcPr>
            <w:tcW w:w="2689" w:type="dxa"/>
            <w:shd w:val="clear" w:color="auto" w:fill="004C6C"/>
            <w:vAlign w:val="center"/>
          </w:tcPr>
          <w:p w14:paraId="216C5C03" w14:textId="3F1DC0A7" w:rsidR="00522206" w:rsidRPr="00522206" w:rsidRDefault="00522206" w:rsidP="00522206">
            <w:pPr>
              <w:pStyle w:val="TableHeaderText"/>
              <w:spacing w:line="240" w:lineRule="auto"/>
              <w:jc w:val="center"/>
              <w:rPr>
                <w:rFonts w:ascii="Poppins" w:hAnsi="Poppins" w:cs="Poppins"/>
                <w:b/>
                <w:bCs/>
                <w:sz w:val="18"/>
                <w:szCs w:val="18"/>
              </w:rPr>
            </w:pPr>
            <w:r w:rsidRPr="00522206">
              <w:rPr>
                <w:rFonts w:ascii="Poppins" w:hAnsi="Poppins" w:cs="Poppins"/>
                <w:b/>
                <w:bCs/>
                <w:sz w:val="18"/>
                <w:szCs w:val="18"/>
              </w:rPr>
              <w:t>Receptor type</w:t>
            </w:r>
          </w:p>
        </w:tc>
        <w:tc>
          <w:tcPr>
            <w:tcW w:w="6520" w:type="dxa"/>
            <w:shd w:val="clear" w:color="auto" w:fill="004C6C"/>
            <w:vAlign w:val="center"/>
          </w:tcPr>
          <w:p w14:paraId="5512AC0A" w14:textId="73749185" w:rsidR="00522206" w:rsidRPr="00522206" w:rsidRDefault="00522206" w:rsidP="00522206">
            <w:pPr>
              <w:rPr>
                <w:rFonts w:ascii="Poppins" w:eastAsia="Times New Roman" w:hAnsi="Poppins" w:cs="Poppins"/>
                <w:b/>
                <w:bCs/>
                <w:color w:val="FFFFFF"/>
                <w:sz w:val="18"/>
                <w:szCs w:val="18"/>
              </w:rPr>
            </w:pPr>
            <w:r w:rsidRPr="00522206">
              <w:rPr>
                <w:rFonts w:ascii="Poppins" w:eastAsia="Times New Roman" w:hAnsi="Poppins" w:cs="Poppins"/>
                <w:b/>
                <w:bCs/>
                <w:color w:val="FFFFFF"/>
                <w:sz w:val="18"/>
                <w:szCs w:val="18"/>
              </w:rPr>
              <w:t>Receptor description and distance</w:t>
            </w:r>
          </w:p>
        </w:tc>
      </w:tr>
      <w:tr w:rsidR="00522206" w:rsidRPr="00522206" w14:paraId="0DB4578A" w14:textId="77777777" w:rsidTr="00522206">
        <w:tc>
          <w:tcPr>
            <w:tcW w:w="2689" w:type="dxa"/>
          </w:tcPr>
          <w:p w14:paraId="7C52508B" w14:textId="25C2556C" w:rsidR="00522206" w:rsidRPr="00522206" w:rsidRDefault="00522206" w:rsidP="00C57F90">
            <w:pPr>
              <w:rPr>
                <w:rFonts w:ascii="Poppins" w:hAnsi="Poppins" w:cs="Poppins"/>
                <w:sz w:val="18"/>
                <w:szCs w:val="18"/>
              </w:rPr>
            </w:pPr>
            <w:r w:rsidRPr="00522206">
              <w:rPr>
                <w:rFonts w:ascii="Poppins" w:eastAsia="SimSun" w:hAnsi="Poppins" w:cs="Poppins"/>
                <w:sz w:val="18"/>
                <w:szCs w:val="18"/>
                <w:lang w:eastAsia="zh-CN"/>
              </w:rPr>
              <w:t>Residential housing</w:t>
            </w:r>
          </w:p>
        </w:tc>
        <w:tc>
          <w:tcPr>
            <w:tcW w:w="6520" w:type="dxa"/>
          </w:tcPr>
          <w:p w14:paraId="07C2E197" w14:textId="77777777" w:rsidR="00522206" w:rsidRPr="00522206" w:rsidRDefault="00522206" w:rsidP="00522206">
            <w:pPr>
              <w:pStyle w:val="ListParagraph"/>
              <w:numPr>
                <w:ilvl w:val="0"/>
                <w:numId w:val="35"/>
              </w:numPr>
              <w:spacing w:after="0" w:line="240" w:lineRule="auto"/>
              <w:ind w:left="342" w:hanging="342"/>
              <w:rPr>
                <w:rFonts w:cs="Poppins"/>
              </w:rPr>
            </w:pPr>
            <w:r w:rsidRPr="00522206">
              <w:rPr>
                <w:rFonts w:cs="Poppins"/>
              </w:rPr>
              <w:t xml:space="preserve">North: </w:t>
            </w:r>
            <w:r w:rsidRPr="00522206">
              <w:rPr>
                <w:rFonts w:eastAsia="SimSun" w:cs="Poppins"/>
                <w:lang w:eastAsia="zh-CN"/>
              </w:rPr>
              <w:t>Nearest residential property located &gt;1km</w:t>
            </w:r>
          </w:p>
          <w:p w14:paraId="003CD734" w14:textId="209B33EB" w:rsidR="00522206" w:rsidRPr="00522206" w:rsidRDefault="00522206" w:rsidP="00522206">
            <w:pPr>
              <w:pStyle w:val="ListParagraph"/>
              <w:numPr>
                <w:ilvl w:val="0"/>
                <w:numId w:val="35"/>
              </w:numPr>
              <w:spacing w:after="0" w:line="240" w:lineRule="auto"/>
              <w:ind w:left="342" w:hanging="342"/>
              <w:rPr>
                <w:rFonts w:cs="Poppins"/>
              </w:rPr>
            </w:pPr>
            <w:r w:rsidRPr="00522206">
              <w:rPr>
                <w:rFonts w:eastAsia="SimSun" w:cs="Poppins"/>
                <w:lang w:eastAsia="zh-CN"/>
              </w:rPr>
              <w:t>East: Nearest residential property located approximately 175m</w:t>
            </w:r>
          </w:p>
          <w:p w14:paraId="18AF6D25" w14:textId="7FD7F4C3" w:rsidR="00522206" w:rsidRPr="00522206" w:rsidRDefault="00522206" w:rsidP="00522206">
            <w:pPr>
              <w:pStyle w:val="ListParagraph"/>
              <w:numPr>
                <w:ilvl w:val="0"/>
                <w:numId w:val="35"/>
              </w:numPr>
              <w:spacing w:after="0" w:line="240" w:lineRule="auto"/>
              <w:ind w:left="342" w:hanging="342"/>
              <w:rPr>
                <w:rFonts w:cs="Poppins"/>
              </w:rPr>
            </w:pPr>
            <w:r w:rsidRPr="00522206">
              <w:rPr>
                <w:rFonts w:cs="Poppins"/>
              </w:rPr>
              <w:t xml:space="preserve">South: </w:t>
            </w:r>
            <w:r w:rsidRPr="00522206">
              <w:rPr>
                <w:rFonts w:eastAsia="SimSun" w:cs="Poppins"/>
                <w:lang w:eastAsia="zh-CN"/>
              </w:rPr>
              <w:t>Nearest residential property located approximately 200m to the southeast and 215m to the southwest</w:t>
            </w:r>
          </w:p>
          <w:p w14:paraId="7CE8E55F" w14:textId="42FA9A06" w:rsidR="00522206" w:rsidRPr="00522206" w:rsidRDefault="00522206" w:rsidP="00522206">
            <w:pPr>
              <w:pStyle w:val="ListParagraph"/>
              <w:numPr>
                <w:ilvl w:val="0"/>
                <w:numId w:val="35"/>
              </w:numPr>
              <w:spacing w:after="0" w:line="240" w:lineRule="auto"/>
              <w:ind w:left="342" w:hanging="342"/>
              <w:rPr>
                <w:rFonts w:cs="Poppins"/>
              </w:rPr>
            </w:pPr>
            <w:r w:rsidRPr="00522206">
              <w:rPr>
                <w:rFonts w:cs="Poppins"/>
              </w:rPr>
              <w:t xml:space="preserve">West: </w:t>
            </w:r>
            <w:r w:rsidRPr="00522206">
              <w:rPr>
                <w:rFonts w:eastAsia="SimSun" w:cs="Poppins"/>
                <w:lang w:eastAsia="zh-CN"/>
              </w:rPr>
              <w:t>Nearest residential property located approximately 385m</w:t>
            </w:r>
          </w:p>
        </w:tc>
      </w:tr>
      <w:tr w:rsidR="00522206" w:rsidRPr="00522206" w14:paraId="3049060C" w14:textId="77777777" w:rsidTr="00522206">
        <w:tc>
          <w:tcPr>
            <w:tcW w:w="2689" w:type="dxa"/>
          </w:tcPr>
          <w:p w14:paraId="5A8EFD82" w14:textId="4205D7DC" w:rsidR="00522206" w:rsidRPr="00522206" w:rsidRDefault="00522206" w:rsidP="00C57F90">
            <w:pPr>
              <w:rPr>
                <w:rFonts w:ascii="Poppins" w:hAnsi="Poppins" w:cs="Poppins"/>
                <w:sz w:val="18"/>
                <w:szCs w:val="18"/>
              </w:rPr>
            </w:pPr>
            <w:r w:rsidRPr="00522206">
              <w:rPr>
                <w:rFonts w:ascii="Poppins" w:eastAsia="SimSun" w:hAnsi="Poppins" w:cs="Poppins"/>
                <w:sz w:val="18"/>
                <w:szCs w:val="18"/>
                <w:lang w:eastAsia="zh-CN"/>
              </w:rPr>
              <w:t>Schools</w:t>
            </w:r>
          </w:p>
        </w:tc>
        <w:tc>
          <w:tcPr>
            <w:tcW w:w="6520" w:type="dxa"/>
          </w:tcPr>
          <w:p w14:paraId="3AA03CCB" w14:textId="4787CF4C" w:rsidR="00522206" w:rsidRPr="00522206" w:rsidRDefault="00522206" w:rsidP="00C57F90">
            <w:pPr>
              <w:rPr>
                <w:rFonts w:ascii="Poppins" w:hAnsi="Poppins" w:cs="Poppins"/>
                <w:sz w:val="18"/>
                <w:szCs w:val="18"/>
              </w:rPr>
            </w:pPr>
            <w:r w:rsidRPr="00522206">
              <w:rPr>
                <w:rFonts w:ascii="Poppins" w:eastAsia="SimSun" w:hAnsi="Poppins" w:cs="Poppins"/>
                <w:sz w:val="18"/>
                <w:szCs w:val="18"/>
                <w:lang w:eastAsia="zh-CN"/>
              </w:rPr>
              <w:t>There are 10 schools within approximately 2km of the site.  The nearest of these is 550m to the southeast.</w:t>
            </w:r>
          </w:p>
        </w:tc>
      </w:tr>
      <w:tr w:rsidR="00522206" w:rsidRPr="00522206" w14:paraId="68118460" w14:textId="77777777" w:rsidTr="00522206">
        <w:tc>
          <w:tcPr>
            <w:tcW w:w="2689" w:type="dxa"/>
          </w:tcPr>
          <w:p w14:paraId="7C79CD14" w14:textId="408F4687"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t>Hospitals / healthcare facilities</w:t>
            </w:r>
          </w:p>
        </w:tc>
        <w:tc>
          <w:tcPr>
            <w:tcW w:w="6520" w:type="dxa"/>
          </w:tcPr>
          <w:p w14:paraId="67BD667C" w14:textId="53917CE3"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t>There are two hospitals/healthcare facilities within 2 km of the site.  The nearest of these is approximately 1750m to the east.</w:t>
            </w:r>
          </w:p>
        </w:tc>
      </w:tr>
      <w:tr w:rsidR="00522206" w:rsidRPr="00522206" w14:paraId="1746B836" w14:textId="77777777" w:rsidTr="00522206">
        <w:tc>
          <w:tcPr>
            <w:tcW w:w="2689" w:type="dxa"/>
          </w:tcPr>
          <w:p w14:paraId="0B18AD38" w14:textId="4FF1FAA2"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t>Industrial/commercial sites</w:t>
            </w:r>
          </w:p>
        </w:tc>
        <w:tc>
          <w:tcPr>
            <w:tcW w:w="6520" w:type="dxa"/>
          </w:tcPr>
          <w:p w14:paraId="4CBA0460" w14:textId="1CCE9C50" w:rsidR="00522206" w:rsidRPr="00522206" w:rsidRDefault="00522206" w:rsidP="005A63E2">
            <w:pPr>
              <w:rPr>
                <w:rFonts w:ascii="Poppins" w:hAnsi="Poppins" w:cs="Poppins"/>
                <w:sz w:val="18"/>
                <w:szCs w:val="18"/>
              </w:rPr>
            </w:pPr>
            <w:r w:rsidRPr="00522206">
              <w:rPr>
                <w:rFonts w:ascii="Poppins" w:eastAsia="SimSun" w:hAnsi="Poppins" w:cs="Poppins"/>
                <w:sz w:val="18"/>
                <w:szCs w:val="18"/>
                <w:lang w:eastAsia="zh-CN"/>
              </w:rPr>
              <w:t>There are a number of industrial / commercial sites within close proximity of the installation. This includes industrial premises and the Princess Royal Hotel on the opposite side of Retford Road, less than 50m to the south of the installation boundary.  In addition, a hand car wash is located approximately 100m to the west of the installation, a petrol station 300m to the west and an industrial estate (under construction) 125m to the southeast.</w:t>
            </w:r>
          </w:p>
        </w:tc>
      </w:tr>
      <w:tr w:rsidR="00522206" w:rsidRPr="00522206" w14:paraId="470ADBCF" w14:textId="77777777" w:rsidTr="00522206">
        <w:tc>
          <w:tcPr>
            <w:tcW w:w="2689" w:type="dxa"/>
          </w:tcPr>
          <w:p w14:paraId="4DE08218" w14:textId="2754E6F3"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t>Habitat sites – statutory designations</w:t>
            </w:r>
          </w:p>
        </w:tc>
        <w:tc>
          <w:tcPr>
            <w:tcW w:w="6520" w:type="dxa"/>
          </w:tcPr>
          <w:p w14:paraId="38EBBEFE" w14:textId="7F2CB14B"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t xml:space="preserve">There are no internationally designated sites (e.g. SAC, SPA, Ramsar) within 10km of the installation.  There are no nationally designated sites (e.g. SSSIs) within 2km of the installation. </w:t>
            </w:r>
          </w:p>
        </w:tc>
      </w:tr>
      <w:tr w:rsidR="00522206" w:rsidRPr="00522206" w14:paraId="4839AAB8" w14:textId="77777777" w:rsidTr="00522206">
        <w:tc>
          <w:tcPr>
            <w:tcW w:w="2689" w:type="dxa"/>
          </w:tcPr>
          <w:p w14:paraId="5D3E71D6" w14:textId="709A9336"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t>Habitat sites – non statutory designations</w:t>
            </w:r>
          </w:p>
        </w:tc>
        <w:tc>
          <w:tcPr>
            <w:tcW w:w="6520" w:type="dxa"/>
          </w:tcPr>
          <w:p w14:paraId="3FA2162E" w14:textId="750E8051"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t>Sites include: Woodhouse Washlands local wildlife site located 75m to the south and Treeton Dyke local wildlife site 75m to the northeast.</w:t>
            </w:r>
          </w:p>
        </w:tc>
      </w:tr>
      <w:tr w:rsidR="00522206" w:rsidRPr="00522206" w14:paraId="28A57AE9" w14:textId="77777777" w:rsidTr="00522206">
        <w:tc>
          <w:tcPr>
            <w:tcW w:w="2689" w:type="dxa"/>
          </w:tcPr>
          <w:p w14:paraId="00D51057" w14:textId="63434B11"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t>Ground / groundwater</w:t>
            </w:r>
          </w:p>
        </w:tc>
        <w:tc>
          <w:tcPr>
            <w:tcW w:w="6520" w:type="dxa"/>
          </w:tcPr>
          <w:p w14:paraId="08E086F1" w14:textId="27A3B4D4"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t xml:space="preserve">Underlying groundwater classed as a Secondary A aquifer; groundwater vulnerability classed as medium-high.  </w:t>
            </w:r>
          </w:p>
        </w:tc>
      </w:tr>
      <w:tr w:rsidR="00522206" w:rsidRPr="00522206" w14:paraId="5F9AE84A" w14:textId="77777777" w:rsidTr="00522206">
        <w:tc>
          <w:tcPr>
            <w:tcW w:w="2689" w:type="dxa"/>
          </w:tcPr>
          <w:p w14:paraId="706749CA" w14:textId="4E5CE0D6"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t>Surface water</w:t>
            </w:r>
          </w:p>
        </w:tc>
        <w:tc>
          <w:tcPr>
            <w:tcW w:w="6520" w:type="dxa"/>
          </w:tcPr>
          <w:p w14:paraId="5C2A57F1" w14:textId="77777777" w:rsidR="00522206" w:rsidRPr="00522206" w:rsidRDefault="00522206" w:rsidP="00522206">
            <w:pPr>
              <w:rPr>
                <w:rFonts w:ascii="Poppins" w:eastAsia="SimSun" w:hAnsi="Poppins" w:cs="Poppins"/>
                <w:sz w:val="18"/>
                <w:szCs w:val="18"/>
                <w:lang w:eastAsia="zh-CN"/>
              </w:rPr>
            </w:pPr>
            <w:r w:rsidRPr="00522206">
              <w:rPr>
                <w:rFonts w:ascii="Poppins" w:eastAsia="SimSun" w:hAnsi="Poppins" w:cs="Poppins"/>
                <w:sz w:val="18"/>
                <w:szCs w:val="18"/>
                <w:lang w:eastAsia="zh-CN"/>
              </w:rPr>
              <w:t>River Rother directly adjacent to installation boundary.</w:t>
            </w:r>
          </w:p>
          <w:p w14:paraId="4586CE08" w14:textId="5F7CAF76" w:rsidR="00522206" w:rsidRPr="00522206" w:rsidRDefault="00522206" w:rsidP="00522206">
            <w:pPr>
              <w:rPr>
                <w:rFonts w:ascii="Poppins" w:hAnsi="Poppins" w:cs="Poppins"/>
                <w:sz w:val="18"/>
                <w:szCs w:val="18"/>
              </w:rPr>
            </w:pPr>
            <w:r w:rsidRPr="00522206">
              <w:rPr>
                <w:rFonts w:ascii="Poppins" w:eastAsia="SimSun" w:hAnsi="Poppins" w:cs="Poppins"/>
                <w:sz w:val="18"/>
                <w:szCs w:val="18"/>
                <w:lang w:eastAsia="zh-CN"/>
              </w:rPr>
              <w:t>Likely hydraulic continuity between underlying groundwater and river.</w:t>
            </w:r>
          </w:p>
        </w:tc>
      </w:tr>
      <w:tr w:rsidR="005A63E2" w:rsidRPr="005A63E2" w14:paraId="5364FD7C" w14:textId="77777777" w:rsidTr="00522206">
        <w:tc>
          <w:tcPr>
            <w:tcW w:w="2689" w:type="dxa"/>
          </w:tcPr>
          <w:p w14:paraId="5B41B644" w14:textId="4BC7408F" w:rsidR="005A63E2" w:rsidRPr="00522206" w:rsidRDefault="005A63E2" w:rsidP="005A63E2">
            <w:pPr>
              <w:rPr>
                <w:rFonts w:ascii="Poppins" w:eastAsia="SimSun" w:hAnsi="Poppins" w:cs="Poppins"/>
                <w:sz w:val="18"/>
                <w:szCs w:val="18"/>
                <w:lang w:eastAsia="zh-CN"/>
              </w:rPr>
            </w:pPr>
            <w:r>
              <w:rPr>
                <w:rFonts w:ascii="Poppins" w:eastAsia="SimSun" w:hAnsi="Poppins" w:cs="Poppins"/>
                <w:sz w:val="18"/>
                <w:szCs w:val="18"/>
                <w:lang w:eastAsia="zh-CN"/>
              </w:rPr>
              <w:t>A</w:t>
            </w:r>
            <w:r w:rsidRPr="005A63E2">
              <w:rPr>
                <w:rFonts w:ascii="Poppins" w:eastAsia="SimSun" w:hAnsi="Poppins" w:cs="Poppins"/>
                <w:sz w:val="18"/>
                <w:szCs w:val="18"/>
                <w:lang w:eastAsia="zh-CN"/>
              </w:rPr>
              <w:t>tmosphere</w:t>
            </w:r>
          </w:p>
        </w:tc>
        <w:tc>
          <w:tcPr>
            <w:tcW w:w="6520" w:type="dxa"/>
          </w:tcPr>
          <w:p w14:paraId="02FA3236" w14:textId="1AECB3B3" w:rsidR="005A63E2" w:rsidRPr="00522206" w:rsidRDefault="005A63E2" w:rsidP="005A63E2">
            <w:pPr>
              <w:rPr>
                <w:rFonts w:ascii="Poppins" w:eastAsia="SimSun" w:hAnsi="Poppins" w:cs="Poppins"/>
                <w:sz w:val="18"/>
                <w:szCs w:val="18"/>
                <w:lang w:eastAsia="zh-CN"/>
              </w:rPr>
            </w:pPr>
            <w:r w:rsidRPr="005A63E2">
              <w:rPr>
                <w:rFonts w:ascii="Poppins" w:eastAsia="SimSun" w:hAnsi="Poppins" w:cs="Poppins"/>
                <w:sz w:val="18"/>
                <w:szCs w:val="18"/>
                <w:lang w:eastAsia="zh-CN"/>
              </w:rPr>
              <w:t xml:space="preserve">Local, regional and global atmosphere. </w:t>
            </w:r>
          </w:p>
        </w:tc>
      </w:tr>
    </w:tbl>
    <w:p w14:paraId="3FBB8E48" w14:textId="77777777" w:rsidR="00934BEF" w:rsidRDefault="00934BEF" w:rsidP="00C57F90"/>
    <w:p w14:paraId="526A9169" w14:textId="77777777" w:rsidR="00522206" w:rsidRDefault="00522206" w:rsidP="00C57F90">
      <w:pPr>
        <w:sectPr w:rsidR="00522206" w:rsidSect="00522206">
          <w:pgSz w:w="11906" w:h="16838"/>
          <w:pgMar w:top="1440" w:right="1440" w:bottom="1440" w:left="1440" w:header="708" w:footer="708" w:gutter="0"/>
          <w:cols w:space="708"/>
          <w:docGrid w:linePitch="360"/>
        </w:sectPr>
      </w:pPr>
    </w:p>
    <w:p w14:paraId="75AA17F8" w14:textId="5EDAD3F3" w:rsidR="00C57F90" w:rsidRDefault="00C57F90" w:rsidP="00C57F90">
      <w:pPr>
        <w:pStyle w:val="Heading1"/>
        <w:numPr>
          <w:ilvl w:val="0"/>
          <w:numId w:val="5"/>
        </w:numPr>
        <w:ind w:left="0" w:firstLine="0"/>
        <w:jc w:val="both"/>
        <w:rPr>
          <w:sz w:val="20"/>
          <w:szCs w:val="20"/>
        </w:rPr>
      </w:pPr>
      <w:r>
        <w:rPr>
          <w:sz w:val="20"/>
          <w:szCs w:val="20"/>
        </w:rPr>
        <w:lastRenderedPageBreak/>
        <w:t>Inventory of potentially polluting materials</w:t>
      </w:r>
    </w:p>
    <w:p w14:paraId="1745FB24" w14:textId="3FC34064" w:rsidR="0010732D" w:rsidRPr="0010732D" w:rsidRDefault="0010732D" w:rsidP="0010732D">
      <w:pPr>
        <w:rPr>
          <w:rFonts w:ascii="Poppins" w:hAnsi="Poppins" w:cs="Poppins"/>
          <w:sz w:val="20"/>
          <w:szCs w:val="20"/>
        </w:rPr>
      </w:pPr>
      <w:r>
        <w:rPr>
          <w:rFonts w:ascii="Poppins" w:hAnsi="Poppins" w:cs="Poppins"/>
          <w:sz w:val="20"/>
          <w:szCs w:val="20"/>
        </w:rPr>
        <w:t>In</w:t>
      </w:r>
      <w:r w:rsidRPr="0010732D">
        <w:rPr>
          <w:rFonts w:ascii="Poppins" w:hAnsi="Poppins" w:cs="Poppins"/>
          <w:sz w:val="20"/>
          <w:szCs w:val="20"/>
        </w:rPr>
        <w:t xml:space="preserve"> assess</w:t>
      </w:r>
      <w:r>
        <w:rPr>
          <w:rFonts w:ascii="Poppins" w:hAnsi="Poppins" w:cs="Poppins"/>
          <w:sz w:val="20"/>
          <w:szCs w:val="20"/>
        </w:rPr>
        <w:t xml:space="preserve">ing potential accidents and incidents consideration has been given to the potentially polluting substances held on site, including review of their </w:t>
      </w:r>
      <w:r w:rsidRPr="0010732D">
        <w:rPr>
          <w:rFonts w:ascii="Poppins" w:hAnsi="Poppins" w:cs="Poppins"/>
          <w:sz w:val="20"/>
          <w:szCs w:val="20"/>
        </w:rPr>
        <w:t xml:space="preserve">properties, toxicity and the volume stored. </w:t>
      </w:r>
      <w:r>
        <w:rPr>
          <w:rFonts w:ascii="Poppins" w:hAnsi="Poppins" w:cs="Poppins"/>
          <w:sz w:val="20"/>
          <w:szCs w:val="20"/>
        </w:rPr>
        <w:t xml:space="preserve"> </w:t>
      </w:r>
      <w:r w:rsidRPr="0010732D">
        <w:rPr>
          <w:rFonts w:ascii="Poppins" w:hAnsi="Poppins" w:cs="Poppins"/>
          <w:sz w:val="20"/>
          <w:szCs w:val="20"/>
        </w:rPr>
        <w:fldChar w:fldCharType="begin"/>
      </w:r>
      <w:r w:rsidRPr="0010732D">
        <w:rPr>
          <w:rFonts w:ascii="Poppins" w:hAnsi="Poppins" w:cs="Poppins"/>
          <w:sz w:val="20"/>
          <w:szCs w:val="20"/>
        </w:rPr>
        <w:instrText xml:space="preserve"> REF _Ref67652947 \r \h  \* MERGEFORMAT </w:instrText>
      </w:r>
      <w:r w:rsidRPr="0010732D">
        <w:rPr>
          <w:rFonts w:ascii="Poppins" w:hAnsi="Poppins" w:cs="Poppins"/>
          <w:sz w:val="20"/>
          <w:szCs w:val="20"/>
        </w:rPr>
      </w:r>
      <w:r w:rsidRPr="0010732D">
        <w:rPr>
          <w:rFonts w:ascii="Poppins" w:hAnsi="Poppins" w:cs="Poppins"/>
          <w:sz w:val="20"/>
          <w:szCs w:val="20"/>
        </w:rPr>
        <w:fldChar w:fldCharType="separate"/>
      </w:r>
      <w:r w:rsidRPr="0010732D">
        <w:rPr>
          <w:rFonts w:ascii="Poppins" w:hAnsi="Poppins" w:cs="Poppins"/>
          <w:sz w:val="20"/>
          <w:szCs w:val="20"/>
        </w:rPr>
        <w:t xml:space="preserve">Table </w:t>
      </w:r>
      <w:r w:rsidR="005A63E2">
        <w:rPr>
          <w:rFonts w:ascii="Poppins" w:hAnsi="Poppins" w:cs="Poppins"/>
          <w:sz w:val="20"/>
          <w:szCs w:val="20"/>
        </w:rPr>
        <w:t>2</w:t>
      </w:r>
      <w:r w:rsidRPr="0010732D">
        <w:rPr>
          <w:rFonts w:ascii="Poppins" w:hAnsi="Poppins" w:cs="Poppins"/>
          <w:sz w:val="20"/>
          <w:szCs w:val="20"/>
        </w:rPr>
        <w:fldChar w:fldCharType="end"/>
      </w:r>
      <w:r w:rsidRPr="0010732D">
        <w:rPr>
          <w:rFonts w:ascii="Poppins" w:hAnsi="Poppins" w:cs="Poppins"/>
          <w:sz w:val="20"/>
          <w:szCs w:val="20"/>
        </w:rPr>
        <w:t xml:space="preserve"> </w:t>
      </w:r>
      <w:r>
        <w:rPr>
          <w:rFonts w:ascii="Poppins" w:hAnsi="Poppins" w:cs="Poppins"/>
          <w:sz w:val="20"/>
          <w:szCs w:val="20"/>
        </w:rPr>
        <w:t>details the r</w:t>
      </w:r>
      <w:r w:rsidRPr="0010732D">
        <w:rPr>
          <w:rFonts w:ascii="Poppins" w:hAnsi="Poppins" w:cs="Poppins"/>
          <w:sz w:val="20"/>
          <w:szCs w:val="20"/>
        </w:rPr>
        <w:t xml:space="preserve">aw </w:t>
      </w:r>
      <w:r>
        <w:rPr>
          <w:rFonts w:ascii="Poppins" w:hAnsi="Poppins" w:cs="Poppins"/>
          <w:sz w:val="20"/>
          <w:szCs w:val="20"/>
        </w:rPr>
        <w:t>m</w:t>
      </w:r>
      <w:r w:rsidRPr="0010732D">
        <w:rPr>
          <w:rFonts w:ascii="Poppins" w:hAnsi="Poppins" w:cs="Poppins"/>
          <w:sz w:val="20"/>
          <w:szCs w:val="20"/>
        </w:rPr>
        <w:t>aterials</w:t>
      </w:r>
      <w:r>
        <w:rPr>
          <w:rFonts w:ascii="Poppins" w:hAnsi="Poppins" w:cs="Poppins"/>
          <w:sz w:val="20"/>
          <w:szCs w:val="20"/>
        </w:rPr>
        <w:t xml:space="preserve"> stored on site</w:t>
      </w:r>
      <w:r w:rsidRPr="0010732D">
        <w:rPr>
          <w:rFonts w:ascii="Poppins" w:hAnsi="Poppins" w:cs="Poppins"/>
          <w:sz w:val="20"/>
          <w:szCs w:val="20"/>
        </w:rPr>
        <w:t xml:space="preserve">, </w:t>
      </w:r>
      <w:r w:rsidRPr="0010732D">
        <w:rPr>
          <w:rFonts w:ascii="Poppins" w:hAnsi="Poppins" w:cs="Poppins"/>
          <w:sz w:val="20"/>
          <w:szCs w:val="20"/>
        </w:rPr>
        <w:fldChar w:fldCharType="begin"/>
      </w:r>
      <w:r w:rsidRPr="0010732D">
        <w:rPr>
          <w:rFonts w:ascii="Poppins" w:hAnsi="Poppins" w:cs="Poppins"/>
          <w:sz w:val="20"/>
          <w:szCs w:val="20"/>
        </w:rPr>
        <w:instrText xml:space="preserve"> REF _Ref67652918 \r \h  \* MERGEFORMAT </w:instrText>
      </w:r>
      <w:r w:rsidRPr="0010732D">
        <w:rPr>
          <w:rFonts w:ascii="Poppins" w:hAnsi="Poppins" w:cs="Poppins"/>
          <w:sz w:val="20"/>
          <w:szCs w:val="20"/>
        </w:rPr>
      </w:r>
      <w:r w:rsidRPr="0010732D">
        <w:rPr>
          <w:rFonts w:ascii="Poppins" w:hAnsi="Poppins" w:cs="Poppins"/>
          <w:sz w:val="20"/>
          <w:szCs w:val="20"/>
        </w:rPr>
        <w:fldChar w:fldCharType="separate"/>
      </w:r>
      <w:r w:rsidRPr="0010732D">
        <w:rPr>
          <w:rFonts w:ascii="Poppins" w:hAnsi="Poppins" w:cs="Poppins"/>
          <w:sz w:val="20"/>
          <w:szCs w:val="20"/>
        </w:rPr>
        <w:t>Table 3</w:t>
      </w:r>
      <w:r w:rsidRPr="0010732D">
        <w:rPr>
          <w:rFonts w:ascii="Poppins" w:hAnsi="Poppins" w:cs="Poppins"/>
          <w:sz w:val="20"/>
          <w:szCs w:val="20"/>
        </w:rPr>
        <w:fldChar w:fldCharType="end"/>
      </w:r>
      <w:r w:rsidRPr="0010732D">
        <w:rPr>
          <w:rFonts w:ascii="Poppins" w:hAnsi="Poppins" w:cs="Poppins"/>
          <w:sz w:val="20"/>
          <w:szCs w:val="20"/>
        </w:rPr>
        <w:t xml:space="preserve"> </w:t>
      </w:r>
      <w:r>
        <w:rPr>
          <w:rFonts w:ascii="Poppins" w:hAnsi="Poppins" w:cs="Poppins"/>
          <w:sz w:val="20"/>
          <w:szCs w:val="20"/>
        </w:rPr>
        <w:t xml:space="preserve">details the sludge, sludge cake and process liquors stored on site </w:t>
      </w:r>
      <w:r w:rsidRPr="0010732D">
        <w:rPr>
          <w:rFonts w:ascii="Poppins" w:hAnsi="Poppins" w:cs="Poppins"/>
          <w:sz w:val="20"/>
          <w:szCs w:val="20"/>
        </w:rPr>
        <w:t xml:space="preserve">and </w:t>
      </w:r>
      <w:r w:rsidRPr="0010732D">
        <w:rPr>
          <w:rFonts w:ascii="Poppins" w:hAnsi="Poppins" w:cs="Poppins"/>
          <w:sz w:val="20"/>
          <w:szCs w:val="20"/>
        </w:rPr>
        <w:fldChar w:fldCharType="begin"/>
      </w:r>
      <w:r w:rsidRPr="0010732D">
        <w:rPr>
          <w:rFonts w:ascii="Poppins" w:hAnsi="Poppins" w:cs="Poppins"/>
          <w:sz w:val="20"/>
          <w:szCs w:val="20"/>
        </w:rPr>
        <w:instrText xml:space="preserve"> REF _Ref67652928 \r \h  \* MERGEFORMAT </w:instrText>
      </w:r>
      <w:r w:rsidRPr="0010732D">
        <w:rPr>
          <w:rFonts w:ascii="Poppins" w:hAnsi="Poppins" w:cs="Poppins"/>
          <w:sz w:val="20"/>
          <w:szCs w:val="20"/>
        </w:rPr>
      </w:r>
      <w:r w:rsidRPr="0010732D">
        <w:rPr>
          <w:rFonts w:ascii="Poppins" w:hAnsi="Poppins" w:cs="Poppins"/>
          <w:sz w:val="20"/>
          <w:szCs w:val="20"/>
        </w:rPr>
        <w:fldChar w:fldCharType="separate"/>
      </w:r>
      <w:r w:rsidRPr="0010732D">
        <w:rPr>
          <w:rFonts w:ascii="Poppins" w:hAnsi="Poppins" w:cs="Poppins"/>
          <w:sz w:val="20"/>
          <w:szCs w:val="20"/>
        </w:rPr>
        <w:t>Table 4</w:t>
      </w:r>
      <w:r w:rsidRPr="0010732D">
        <w:rPr>
          <w:rFonts w:ascii="Poppins" w:hAnsi="Poppins" w:cs="Poppins"/>
          <w:sz w:val="20"/>
          <w:szCs w:val="20"/>
        </w:rPr>
        <w:fldChar w:fldCharType="end"/>
      </w:r>
      <w:r w:rsidRPr="0010732D">
        <w:rPr>
          <w:rFonts w:ascii="Poppins" w:hAnsi="Poppins" w:cs="Poppins"/>
          <w:sz w:val="20"/>
          <w:szCs w:val="20"/>
        </w:rPr>
        <w:t xml:space="preserve"> </w:t>
      </w:r>
      <w:r>
        <w:rPr>
          <w:rFonts w:ascii="Poppins" w:hAnsi="Poppins" w:cs="Poppins"/>
          <w:sz w:val="20"/>
          <w:szCs w:val="20"/>
        </w:rPr>
        <w:t>details the w</w:t>
      </w:r>
      <w:r w:rsidRPr="0010732D">
        <w:rPr>
          <w:rFonts w:ascii="Poppins" w:hAnsi="Poppins" w:cs="Poppins"/>
          <w:sz w:val="20"/>
          <w:szCs w:val="20"/>
        </w:rPr>
        <w:t xml:space="preserve">aste </w:t>
      </w:r>
      <w:r>
        <w:rPr>
          <w:rFonts w:ascii="Poppins" w:hAnsi="Poppins" w:cs="Poppins"/>
          <w:sz w:val="20"/>
          <w:szCs w:val="20"/>
        </w:rPr>
        <w:t>m</w:t>
      </w:r>
      <w:r w:rsidRPr="0010732D">
        <w:rPr>
          <w:rFonts w:ascii="Poppins" w:hAnsi="Poppins" w:cs="Poppins"/>
          <w:sz w:val="20"/>
          <w:szCs w:val="20"/>
        </w:rPr>
        <w:t>aterials</w:t>
      </w:r>
      <w:r>
        <w:rPr>
          <w:rFonts w:ascii="Poppins" w:hAnsi="Poppins" w:cs="Poppins"/>
          <w:sz w:val="20"/>
          <w:szCs w:val="20"/>
        </w:rPr>
        <w:t xml:space="preserve"> stored on site.</w:t>
      </w:r>
    </w:p>
    <w:p w14:paraId="5D5937E5" w14:textId="6A46DA9C" w:rsidR="00934BEF" w:rsidRPr="00934BEF" w:rsidRDefault="00934BEF" w:rsidP="00934BEF">
      <w:pPr>
        <w:spacing w:after="60"/>
        <w:rPr>
          <w:rFonts w:ascii="Poppins" w:hAnsi="Poppins" w:cs="Poppins"/>
          <w:b/>
          <w:sz w:val="20"/>
          <w:szCs w:val="20"/>
        </w:rPr>
      </w:pPr>
      <w:bookmarkStart w:id="1" w:name="_Ref67652947"/>
      <w:r>
        <w:rPr>
          <w:rFonts w:ascii="Poppins" w:hAnsi="Poppins" w:cs="Poppins"/>
          <w:b/>
          <w:sz w:val="20"/>
          <w:szCs w:val="20"/>
        </w:rPr>
        <w:t xml:space="preserve">Table </w:t>
      </w:r>
      <w:r w:rsidR="005A63E2">
        <w:rPr>
          <w:rFonts w:ascii="Poppins" w:hAnsi="Poppins" w:cs="Poppins"/>
          <w:b/>
          <w:sz w:val="20"/>
          <w:szCs w:val="20"/>
        </w:rPr>
        <w:t>2</w:t>
      </w:r>
      <w:r>
        <w:rPr>
          <w:rFonts w:ascii="Poppins" w:hAnsi="Poppins" w:cs="Poppins"/>
          <w:b/>
          <w:sz w:val="20"/>
          <w:szCs w:val="20"/>
        </w:rPr>
        <w:t xml:space="preserve">: </w:t>
      </w:r>
      <w:r w:rsidRPr="00934BEF">
        <w:rPr>
          <w:rFonts w:ascii="Poppins" w:hAnsi="Poppins" w:cs="Poppins"/>
          <w:b/>
          <w:sz w:val="20"/>
          <w:szCs w:val="20"/>
        </w:rPr>
        <w:t>Raw Materials Associated with the Facility and their Potential to Pollute</w:t>
      </w:r>
      <w:bookmarkEnd w:id="1"/>
    </w:p>
    <w:tbl>
      <w:tblPr>
        <w:tblW w:w="14601" w:type="dxa"/>
        <w:tblInd w:w="-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1843"/>
        <w:gridCol w:w="2835"/>
        <w:gridCol w:w="1134"/>
        <w:gridCol w:w="5103"/>
        <w:gridCol w:w="3686"/>
      </w:tblGrid>
      <w:tr w:rsidR="0010732D" w:rsidRPr="00522206" w14:paraId="0650EFC2" w14:textId="77777777" w:rsidTr="0010732D">
        <w:trPr>
          <w:tblHeader/>
        </w:trPr>
        <w:tc>
          <w:tcPr>
            <w:tcW w:w="1843" w:type="dxa"/>
            <w:shd w:val="clear" w:color="auto" w:fill="004C6C"/>
            <w:vAlign w:val="center"/>
          </w:tcPr>
          <w:p w14:paraId="42C2225C" w14:textId="77777777" w:rsidR="0010732D" w:rsidRPr="00522206" w:rsidRDefault="0010732D" w:rsidP="0010732D">
            <w:pPr>
              <w:pStyle w:val="TableHeaderText"/>
              <w:spacing w:line="240" w:lineRule="auto"/>
              <w:jc w:val="center"/>
              <w:rPr>
                <w:rFonts w:ascii="Poppins" w:hAnsi="Poppins" w:cs="Poppins"/>
                <w:b/>
                <w:bCs/>
                <w:sz w:val="18"/>
                <w:szCs w:val="18"/>
              </w:rPr>
            </w:pPr>
            <w:r w:rsidRPr="00522206">
              <w:rPr>
                <w:rFonts w:ascii="Poppins" w:hAnsi="Poppins" w:cs="Poppins"/>
                <w:b/>
                <w:bCs/>
                <w:sz w:val="18"/>
                <w:szCs w:val="18"/>
              </w:rPr>
              <w:t>Substance (Contaminants)</w:t>
            </w:r>
          </w:p>
        </w:tc>
        <w:tc>
          <w:tcPr>
            <w:tcW w:w="2835" w:type="dxa"/>
            <w:shd w:val="clear" w:color="auto" w:fill="004C6C"/>
            <w:vAlign w:val="center"/>
          </w:tcPr>
          <w:p w14:paraId="2CACF8EB" w14:textId="77777777" w:rsidR="0010732D" w:rsidRPr="00522206" w:rsidRDefault="0010732D" w:rsidP="0010732D">
            <w:pPr>
              <w:pStyle w:val="TableHeaderText"/>
              <w:spacing w:line="240" w:lineRule="auto"/>
              <w:jc w:val="center"/>
              <w:rPr>
                <w:rFonts w:ascii="Poppins" w:hAnsi="Poppins" w:cs="Poppins"/>
                <w:b/>
                <w:bCs/>
                <w:sz w:val="18"/>
                <w:szCs w:val="18"/>
              </w:rPr>
            </w:pPr>
            <w:r w:rsidRPr="00522206">
              <w:rPr>
                <w:rFonts w:ascii="Poppins" w:hAnsi="Poppins" w:cs="Poppins"/>
                <w:b/>
                <w:bCs/>
                <w:sz w:val="18"/>
                <w:szCs w:val="18"/>
              </w:rPr>
              <w:t>Use</w:t>
            </w:r>
          </w:p>
        </w:tc>
        <w:tc>
          <w:tcPr>
            <w:tcW w:w="1134" w:type="dxa"/>
            <w:shd w:val="clear" w:color="auto" w:fill="004C6C"/>
            <w:vAlign w:val="center"/>
          </w:tcPr>
          <w:p w14:paraId="02D60C84" w14:textId="77777777" w:rsidR="0010732D" w:rsidRPr="00522206" w:rsidRDefault="0010732D" w:rsidP="0010732D">
            <w:pPr>
              <w:pStyle w:val="TableHeaderText"/>
              <w:spacing w:line="240" w:lineRule="auto"/>
              <w:jc w:val="center"/>
              <w:rPr>
                <w:rFonts w:ascii="Poppins" w:hAnsi="Poppins" w:cs="Poppins"/>
                <w:b/>
                <w:bCs/>
                <w:sz w:val="18"/>
                <w:szCs w:val="18"/>
              </w:rPr>
            </w:pPr>
            <w:r w:rsidRPr="00522206">
              <w:rPr>
                <w:rFonts w:ascii="Poppins" w:hAnsi="Poppins" w:cs="Poppins"/>
                <w:b/>
                <w:bCs/>
                <w:sz w:val="18"/>
                <w:szCs w:val="18"/>
              </w:rPr>
              <w:t>State</w:t>
            </w:r>
          </w:p>
        </w:tc>
        <w:tc>
          <w:tcPr>
            <w:tcW w:w="5103" w:type="dxa"/>
            <w:shd w:val="clear" w:color="auto" w:fill="004C6C"/>
            <w:vAlign w:val="center"/>
          </w:tcPr>
          <w:p w14:paraId="68AADFD2" w14:textId="77777777" w:rsidR="0010732D" w:rsidRPr="00522206" w:rsidRDefault="0010732D" w:rsidP="0010732D">
            <w:pPr>
              <w:pStyle w:val="TableHeaderText"/>
              <w:spacing w:line="240" w:lineRule="auto"/>
              <w:jc w:val="center"/>
              <w:rPr>
                <w:rFonts w:ascii="Poppins" w:hAnsi="Poppins" w:cs="Poppins"/>
                <w:b/>
                <w:bCs/>
                <w:sz w:val="18"/>
                <w:szCs w:val="18"/>
              </w:rPr>
            </w:pPr>
            <w:r w:rsidRPr="00522206">
              <w:rPr>
                <w:rFonts w:ascii="Poppins" w:hAnsi="Poppins" w:cs="Poppins"/>
                <w:b/>
                <w:bCs/>
                <w:sz w:val="18"/>
                <w:szCs w:val="18"/>
              </w:rPr>
              <w:t>Storage Arrangements</w:t>
            </w:r>
          </w:p>
        </w:tc>
        <w:tc>
          <w:tcPr>
            <w:tcW w:w="3686" w:type="dxa"/>
            <w:shd w:val="clear" w:color="auto" w:fill="004C6C"/>
            <w:vAlign w:val="center"/>
          </w:tcPr>
          <w:p w14:paraId="7E595A26" w14:textId="77777777" w:rsidR="0010732D" w:rsidRPr="00522206" w:rsidRDefault="0010732D" w:rsidP="0010732D">
            <w:pPr>
              <w:pStyle w:val="TableHeaderText"/>
              <w:spacing w:line="240" w:lineRule="auto"/>
              <w:jc w:val="center"/>
              <w:rPr>
                <w:rFonts w:ascii="Poppins" w:hAnsi="Poppins" w:cs="Poppins"/>
                <w:b/>
                <w:bCs/>
                <w:sz w:val="18"/>
                <w:szCs w:val="18"/>
              </w:rPr>
            </w:pPr>
            <w:r w:rsidRPr="00522206">
              <w:rPr>
                <w:rFonts w:ascii="Poppins" w:hAnsi="Poppins" w:cs="Poppins"/>
                <w:b/>
                <w:bCs/>
                <w:sz w:val="18"/>
                <w:szCs w:val="18"/>
              </w:rPr>
              <w:t>Toxicity/ Fate/ Mobility</w:t>
            </w:r>
          </w:p>
        </w:tc>
      </w:tr>
      <w:tr w:rsidR="0010732D" w:rsidRPr="0010732D" w14:paraId="5E619593" w14:textId="77777777" w:rsidTr="0010732D">
        <w:tc>
          <w:tcPr>
            <w:tcW w:w="1843" w:type="dxa"/>
            <w:vAlign w:val="center"/>
          </w:tcPr>
          <w:p w14:paraId="6A0AA743"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Polymer (liquid)</w:t>
            </w:r>
          </w:p>
        </w:tc>
        <w:tc>
          <w:tcPr>
            <w:tcW w:w="2835" w:type="dxa"/>
            <w:vAlign w:val="center"/>
          </w:tcPr>
          <w:p w14:paraId="35BFA19D"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Coagulant used to aid for raw sludge thickening</w:t>
            </w:r>
          </w:p>
        </w:tc>
        <w:tc>
          <w:tcPr>
            <w:tcW w:w="1134" w:type="dxa"/>
            <w:vAlign w:val="center"/>
          </w:tcPr>
          <w:p w14:paraId="13A7C992"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Liquid</w:t>
            </w:r>
          </w:p>
        </w:tc>
        <w:tc>
          <w:tcPr>
            <w:tcW w:w="5103" w:type="dxa"/>
          </w:tcPr>
          <w:p w14:paraId="26ECAF19"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10m</w:t>
            </w:r>
            <w:r w:rsidRPr="0010732D">
              <w:rPr>
                <w:rFonts w:ascii="Poppins" w:hAnsi="Poppins" w:cs="Poppins"/>
                <w:sz w:val="18"/>
                <w:szCs w:val="18"/>
                <w:vertAlign w:val="superscript"/>
              </w:rPr>
              <w:t>3</w:t>
            </w:r>
            <w:r w:rsidRPr="0010732D">
              <w:rPr>
                <w:rFonts w:ascii="Poppins" w:hAnsi="Poppins" w:cs="Poppins"/>
                <w:sz w:val="18"/>
                <w:szCs w:val="18"/>
              </w:rPr>
              <w:t xml:space="preserve"> bunded fibreglass tank (internal). Located on hardstanding surrounded by grill with a sump below. Occasional 1m</w:t>
            </w:r>
            <w:r w:rsidRPr="0010732D">
              <w:rPr>
                <w:rFonts w:ascii="Poppins" w:hAnsi="Poppins" w:cs="Poppins"/>
                <w:sz w:val="18"/>
                <w:szCs w:val="18"/>
                <w:vertAlign w:val="superscript"/>
              </w:rPr>
              <w:t>3</w:t>
            </w:r>
            <w:r w:rsidRPr="0010732D">
              <w:rPr>
                <w:rFonts w:ascii="Poppins" w:hAnsi="Poppins" w:cs="Poppins"/>
                <w:sz w:val="18"/>
                <w:szCs w:val="18"/>
              </w:rPr>
              <w:t xml:space="preserve"> ICB storage.</w:t>
            </w:r>
          </w:p>
        </w:tc>
        <w:tc>
          <w:tcPr>
            <w:tcW w:w="3686" w:type="dxa"/>
            <w:vAlign w:val="center"/>
          </w:tcPr>
          <w:p w14:paraId="61060961"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Polluting to soil and watercourses in the event of a spillage/loss</w:t>
            </w:r>
          </w:p>
        </w:tc>
      </w:tr>
      <w:tr w:rsidR="0010732D" w:rsidRPr="0010732D" w14:paraId="08D6FFF4" w14:textId="77777777" w:rsidTr="0010732D">
        <w:tc>
          <w:tcPr>
            <w:tcW w:w="1843" w:type="dxa"/>
            <w:vAlign w:val="center"/>
          </w:tcPr>
          <w:p w14:paraId="60B409BC"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Polymer (liquid)</w:t>
            </w:r>
          </w:p>
        </w:tc>
        <w:tc>
          <w:tcPr>
            <w:tcW w:w="2835" w:type="dxa"/>
            <w:vAlign w:val="center"/>
          </w:tcPr>
          <w:p w14:paraId="75E64942"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Diluted coagulant used to aid for raw sludge thickening</w:t>
            </w:r>
          </w:p>
        </w:tc>
        <w:tc>
          <w:tcPr>
            <w:tcW w:w="1134" w:type="dxa"/>
            <w:vAlign w:val="center"/>
          </w:tcPr>
          <w:p w14:paraId="1E95729F"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Liquid</w:t>
            </w:r>
          </w:p>
        </w:tc>
        <w:tc>
          <w:tcPr>
            <w:tcW w:w="5103" w:type="dxa"/>
          </w:tcPr>
          <w:p w14:paraId="665B0B29"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2m</w:t>
            </w:r>
            <w:r w:rsidRPr="0010732D">
              <w:rPr>
                <w:rFonts w:ascii="Poppins" w:hAnsi="Poppins" w:cs="Poppins"/>
                <w:sz w:val="18"/>
                <w:szCs w:val="18"/>
                <w:vertAlign w:val="superscript"/>
              </w:rPr>
              <w:t>3</w:t>
            </w:r>
            <w:r w:rsidRPr="0010732D">
              <w:rPr>
                <w:rFonts w:ascii="Poppins" w:hAnsi="Poppins" w:cs="Poppins"/>
                <w:sz w:val="18"/>
                <w:szCs w:val="18"/>
              </w:rPr>
              <w:t xml:space="preserve"> bunded plastic tank (internal) Located on hardstanding surrounded by a blind sump with grill.</w:t>
            </w:r>
          </w:p>
        </w:tc>
        <w:tc>
          <w:tcPr>
            <w:tcW w:w="3686" w:type="dxa"/>
            <w:vAlign w:val="center"/>
          </w:tcPr>
          <w:p w14:paraId="4DC81616"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Polluting to soil and watercourses in the event of a spillage/loss</w:t>
            </w:r>
          </w:p>
        </w:tc>
      </w:tr>
      <w:tr w:rsidR="0010732D" w:rsidRPr="0010732D" w14:paraId="268781CE" w14:textId="77777777" w:rsidTr="0010732D">
        <w:tc>
          <w:tcPr>
            <w:tcW w:w="1843" w:type="dxa"/>
            <w:vAlign w:val="center"/>
          </w:tcPr>
          <w:p w14:paraId="3B25E22C"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Ferric Chloride</w:t>
            </w:r>
          </w:p>
        </w:tc>
        <w:tc>
          <w:tcPr>
            <w:tcW w:w="12758" w:type="dxa"/>
            <w:gridSpan w:val="4"/>
          </w:tcPr>
          <w:p w14:paraId="3762841B"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1.5m</w:t>
            </w:r>
            <w:r w:rsidRPr="0010732D">
              <w:rPr>
                <w:rFonts w:ascii="Poppins" w:hAnsi="Poppins" w:cs="Poppins"/>
                <w:sz w:val="18"/>
                <w:szCs w:val="18"/>
                <w:vertAlign w:val="superscript"/>
              </w:rPr>
              <w:t>3</w:t>
            </w:r>
            <w:r w:rsidRPr="0010732D">
              <w:rPr>
                <w:rFonts w:ascii="Poppins" w:hAnsi="Poppins" w:cs="Poppins"/>
                <w:sz w:val="18"/>
                <w:szCs w:val="18"/>
              </w:rPr>
              <w:t xml:space="preserve"> tank – not used at present</w:t>
            </w:r>
          </w:p>
        </w:tc>
      </w:tr>
      <w:tr w:rsidR="0010732D" w:rsidRPr="0010732D" w14:paraId="1BB657D5" w14:textId="77777777" w:rsidTr="0010732D">
        <w:trPr>
          <w:trHeight w:val="270"/>
        </w:trPr>
        <w:tc>
          <w:tcPr>
            <w:tcW w:w="1843" w:type="dxa"/>
            <w:vMerge w:val="restart"/>
            <w:vAlign w:val="center"/>
          </w:tcPr>
          <w:p w14:paraId="378B89D6"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Polymer (powder)</w:t>
            </w:r>
          </w:p>
        </w:tc>
        <w:tc>
          <w:tcPr>
            <w:tcW w:w="2835" w:type="dxa"/>
            <w:vMerge w:val="restart"/>
            <w:vAlign w:val="center"/>
          </w:tcPr>
          <w:p w14:paraId="7F33B3F3"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Coagulant used for digested sludge dewatering</w:t>
            </w:r>
          </w:p>
        </w:tc>
        <w:tc>
          <w:tcPr>
            <w:tcW w:w="1134" w:type="dxa"/>
            <w:vMerge w:val="restart"/>
            <w:vAlign w:val="center"/>
          </w:tcPr>
          <w:p w14:paraId="7D8B6FFA"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Solid</w:t>
            </w:r>
          </w:p>
        </w:tc>
        <w:tc>
          <w:tcPr>
            <w:tcW w:w="5103" w:type="dxa"/>
            <w:vMerge w:val="restart"/>
            <w:vAlign w:val="center"/>
          </w:tcPr>
          <w:p w14:paraId="6953D004" w14:textId="77777777" w:rsidR="0010732D" w:rsidRPr="0010732D" w:rsidRDefault="0010732D" w:rsidP="0010732D">
            <w:pPr>
              <w:pStyle w:val="TableBodyText"/>
              <w:spacing w:line="240" w:lineRule="auto"/>
              <w:rPr>
                <w:rFonts w:ascii="Poppins" w:hAnsi="Poppins" w:cs="Poppins"/>
                <w:sz w:val="18"/>
                <w:szCs w:val="18"/>
                <w:highlight w:val="cyan"/>
              </w:rPr>
            </w:pPr>
            <w:r w:rsidRPr="0010732D">
              <w:rPr>
                <w:rFonts w:ascii="Poppins" w:hAnsi="Poppins" w:cs="Poppins"/>
                <w:sz w:val="18"/>
                <w:szCs w:val="18"/>
              </w:rPr>
              <w:t xml:space="preserve">750kg bags in dedicated hopper room. Mixing tank and associated pipework located within centrifuge building. </w:t>
            </w:r>
          </w:p>
        </w:tc>
        <w:tc>
          <w:tcPr>
            <w:tcW w:w="3686" w:type="dxa"/>
            <w:vMerge w:val="restart"/>
            <w:vAlign w:val="center"/>
          </w:tcPr>
          <w:p w14:paraId="4F600F94"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Polluting if mobilised to watercourses in the event of a spillage/loss</w:t>
            </w:r>
          </w:p>
        </w:tc>
      </w:tr>
      <w:tr w:rsidR="0010732D" w:rsidRPr="0010732D" w14:paraId="3A3C7644" w14:textId="77777777" w:rsidTr="0010732D">
        <w:trPr>
          <w:trHeight w:val="270"/>
        </w:trPr>
        <w:tc>
          <w:tcPr>
            <w:tcW w:w="1843" w:type="dxa"/>
            <w:vMerge/>
            <w:vAlign w:val="center"/>
          </w:tcPr>
          <w:p w14:paraId="3D544552" w14:textId="77777777" w:rsidR="0010732D" w:rsidRPr="0010732D" w:rsidRDefault="0010732D" w:rsidP="0010732D">
            <w:pPr>
              <w:pStyle w:val="TableBodyText"/>
              <w:spacing w:line="240" w:lineRule="auto"/>
              <w:rPr>
                <w:rFonts w:ascii="Poppins" w:hAnsi="Poppins" w:cs="Poppins"/>
                <w:sz w:val="18"/>
                <w:szCs w:val="18"/>
              </w:rPr>
            </w:pPr>
          </w:p>
        </w:tc>
        <w:tc>
          <w:tcPr>
            <w:tcW w:w="2835" w:type="dxa"/>
            <w:vMerge/>
            <w:vAlign w:val="center"/>
          </w:tcPr>
          <w:p w14:paraId="64F42471" w14:textId="77777777" w:rsidR="0010732D" w:rsidRPr="0010732D" w:rsidRDefault="0010732D" w:rsidP="0010732D">
            <w:pPr>
              <w:pStyle w:val="TableBodyText"/>
              <w:spacing w:line="240" w:lineRule="auto"/>
              <w:rPr>
                <w:rFonts w:ascii="Poppins" w:hAnsi="Poppins" w:cs="Poppins"/>
                <w:sz w:val="18"/>
                <w:szCs w:val="18"/>
              </w:rPr>
            </w:pPr>
          </w:p>
        </w:tc>
        <w:tc>
          <w:tcPr>
            <w:tcW w:w="1134" w:type="dxa"/>
            <w:vMerge/>
            <w:vAlign w:val="center"/>
          </w:tcPr>
          <w:p w14:paraId="0526F219" w14:textId="77777777" w:rsidR="0010732D" w:rsidRPr="0010732D" w:rsidRDefault="0010732D" w:rsidP="0010732D">
            <w:pPr>
              <w:pStyle w:val="TableBodyText"/>
              <w:spacing w:line="240" w:lineRule="auto"/>
              <w:rPr>
                <w:rFonts w:ascii="Poppins" w:hAnsi="Poppins" w:cs="Poppins"/>
                <w:sz w:val="18"/>
                <w:szCs w:val="18"/>
              </w:rPr>
            </w:pPr>
          </w:p>
        </w:tc>
        <w:tc>
          <w:tcPr>
            <w:tcW w:w="5103" w:type="dxa"/>
            <w:vMerge/>
          </w:tcPr>
          <w:p w14:paraId="422263E7" w14:textId="77777777" w:rsidR="0010732D" w:rsidRPr="0010732D" w:rsidRDefault="0010732D" w:rsidP="0010732D">
            <w:pPr>
              <w:pStyle w:val="TableBodyText"/>
              <w:spacing w:line="240" w:lineRule="auto"/>
              <w:rPr>
                <w:rFonts w:ascii="Poppins" w:hAnsi="Poppins" w:cs="Poppins"/>
                <w:sz w:val="18"/>
                <w:szCs w:val="18"/>
                <w:highlight w:val="yellow"/>
              </w:rPr>
            </w:pPr>
          </w:p>
        </w:tc>
        <w:tc>
          <w:tcPr>
            <w:tcW w:w="3686" w:type="dxa"/>
            <w:vMerge/>
            <w:vAlign w:val="center"/>
          </w:tcPr>
          <w:p w14:paraId="3C5F5EF3" w14:textId="77777777" w:rsidR="0010732D" w:rsidRPr="0010732D" w:rsidRDefault="0010732D" w:rsidP="0010732D">
            <w:pPr>
              <w:pStyle w:val="TableBodyText"/>
              <w:spacing w:line="240" w:lineRule="auto"/>
              <w:rPr>
                <w:rFonts w:ascii="Poppins" w:hAnsi="Poppins" w:cs="Poppins"/>
                <w:sz w:val="18"/>
                <w:szCs w:val="18"/>
              </w:rPr>
            </w:pPr>
          </w:p>
        </w:tc>
      </w:tr>
      <w:tr w:rsidR="0010732D" w:rsidRPr="0010732D" w14:paraId="4A271117" w14:textId="77777777" w:rsidTr="0010732D">
        <w:tc>
          <w:tcPr>
            <w:tcW w:w="1843" w:type="dxa"/>
            <w:vAlign w:val="center"/>
          </w:tcPr>
          <w:p w14:paraId="3C91DA9B"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Antifoam</w:t>
            </w:r>
          </w:p>
        </w:tc>
        <w:tc>
          <w:tcPr>
            <w:tcW w:w="2835" w:type="dxa"/>
            <w:vAlign w:val="center"/>
          </w:tcPr>
          <w:p w14:paraId="427C4639"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Digester antifoaming agent</w:t>
            </w:r>
          </w:p>
        </w:tc>
        <w:tc>
          <w:tcPr>
            <w:tcW w:w="1134" w:type="dxa"/>
            <w:vAlign w:val="center"/>
          </w:tcPr>
          <w:p w14:paraId="349ED159"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Liquid</w:t>
            </w:r>
          </w:p>
        </w:tc>
        <w:tc>
          <w:tcPr>
            <w:tcW w:w="5103" w:type="dxa"/>
            <w:vAlign w:val="center"/>
          </w:tcPr>
          <w:p w14:paraId="4BD2189A"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IBCs (1 m</w:t>
            </w:r>
            <w:r w:rsidRPr="0010732D">
              <w:rPr>
                <w:rFonts w:ascii="Poppins" w:hAnsi="Poppins" w:cs="Poppins"/>
                <w:sz w:val="18"/>
                <w:szCs w:val="18"/>
                <w:vertAlign w:val="superscript"/>
              </w:rPr>
              <w:t>3</w:t>
            </w:r>
            <w:r w:rsidRPr="0010732D">
              <w:rPr>
                <w:rFonts w:ascii="Poppins" w:hAnsi="Poppins" w:cs="Poppins"/>
                <w:sz w:val="18"/>
                <w:szCs w:val="18"/>
              </w:rPr>
              <w:t>), dosing storage (stock tank- 0.128m</w:t>
            </w:r>
            <w:r w:rsidRPr="0010732D">
              <w:rPr>
                <w:rFonts w:ascii="Poppins" w:hAnsi="Poppins" w:cs="Poppins"/>
                <w:sz w:val="18"/>
                <w:szCs w:val="18"/>
                <w:vertAlign w:val="superscript"/>
              </w:rPr>
              <w:t>3</w:t>
            </w:r>
            <w:r w:rsidRPr="0010732D">
              <w:rPr>
                <w:rFonts w:ascii="Poppins" w:hAnsi="Poppins" w:cs="Poppins"/>
                <w:sz w:val="18"/>
                <w:szCs w:val="18"/>
              </w:rPr>
              <w:t xml:space="preserve">) and associated dosing pump and pipework stored on hardstanding within digester compound. </w:t>
            </w:r>
          </w:p>
        </w:tc>
        <w:tc>
          <w:tcPr>
            <w:tcW w:w="3686" w:type="dxa"/>
            <w:vAlign w:val="center"/>
          </w:tcPr>
          <w:p w14:paraId="56069A8B"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Polluting to soil and watercourses in the event of a spillage/loss</w:t>
            </w:r>
          </w:p>
        </w:tc>
      </w:tr>
      <w:tr w:rsidR="0010732D" w:rsidRPr="0010732D" w14:paraId="5665D082" w14:textId="77777777" w:rsidTr="0010732D">
        <w:tc>
          <w:tcPr>
            <w:tcW w:w="1843" w:type="dxa"/>
            <w:vAlign w:val="center"/>
          </w:tcPr>
          <w:p w14:paraId="57C7821C"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Water treatment chemicals</w:t>
            </w:r>
          </w:p>
        </w:tc>
        <w:tc>
          <w:tcPr>
            <w:tcW w:w="2835" w:type="dxa"/>
            <w:vAlign w:val="center"/>
          </w:tcPr>
          <w:p w14:paraId="1BD75573"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Boiler treatment</w:t>
            </w:r>
          </w:p>
        </w:tc>
        <w:tc>
          <w:tcPr>
            <w:tcW w:w="1134" w:type="dxa"/>
            <w:vAlign w:val="center"/>
          </w:tcPr>
          <w:p w14:paraId="2EF5D81F"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Liquid and solid</w:t>
            </w:r>
          </w:p>
        </w:tc>
        <w:tc>
          <w:tcPr>
            <w:tcW w:w="5103" w:type="dxa"/>
            <w:vMerge w:val="restart"/>
          </w:tcPr>
          <w:p w14:paraId="2870F1B5"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 xml:space="preserve">Brought to site by contractors for periodic maintenance only. No storage on site. </w:t>
            </w:r>
          </w:p>
        </w:tc>
        <w:tc>
          <w:tcPr>
            <w:tcW w:w="3686" w:type="dxa"/>
            <w:vMerge w:val="restart"/>
            <w:vAlign w:val="center"/>
          </w:tcPr>
          <w:p w14:paraId="0FF57B6F"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Polluting to soil and watercourses in the event of a spillage/loss</w:t>
            </w:r>
          </w:p>
        </w:tc>
      </w:tr>
      <w:tr w:rsidR="0010732D" w:rsidRPr="0010732D" w14:paraId="77D19A42" w14:textId="77777777" w:rsidTr="0010732D">
        <w:tc>
          <w:tcPr>
            <w:tcW w:w="1843" w:type="dxa"/>
            <w:vAlign w:val="center"/>
          </w:tcPr>
          <w:p w14:paraId="1AFCEE5C"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Glycol</w:t>
            </w:r>
          </w:p>
        </w:tc>
        <w:tc>
          <w:tcPr>
            <w:tcW w:w="2835" w:type="dxa"/>
            <w:vAlign w:val="center"/>
          </w:tcPr>
          <w:p w14:paraId="7450FECF"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Antifreeze for use in CHP equipment</w:t>
            </w:r>
          </w:p>
        </w:tc>
        <w:tc>
          <w:tcPr>
            <w:tcW w:w="1134" w:type="dxa"/>
            <w:vAlign w:val="center"/>
          </w:tcPr>
          <w:p w14:paraId="624C3EA9"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Liquid</w:t>
            </w:r>
          </w:p>
        </w:tc>
        <w:tc>
          <w:tcPr>
            <w:tcW w:w="5103" w:type="dxa"/>
            <w:vMerge/>
            <w:vAlign w:val="center"/>
          </w:tcPr>
          <w:p w14:paraId="220CD627" w14:textId="77777777" w:rsidR="0010732D" w:rsidRPr="0010732D" w:rsidRDefault="0010732D" w:rsidP="0010732D">
            <w:pPr>
              <w:pStyle w:val="TableBodyText"/>
              <w:spacing w:line="240" w:lineRule="auto"/>
              <w:rPr>
                <w:rFonts w:ascii="Poppins" w:hAnsi="Poppins" w:cs="Poppins"/>
                <w:sz w:val="18"/>
                <w:szCs w:val="18"/>
                <w:highlight w:val="yellow"/>
              </w:rPr>
            </w:pPr>
          </w:p>
        </w:tc>
        <w:tc>
          <w:tcPr>
            <w:tcW w:w="3686" w:type="dxa"/>
            <w:vMerge/>
            <w:vAlign w:val="center"/>
          </w:tcPr>
          <w:p w14:paraId="61805A33" w14:textId="77777777" w:rsidR="0010732D" w:rsidRPr="0010732D" w:rsidRDefault="0010732D" w:rsidP="0010732D">
            <w:pPr>
              <w:pStyle w:val="TableBodyText"/>
              <w:spacing w:line="240" w:lineRule="auto"/>
              <w:rPr>
                <w:rFonts w:ascii="Poppins" w:hAnsi="Poppins" w:cs="Poppins"/>
                <w:sz w:val="18"/>
                <w:szCs w:val="18"/>
              </w:rPr>
            </w:pPr>
          </w:p>
        </w:tc>
      </w:tr>
      <w:tr w:rsidR="0010732D" w:rsidRPr="0010732D" w14:paraId="55790A4A" w14:textId="77777777" w:rsidTr="0010732D">
        <w:tc>
          <w:tcPr>
            <w:tcW w:w="1843" w:type="dxa"/>
            <w:vAlign w:val="center"/>
          </w:tcPr>
          <w:p w14:paraId="3F17D0A2"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Biogas</w:t>
            </w:r>
          </w:p>
        </w:tc>
        <w:tc>
          <w:tcPr>
            <w:tcW w:w="2835" w:type="dxa"/>
            <w:vAlign w:val="center"/>
          </w:tcPr>
          <w:p w14:paraId="0FABBE08"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Generated within the AD</w:t>
            </w:r>
          </w:p>
        </w:tc>
        <w:tc>
          <w:tcPr>
            <w:tcW w:w="1134" w:type="dxa"/>
            <w:vAlign w:val="center"/>
          </w:tcPr>
          <w:p w14:paraId="4AA5F0F4"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Gas</w:t>
            </w:r>
          </w:p>
        </w:tc>
        <w:tc>
          <w:tcPr>
            <w:tcW w:w="5103" w:type="dxa"/>
          </w:tcPr>
          <w:p w14:paraId="5B199562"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Transferred from AD to gas holder (300m</w:t>
            </w:r>
            <w:r w:rsidRPr="0010732D">
              <w:rPr>
                <w:rFonts w:ascii="Poppins" w:hAnsi="Poppins" w:cs="Poppins"/>
                <w:sz w:val="18"/>
                <w:szCs w:val="18"/>
                <w:vertAlign w:val="superscript"/>
              </w:rPr>
              <w:t>3</w:t>
            </w:r>
            <w:r w:rsidRPr="0010732D">
              <w:rPr>
                <w:rFonts w:ascii="Poppins" w:hAnsi="Poppins" w:cs="Poppins"/>
                <w:sz w:val="18"/>
                <w:szCs w:val="18"/>
              </w:rPr>
              <w:t>) for use in the CHP</w:t>
            </w:r>
          </w:p>
        </w:tc>
        <w:tc>
          <w:tcPr>
            <w:tcW w:w="3686" w:type="dxa"/>
            <w:vAlign w:val="center"/>
          </w:tcPr>
          <w:p w14:paraId="7F84BB25"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Volatile and unlikely to pollute watercourses or land in the event of escape</w:t>
            </w:r>
          </w:p>
        </w:tc>
      </w:tr>
      <w:tr w:rsidR="0010732D" w:rsidRPr="0010732D" w14:paraId="04197B17" w14:textId="77777777" w:rsidTr="0010732D">
        <w:tc>
          <w:tcPr>
            <w:tcW w:w="1843" w:type="dxa"/>
            <w:vAlign w:val="center"/>
          </w:tcPr>
          <w:p w14:paraId="1F8C94E6"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Lubricating oil</w:t>
            </w:r>
          </w:p>
        </w:tc>
        <w:tc>
          <w:tcPr>
            <w:tcW w:w="2835" w:type="dxa"/>
            <w:vAlign w:val="center"/>
          </w:tcPr>
          <w:p w14:paraId="6F38F120"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For use in CHP equipment</w:t>
            </w:r>
          </w:p>
        </w:tc>
        <w:tc>
          <w:tcPr>
            <w:tcW w:w="1134" w:type="dxa"/>
            <w:vAlign w:val="center"/>
          </w:tcPr>
          <w:p w14:paraId="768753F4"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Liquid</w:t>
            </w:r>
          </w:p>
        </w:tc>
        <w:tc>
          <w:tcPr>
            <w:tcW w:w="5103" w:type="dxa"/>
          </w:tcPr>
          <w:p w14:paraId="40ACB73E"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Small intermediary containers (20litre) stored within a bunded cabinet located on hardstanding (cake pad)</w:t>
            </w:r>
          </w:p>
        </w:tc>
        <w:tc>
          <w:tcPr>
            <w:tcW w:w="3686" w:type="dxa"/>
            <w:vMerge w:val="restart"/>
            <w:vAlign w:val="center"/>
          </w:tcPr>
          <w:p w14:paraId="3CFEAC40"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Polluting to soil and watercourses in the event of a spillage/loss</w:t>
            </w:r>
          </w:p>
        </w:tc>
      </w:tr>
      <w:tr w:rsidR="0010732D" w:rsidRPr="0010732D" w14:paraId="507DBEEE" w14:textId="77777777" w:rsidTr="0010732D">
        <w:tc>
          <w:tcPr>
            <w:tcW w:w="1843" w:type="dxa"/>
            <w:vAlign w:val="center"/>
          </w:tcPr>
          <w:p w14:paraId="6093E34A"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 xml:space="preserve">Diesel </w:t>
            </w:r>
          </w:p>
        </w:tc>
        <w:tc>
          <w:tcPr>
            <w:tcW w:w="2835" w:type="dxa"/>
            <w:vAlign w:val="center"/>
          </w:tcPr>
          <w:p w14:paraId="24838818"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Refuelling of off road vehicles</w:t>
            </w:r>
          </w:p>
        </w:tc>
        <w:tc>
          <w:tcPr>
            <w:tcW w:w="1134" w:type="dxa"/>
            <w:vAlign w:val="center"/>
          </w:tcPr>
          <w:p w14:paraId="6508BE02"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Liquid</w:t>
            </w:r>
          </w:p>
        </w:tc>
        <w:tc>
          <w:tcPr>
            <w:tcW w:w="5103" w:type="dxa"/>
            <w:vAlign w:val="center"/>
          </w:tcPr>
          <w:p w14:paraId="1B6E42E6"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Integrally bunded storage tank on hardstanding</w:t>
            </w:r>
          </w:p>
        </w:tc>
        <w:tc>
          <w:tcPr>
            <w:tcW w:w="3686" w:type="dxa"/>
            <w:vMerge/>
            <w:vAlign w:val="center"/>
          </w:tcPr>
          <w:p w14:paraId="700921CE" w14:textId="77777777" w:rsidR="0010732D" w:rsidRPr="0010732D" w:rsidRDefault="0010732D" w:rsidP="0010732D">
            <w:pPr>
              <w:pStyle w:val="TableBodyText"/>
              <w:spacing w:line="240" w:lineRule="auto"/>
              <w:rPr>
                <w:rFonts w:ascii="Poppins" w:hAnsi="Poppins" w:cs="Poppins"/>
                <w:sz w:val="18"/>
                <w:szCs w:val="18"/>
              </w:rPr>
            </w:pPr>
          </w:p>
        </w:tc>
      </w:tr>
      <w:tr w:rsidR="0010732D" w:rsidRPr="0010732D" w14:paraId="32DF1385" w14:textId="77777777" w:rsidTr="0010732D">
        <w:tc>
          <w:tcPr>
            <w:tcW w:w="1843" w:type="dxa"/>
            <w:vAlign w:val="center"/>
          </w:tcPr>
          <w:p w14:paraId="03129BEA"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Transformer oil</w:t>
            </w:r>
          </w:p>
        </w:tc>
        <w:tc>
          <w:tcPr>
            <w:tcW w:w="2835" w:type="dxa"/>
            <w:vAlign w:val="center"/>
          </w:tcPr>
          <w:p w14:paraId="7BF3FF40"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Transformer only</w:t>
            </w:r>
          </w:p>
        </w:tc>
        <w:tc>
          <w:tcPr>
            <w:tcW w:w="1134" w:type="dxa"/>
            <w:vAlign w:val="center"/>
          </w:tcPr>
          <w:p w14:paraId="5A9430A3"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Liquid</w:t>
            </w:r>
          </w:p>
        </w:tc>
        <w:tc>
          <w:tcPr>
            <w:tcW w:w="5103" w:type="dxa"/>
            <w:vAlign w:val="center"/>
          </w:tcPr>
          <w:p w14:paraId="021ACDD6" w14:textId="77777777" w:rsidR="0010732D" w:rsidRPr="0010732D" w:rsidRDefault="0010732D" w:rsidP="0010732D">
            <w:pPr>
              <w:pStyle w:val="TableBodyText"/>
              <w:spacing w:line="240" w:lineRule="auto"/>
              <w:rPr>
                <w:rFonts w:ascii="Poppins" w:hAnsi="Poppins" w:cs="Poppins"/>
                <w:sz w:val="18"/>
                <w:szCs w:val="18"/>
              </w:rPr>
            </w:pPr>
            <w:r w:rsidRPr="0010732D">
              <w:rPr>
                <w:rFonts w:ascii="Poppins" w:hAnsi="Poppins" w:cs="Poppins"/>
                <w:sz w:val="18"/>
                <w:szCs w:val="18"/>
              </w:rPr>
              <w:t>No storage other than volume in use</w:t>
            </w:r>
          </w:p>
        </w:tc>
        <w:tc>
          <w:tcPr>
            <w:tcW w:w="3686" w:type="dxa"/>
            <w:vMerge/>
            <w:vAlign w:val="center"/>
          </w:tcPr>
          <w:p w14:paraId="59573E71" w14:textId="77777777" w:rsidR="0010732D" w:rsidRPr="0010732D" w:rsidRDefault="0010732D" w:rsidP="0010732D">
            <w:pPr>
              <w:pStyle w:val="TableBodyText"/>
              <w:spacing w:line="240" w:lineRule="auto"/>
              <w:rPr>
                <w:rFonts w:ascii="Poppins" w:hAnsi="Poppins" w:cs="Poppins"/>
                <w:sz w:val="18"/>
                <w:szCs w:val="18"/>
              </w:rPr>
            </w:pPr>
          </w:p>
        </w:tc>
      </w:tr>
    </w:tbl>
    <w:p w14:paraId="1FEA3BF6" w14:textId="0A67B97B" w:rsidR="00934BEF" w:rsidRPr="00934BEF" w:rsidRDefault="00934BEF" w:rsidP="00934BEF">
      <w:pPr>
        <w:spacing w:after="60"/>
        <w:rPr>
          <w:rFonts w:ascii="Poppins" w:hAnsi="Poppins" w:cs="Poppins"/>
          <w:b/>
          <w:sz w:val="20"/>
          <w:szCs w:val="20"/>
        </w:rPr>
      </w:pPr>
      <w:bookmarkStart w:id="2" w:name="_Ref67652918"/>
      <w:r>
        <w:rPr>
          <w:rFonts w:ascii="Poppins" w:hAnsi="Poppins" w:cs="Poppins"/>
          <w:b/>
          <w:sz w:val="20"/>
          <w:szCs w:val="20"/>
        </w:rPr>
        <w:lastRenderedPageBreak/>
        <w:t xml:space="preserve">Table </w:t>
      </w:r>
      <w:r w:rsidR="005A63E2">
        <w:rPr>
          <w:rFonts w:ascii="Poppins" w:hAnsi="Poppins" w:cs="Poppins"/>
          <w:b/>
          <w:sz w:val="20"/>
          <w:szCs w:val="20"/>
        </w:rPr>
        <w:t>3</w:t>
      </w:r>
      <w:r>
        <w:rPr>
          <w:rFonts w:ascii="Poppins" w:hAnsi="Poppins" w:cs="Poppins"/>
          <w:b/>
          <w:sz w:val="20"/>
          <w:szCs w:val="20"/>
        </w:rPr>
        <w:t xml:space="preserve">: </w:t>
      </w:r>
      <w:r w:rsidRPr="00934BEF">
        <w:rPr>
          <w:rFonts w:ascii="Poppins" w:hAnsi="Poppins" w:cs="Poppins"/>
          <w:b/>
          <w:sz w:val="20"/>
          <w:szCs w:val="20"/>
        </w:rPr>
        <w:t>Bulk Storage of Sludge, Sludge Cake and Process Liquors and their Potential to Pollute</w:t>
      </w:r>
      <w:bookmarkEnd w:id="2"/>
    </w:p>
    <w:tbl>
      <w:tblPr>
        <w:tblStyle w:val="TableStyle"/>
        <w:tblW w:w="14511" w:type="dxa"/>
        <w:tblLook w:val="04A0" w:firstRow="1" w:lastRow="0" w:firstColumn="1" w:lastColumn="0" w:noHBand="0" w:noVBand="1"/>
      </w:tblPr>
      <w:tblGrid>
        <w:gridCol w:w="2037"/>
        <w:gridCol w:w="992"/>
        <w:gridCol w:w="8080"/>
        <w:gridCol w:w="3402"/>
      </w:tblGrid>
      <w:tr w:rsidR="00934BEF" w:rsidRPr="00934BEF" w14:paraId="1837A6A9" w14:textId="77777777" w:rsidTr="00934BEF">
        <w:trPr>
          <w:cnfStyle w:val="100000000000" w:firstRow="1" w:lastRow="0" w:firstColumn="0" w:lastColumn="0" w:oddVBand="0" w:evenVBand="0" w:oddHBand="0" w:evenHBand="0" w:firstRowFirstColumn="0" w:firstRowLastColumn="0" w:lastRowFirstColumn="0" w:lastRowLastColumn="0"/>
        </w:trPr>
        <w:tc>
          <w:tcPr>
            <w:tcW w:w="2037" w:type="dxa"/>
            <w:vAlign w:val="center"/>
          </w:tcPr>
          <w:p w14:paraId="780B1E1C" w14:textId="77777777" w:rsidR="00934BEF" w:rsidRPr="00934BEF" w:rsidRDefault="00934BEF" w:rsidP="0010732D">
            <w:pPr>
              <w:pStyle w:val="TableHeaderText"/>
              <w:spacing w:line="240" w:lineRule="auto"/>
              <w:jc w:val="center"/>
              <w:rPr>
                <w:rFonts w:ascii="Poppins" w:hAnsi="Poppins" w:cs="Poppins"/>
                <w:b/>
                <w:bCs/>
                <w:sz w:val="18"/>
                <w:szCs w:val="18"/>
              </w:rPr>
            </w:pPr>
            <w:r w:rsidRPr="00934BEF">
              <w:rPr>
                <w:rFonts w:ascii="Poppins" w:hAnsi="Poppins" w:cs="Poppins"/>
                <w:b/>
                <w:bCs/>
                <w:sz w:val="18"/>
                <w:szCs w:val="18"/>
              </w:rPr>
              <w:t>Material</w:t>
            </w:r>
          </w:p>
        </w:tc>
        <w:tc>
          <w:tcPr>
            <w:tcW w:w="992" w:type="dxa"/>
            <w:vAlign w:val="center"/>
          </w:tcPr>
          <w:p w14:paraId="5D8F1EE4" w14:textId="77777777" w:rsidR="00934BEF" w:rsidRPr="00934BEF" w:rsidRDefault="00934BEF" w:rsidP="0010732D">
            <w:pPr>
              <w:pStyle w:val="TableHeaderText"/>
              <w:spacing w:line="240" w:lineRule="auto"/>
              <w:jc w:val="center"/>
              <w:rPr>
                <w:rFonts w:ascii="Poppins" w:hAnsi="Poppins" w:cs="Poppins"/>
                <w:b/>
                <w:bCs/>
                <w:sz w:val="18"/>
                <w:szCs w:val="18"/>
              </w:rPr>
            </w:pPr>
            <w:r w:rsidRPr="00934BEF">
              <w:rPr>
                <w:rFonts w:ascii="Poppins" w:hAnsi="Poppins" w:cs="Poppins"/>
                <w:b/>
                <w:bCs/>
                <w:sz w:val="18"/>
                <w:szCs w:val="18"/>
              </w:rPr>
              <w:t>Nature of material</w:t>
            </w:r>
          </w:p>
        </w:tc>
        <w:tc>
          <w:tcPr>
            <w:tcW w:w="8080" w:type="dxa"/>
            <w:vAlign w:val="center"/>
          </w:tcPr>
          <w:p w14:paraId="56A10172" w14:textId="77777777" w:rsidR="00934BEF" w:rsidRPr="00934BEF" w:rsidRDefault="00934BEF" w:rsidP="0010732D">
            <w:pPr>
              <w:pStyle w:val="TableHeaderText"/>
              <w:spacing w:line="240" w:lineRule="auto"/>
              <w:jc w:val="center"/>
              <w:rPr>
                <w:rFonts w:ascii="Poppins" w:hAnsi="Poppins" w:cs="Poppins"/>
                <w:b/>
                <w:bCs/>
                <w:sz w:val="18"/>
                <w:szCs w:val="18"/>
              </w:rPr>
            </w:pPr>
            <w:r w:rsidRPr="00934BEF">
              <w:rPr>
                <w:rFonts w:ascii="Poppins" w:hAnsi="Poppins" w:cs="Poppins"/>
                <w:b/>
                <w:bCs/>
                <w:sz w:val="18"/>
                <w:szCs w:val="18"/>
              </w:rPr>
              <w:t>Storage Arrangements</w:t>
            </w:r>
          </w:p>
        </w:tc>
        <w:tc>
          <w:tcPr>
            <w:tcW w:w="3402" w:type="dxa"/>
            <w:vAlign w:val="center"/>
          </w:tcPr>
          <w:p w14:paraId="79C14C7A" w14:textId="77777777" w:rsidR="00934BEF" w:rsidRPr="00934BEF" w:rsidRDefault="00934BEF" w:rsidP="0010732D">
            <w:pPr>
              <w:pStyle w:val="TableHeaderText"/>
              <w:spacing w:line="240" w:lineRule="auto"/>
              <w:jc w:val="center"/>
              <w:rPr>
                <w:rFonts w:ascii="Poppins" w:hAnsi="Poppins" w:cs="Poppins"/>
                <w:b/>
                <w:bCs/>
                <w:sz w:val="18"/>
                <w:szCs w:val="18"/>
              </w:rPr>
            </w:pPr>
            <w:r w:rsidRPr="00934BEF">
              <w:rPr>
                <w:rFonts w:ascii="Poppins" w:hAnsi="Poppins" w:cs="Poppins"/>
                <w:b/>
                <w:bCs/>
                <w:sz w:val="18"/>
                <w:szCs w:val="18"/>
              </w:rPr>
              <w:t>Nominal capacity (m</w:t>
            </w:r>
            <w:r w:rsidRPr="00934BEF">
              <w:rPr>
                <w:rFonts w:ascii="Poppins" w:hAnsi="Poppins" w:cs="Poppins"/>
                <w:b/>
                <w:bCs/>
                <w:sz w:val="18"/>
                <w:szCs w:val="18"/>
                <w:vertAlign w:val="superscript"/>
              </w:rPr>
              <w:t>3</w:t>
            </w:r>
            <w:r w:rsidRPr="00934BEF">
              <w:rPr>
                <w:rFonts w:ascii="Poppins" w:hAnsi="Poppins" w:cs="Poppins"/>
                <w:b/>
                <w:bCs/>
                <w:sz w:val="18"/>
                <w:szCs w:val="18"/>
              </w:rPr>
              <w:t>)</w:t>
            </w:r>
          </w:p>
        </w:tc>
      </w:tr>
      <w:tr w:rsidR="00934BEF" w:rsidRPr="00934BEF" w14:paraId="3EB702DA" w14:textId="77777777" w:rsidTr="00934BEF">
        <w:trPr>
          <w:trHeight w:val="217"/>
        </w:trPr>
        <w:tc>
          <w:tcPr>
            <w:tcW w:w="2037" w:type="dxa"/>
            <w:vMerge w:val="restart"/>
            <w:shd w:val="clear" w:color="auto" w:fill="FFFFFF" w:themeFill="background1"/>
            <w:vAlign w:val="center"/>
          </w:tcPr>
          <w:p w14:paraId="2A01515A"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Raw sludge (un-thickened)</w:t>
            </w:r>
          </w:p>
        </w:tc>
        <w:tc>
          <w:tcPr>
            <w:tcW w:w="992" w:type="dxa"/>
            <w:vMerge w:val="restart"/>
            <w:shd w:val="clear" w:color="auto" w:fill="FFFFFF" w:themeFill="background1"/>
            <w:vAlign w:val="center"/>
          </w:tcPr>
          <w:p w14:paraId="0F9AA6C4"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Liquid</w:t>
            </w:r>
          </w:p>
        </w:tc>
        <w:tc>
          <w:tcPr>
            <w:tcW w:w="8080" w:type="dxa"/>
            <w:shd w:val="clear" w:color="auto" w:fill="FFFFFF" w:themeFill="background1"/>
            <w:vAlign w:val="center"/>
          </w:tcPr>
          <w:p w14:paraId="3AFC621A"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 xml:space="preserve">Incoming underground pipes from WwTW </w:t>
            </w:r>
          </w:p>
        </w:tc>
        <w:tc>
          <w:tcPr>
            <w:tcW w:w="3402" w:type="dxa"/>
            <w:shd w:val="clear" w:color="auto" w:fill="FFFFFF" w:themeFill="background1"/>
            <w:vAlign w:val="center"/>
          </w:tcPr>
          <w:p w14:paraId="7F4C626C"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w:t>
            </w:r>
          </w:p>
        </w:tc>
      </w:tr>
      <w:tr w:rsidR="00934BEF" w:rsidRPr="00934BEF" w14:paraId="660B1DAC" w14:textId="77777777" w:rsidTr="00934BEF">
        <w:tc>
          <w:tcPr>
            <w:tcW w:w="2037" w:type="dxa"/>
            <w:vMerge/>
            <w:shd w:val="clear" w:color="auto" w:fill="FFFFFF" w:themeFill="background1"/>
            <w:vAlign w:val="center"/>
          </w:tcPr>
          <w:p w14:paraId="0DF53AC4" w14:textId="77777777" w:rsidR="00934BEF" w:rsidRPr="00934BEF" w:rsidRDefault="00934BEF" w:rsidP="0010732D">
            <w:pPr>
              <w:pStyle w:val="TableBodyText"/>
              <w:spacing w:line="240" w:lineRule="auto"/>
              <w:rPr>
                <w:rFonts w:ascii="Poppins" w:hAnsi="Poppins" w:cs="Poppins"/>
                <w:sz w:val="18"/>
                <w:szCs w:val="18"/>
              </w:rPr>
            </w:pPr>
          </w:p>
        </w:tc>
        <w:tc>
          <w:tcPr>
            <w:tcW w:w="992" w:type="dxa"/>
            <w:vMerge/>
            <w:shd w:val="clear" w:color="auto" w:fill="FFFFFF" w:themeFill="background1"/>
            <w:vAlign w:val="center"/>
          </w:tcPr>
          <w:p w14:paraId="13DC3551" w14:textId="77777777" w:rsidR="00934BEF" w:rsidRPr="00934BEF" w:rsidRDefault="00934BEF" w:rsidP="0010732D">
            <w:pPr>
              <w:pStyle w:val="TableBodyText"/>
              <w:spacing w:line="240" w:lineRule="auto"/>
              <w:rPr>
                <w:rFonts w:ascii="Poppins" w:hAnsi="Poppins" w:cs="Poppins"/>
                <w:sz w:val="18"/>
                <w:szCs w:val="18"/>
                <w:highlight w:val="yellow"/>
              </w:rPr>
            </w:pPr>
          </w:p>
        </w:tc>
        <w:tc>
          <w:tcPr>
            <w:tcW w:w="8080" w:type="dxa"/>
            <w:shd w:val="clear" w:color="auto" w:fill="FFFFFF" w:themeFill="background1"/>
            <w:vAlign w:val="center"/>
          </w:tcPr>
          <w:p w14:paraId="01F61C2D"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 xml:space="preserve">Thickener feed tanks, steel construction, covered, constructed c. 2013 </w:t>
            </w:r>
          </w:p>
        </w:tc>
        <w:tc>
          <w:tcPr>
            <w:tcW w:w="3402" w:type="dxa"/>
            <w:shd w:val="clear" w:color="auto" w:fill="FFFFFF" w:themeFill="background1"/>
            <w:vAlign w:val="center"/>
          </w:tcPr>
          <w:p w14:paraId="59A3A338"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2 x 1,427</w:t>
            </w:r>
          </w:p>
        </w:tc>
      </w:tr>
      <w:tr w:rsidR="00934BEF" w:rsidRPr="00934BEF" w14:paraId="3A791EFC" w14:textId="77777777" w:rsidTr="00934BEF">
        <w:tc>
          <w:tcPr>
            <w:tcW w:w="2037" w:type="dxa"/>
            <w:vMerge/>
            <w:shd w:val="clear" w:color="auto" w:fill="FFFFFF" w:themeFill="background1"/>
            <w:vAlign w:val="center"/>
          </w:tcPr>
          <w:p w14:paraId="537E2F9E" w14:textId="77777777" w:rsidR="00934BEF" w:rsidRPr="00934BEF" w:rsidRDefault="00934BEF" w:rsidP="0010732D">
            <w:pPr>
              <w:pStyle w:val="TableBodyText"/>
              <w:spacing w:line="240" w:lineRule="auto"/>
              <w:rPr>
                <w:rFonts w:ascii="Poppins" w:hAnsi="Poppins" w:cs="Poppins"/>
                <w:sz w:val="18"/>
                <w:szCs w:val="18"/>
              </w:rPr>
            </w:pPr>
          </w:p>
        </w:tc>
        <w:tc>
          <w:tcPr>
            <w:tcW w:w="992" w:type="dxa"/>
            <w:vMerge/>
            <w:shd w:val="clear" w:color="auto" w:fill="FFFFFF" w:themeFill="background1"/>
            <w:vAlign w:val="center"/>
          </w:tcPr>
          <w:p w14:paraId="2AF59BF6" w14:textId="77777777" w:rsidR="00934BEF" w:rsidRPr="00934BEF" w:rsidRDefault="00934BEF" w:rsidP="0010732D">
            <w:pPr>
              <w:pStyle w:val="TableBodyText"/>
              <w:spacing w:line="240" w:lineRule="auto"/>
              <w:rPr>
                <w:rFonts w:ascii="Poppins" w:hAnsi="Poppins" w:cs="Poppins"/>
                <w:sz w:val="18"/>
                <w:szCs w:val="18"/>
                <w:highlight w:val="yellow"/>
              </w:rPr>
            </w:pPr>
          </w:p>
        </w:tc>
        <w:tc>
          <w:tcPr>
            <w:tcW w:w="8080" w:type="dxa"/>
            <w:shd w:val="clear" w:color="auto" w:fill="FFFFFF" w:themeFill="background1"/>
            <w:vAlign w:val="center"/>
          </w:tcPr>
          <w:p w14:paraId="2B6D04DC"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Sludge feed to thickener building (above ground)</w:t>
            </w:r>
          </w:p>
        </w:tc>
        <w:tc>
          <w:tcPr>
            <w:tcW w:w="3402" w:type="dxa"/>
            <w:shd w:val="clear" w:color="auto" w:fill="FFFFFF" w:themeFill="background1"/>
            <w:vAlign w:val="center"/>
          </w:tcPr>
          <w:p w14:paraId="10603342"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w:t>
            </w:r>
          </w:p>
        </w:tc>
      </w:tr>
      <w:tr w:rsidR="00934BEF" w:rsidRPr="00934BEF" w14:paraId="519C73FF" w14:textId="77777777" w:rsidTr="00934BEF">
        <w:tc>
          <w:tcPr>
            <w:tcW w:w="2037" w:type="dxa"/>
            <w:vMerge w:val="restart"/>
            <w:shd w:val="clear" w:color="auto" w:fill="FFFFFF" w:themeFill="background1"/>
            <w:vAlign w:val="center"/>
          </w:tcPr>
          <w:p w14:paraId="53A68E53"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 xml:space="preserve">Thickened sludge </w:t>
            </w:r>
          </w:p>
        </w:tc>
        <w:tc>
          <w:tcPr>
            <w:tcW w:w="992" w:type="dxa"/>
            <w:vMerge w:val="restart"/>
            <w:shd w:val="clear" w:color="auto" w:fill="FFFFFF" w:themeFill="background1"/>
            <w:vAlign w:val="center"/>
          </w:tcPr>
          <w:p w14:paraId="37AEEBC2"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Liquid</w:t>
            </w:r>
          </w:p>
        </w:tc>
        <w:tc>
          <w:tcPr>
            <w:tcW w:w="8080" w:type="dxa"/>
            <w:shd w:val="clear" w:color="auto" w:fill="FFFFFF" w:themeFill="background1"/>
            <w:vAlign w:val="center"/>
          </w:tcPr>
          <w:p w14:paraId="4C9730A4"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Sludge feed to digester feed tanks (above and below ground)</w:t>
            </w:r>
          </w:p>
        </w:tc>
        <w:tc>
          <w:tcPr>
            <w:tcW w:w="3402" w:type="dxa"/>
            <w:shd w:val="clear" w:color="auto" w:fill="FFFFFF" w:themeFill="background1"/>
            <w:vAlign w:val="center"/>
          </w:tcPr>
          <w:p w14:paraId="5F31E223"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w:t>
            </w:r>
          </w:p>
        </w:tc>
      </w:tr>
      <w:tr w:rsidR="00934BEF" w:rsidRPr="00934BEF" w14:paraId="4227E447" w14:textId="77777777" w:rsidTr="00934BEF">
        <w:tc>
          <w:tcPr>
            <w:tcW w:w="2037" w:type="dxa"/>
            <w:vMerge/>
            <w:shd w:val="clear" w:color="auto" w:fill="FFFFFF" w:themeFill="background1"/>
            <w:vAlign w:val="center"/>
          </w:tcPr>
          <w:p w14:paraId="7A1AE376" w14:textId="77777777" w:rsidR="00934BEF" w:rsidRPr="00934BEF" w:rsidRDefault="00934BEF" w:rsidP="0010732D">
            <w:pPr>
              <w:pStyle w:val="TableBodyText"/>
              <w:spacing w:line="240" w:lineRule="auto"/>
              <w:rPr>
                <w:rFonts w:ascii="Poppins" w:hAnsi="Poppins" w:cs="Poppins"/>
                <w:sz w:val="18"/>
                <w:szCs w:val="18"/>
              </w:rPr>
            </w:pPr>
          </w:p>
        </w:tc>
        <w:tc>
          <w:tcPr>
            <w:tcW w:w="992" w:type="dxa"/>
            <w:vMerge/>
            <w:shd w:val="clear" w:color="auto" w:fill="FFFFFF" w:themeFill="background1"/>
            <w:vAlign w:val="center"/>
          </w:tcPr>
          <w:p w14:paraId="7495204C" w14:textId="77777777" w:rsidR="00934BEF" w:rsidRPr="00934BEF" w:rsidRDefault="00934BEF" w:rsidP="0010732D">
            <w:pPr>
              <w:pStyle w:val="TableBodyText"/>
              <w:spacing w:line="240" w:lineRule="auto"/>
              <w:rPr>
                <w:rFonts w:ascii="Poppins" w:hAnsi="Poppins" w:cs="Poppins"/>
                <w:sz w:val="18"/>
                <w:szCs w:val="18"/>
              </w:rPr>
            </w:pPr>
          </w:p>
        </w:tc>
        <w:tc>
          <w:tcPr>
            <w:tcW w:w="8080" w:type="dxa"/>
            <w:shd w:val="clear" w:color="auto" w:fill="FFFFFF" w:themeFill="background1"/>
            <w:vAlign w:val="center"/>
          </w:tcPr>
          <w:p w14:paraId="1804FC52"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Digester feed tank no.1, steel, covered, constructed 1990</w:t>
            </w:r>
          </w:p>
        </w:tc>
        <w:tc>
          <w:tcPr>
            <w:tcW w:w="3402" w:type="dxa"/>
            <w:shd w:val="clear" w:color="auto" w:fill="FFFFFF" w:themeFill="background1"/>
            <w:vAlign w:val="center"/>
          </w:tcPr>
          <w:p w14:paraId="1250A13F"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250</w:t>
            </w:r>
          </w:p>
        </w:tc>
      </w:tr>
      <w:tr w:rsidR="00934BEF" w:rsidRPr="00934BEF" w14:paraId="2BD28B47" w14:textId="77777777" w:rsidTr="00934BEF">
        <w:tc>
          <w:tcPr>
            <w:tcW w:w="2037" w:type="dxa"/>
            <w:vMerge/>
            <w:shd w:val="clear" w:color="auto" w:fill="FFFFFF" w:themeFill="background1"/>
            <w:vAlign w:val="center"/>
          </w:tcPr>
          <w:p w14:paraId="0F6D4AD1" w14:textId="77777777" w:rsidR="00934BEF" w:rsidRPr="00934BEF" w:rsidRDefault="00934BEF" w:rsidP="0010732D">
            <w:pPr>
              <w:pStyle w:val="TableBodyText"/>
              <w:spacing w:line="240" w:lineRule="auto"/>
              <w:rPr>
                <w:rFonts w:ascii="Poppins" w:hAnsi="Poppins" w:cs="Poppins"/>
                <w:sz w:val="18"/>
                <w:szCs w:val="18"/>
              </w:rPr>
            </w:pPr>
          </w:p>
        </w:tc>
        <w:tc>
          <w:tcPr>
            <w:tcW w:w="992" w:type="dxa"/>
            <w:vMerge/>
            <w:shd w:val="clear" w:color="auto" w:fill="FFFFFF" w:themeFill="background1"/>
            <w:vAlign w:val="center"/>
          </w:tcPr>
          <w:p w14:paraId="6EDBF14A" w14:textId="77777777" w:rsidR="00934BEF" w:rsidRPr="00934BEF" w:rsidRDefault="00934BEF" w:rsidP="0010732D">
            <w:pPr>
              <w:pStyle w:val="TableBodyText"/>
              <w:spacing w:line="240" w:lineRule="auto"/>
              <w:rPr>
                <w:rFonts w:ascii="Poppins" w:hAnsi="Poppins" w:cs="Poppins"/>
                <w:sz w:val="18"/>
                <w:szCs w:val="18"/>
              </w:rPr>
            </w:pPr>
          </w:p>
        </w:tc>
        <w:tc>
          <w:tcPr>
            <w:tcW w:w="8080" w:type="dxa"/>
            <w:shd w:val="clear" w:color="auto" w:fill="FFFFFF" w:themeFill="background1"/>
            <w:vAlign w:val="center"/>
          </w:tcPr>
          <w:p w14:paraId="06C49B06"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Digester feed tank no.2, steel, covered, constructed 2000</w:t>
            </w:r>
          </w:p>
        </w:tc>
        <w:tc>
          <w:tcPr>
            <w:tcW w:w="3402" w:type="dxa"/>
            <w:shd w:val="clear" w:color="auto" w:fill="FFFFFF" w:themeFill="background1"/>
            <w:vAlign w:val="center"/>
          </w:tcPr>
          <w:p w14:paraId="3F7BE176"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554</w:t>
            </w:r>
          </w:p>
        </w:tc>
      </w:tr>
      <w:tr w:rsidR="00934BEF" w:rsidRPr="00934BEF" w14:paraId="5B647D45" w14:textId="77777777" w:rsidTr="00934BEF">
        <w:tc>
          <w:tcPr>
            <w:tcW w:w="2037" w:type="dxa"/>
            <w:vMerge w:val="restart"/>
            <w:shd w:val="clear" w:color="auto" w:fill="FFFFFF" w:themeFill="background1"/>
            <w:vAlign w:val="center"/>
          </w:tcPr>
          <w:p w14:paraId="4735F36A"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Sludge within digesters</w:t>
            </w:r>
          </w:p>
        </w:tc>
        <w:tc>
          <w:tcPr>
            <w:tcW w:w="992" w:type="dxa"/>
            <w:vMerge w:val="restart"/>
            <w:shd w:val="clear" w:color="auto" w:fill="FFFFFF" w:themeFill="background1"/>
            <w:vAlign w:val="center"/>
          </w:tcPr>
          <w:p w14:paraId="7BC8146D"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Liquid</w:t>
            </w:r>
          </w:p>
        </w:tc>
        <w:tc>
          <w:tcPr>
            <w:tcW w:w="8080" w:type="dxa"/>
            <w:shd w:val="clear" w:color="auto" w:fill="FFFFFF" w:themeFill="background1"/>
            <w:vAlign w:val="center"/>
          </w:tcPr>
          <w:p w14:paraId="45C4A184"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Sludge feed to digesters (below ground)</w:t>
            </w:r>
          </w:p>
        </w:tc>
        <w:tc>
          <w:tcPr>
            <w:tcW w:w="3402" w:type="dxa"/>
            <w:shd w:val="clear" w:color="auto" w:fill="FFFFFF" w:themeFill="background1"/>
            <w:vAlign w:val="center"/>
          </w:tcPr>
          <w:p w14:paraId="237531FA"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w:t>
            </w:r>
          </w:p>
        </w:tc>
      </w:tr>
      <w:tr w:rsidR="00934BEF" w:rsidRPr="00934BEF" w14:paraId="33273656" w14:textId="77777777" w:rsidTr="00934BEF">
        <w:tc>
          <w:tcPr>
            <w:tcW w:w="2037" w:type="dxa"/>
            <w:vMerge/>
            <w:shd w:val="clear" w:color="auto" w:fill="FFFFFF" w:themeFill="background1"/>
            <w:vAlign w:val="center"/>
          </w:tcPr>
          <w:p w14:paraId="3926A179" w14:textId="77777777" w:rsidR="00934BEF" w:rsidRPr="00934BEF" w:rsidRDefault="00934BEF" w:rsidP="0010732D">
            <w:pPr>
              <w:pStyle w:val="TableBodyText"/>
              <w:spacing w:line="240" w:lineRule="auto"/>
              <w:rPr>
                <w:rFonts w:ascii="Poppins" w:hAnsi="Poppins" w:cs="Poppins"/>
                <w:sz w:val="18"/>
                <w:szCs w:val="18"/>
              </w:rPr>
            </w:pPr>
          </w:p>
        </w:tc>
        <w:tc>
          <w:tcPr>
            <w:tcW w:w="992" w:type="dxa"/>
            <w:vMerge/>
            <w:shd w:val="clear" w:color="auto" w:fill="FFFFFF" w:themeFill="background1"/>
            <w:vAlign w:val="center"/>
          </w:tcPr>
          <w:p w14:paraId="1A0D7DE5" w14:textId="77777777" w:rsidR="00934BEF" w:rsidRPr="00934BEF" w:rsidRDefault="00934BEF" w:rsidP="0010732D">
            <w:pPr>
              <w:pStyle w:val="TableBodyText"/>
              <w:spacing w:line="240" w:lineRule="auto"/>
              <w:rPr>
                <w:rFonts w:ascii="Poppins" w:hAnsi="Poppins" w:cs="Poppins"/>
                <w:sz w:val="18"/>
                <w:szCs w:val="18"/>
                <w:highlight w:val="yellow"/>
              </w:rPr>
            </w:pPr>
          </w:p>
        </w:tc>
        <w:tc>
          <w:tcPr>
            <w:tcW w:w="8080" w:type="dxa"/>
            <w:shd w:val="clear" w:color="auto" w:fill="FFFFFF" w:themeFill="background1"/>
            <w:vAlign w:val="center"/>
          </w:tcPr>
          <w:p w14:paraId="12A372FD" w14:textId="77777777" w:rsidR="00934BEF" w:rsidRPr="00934BEF" w:rsidRDefault="00934BEF" w:rsidP="0010732D">
            <w:pPr>
              <w:pStyle w:val="TableBodyText"/>
              <w:spacing w:line="240" w:lineRule="auto"/>
              <w:rPr>
                <w:rFonts w:ascii="Poppins" w:hAnsi="Poppins" w:cs="Poppins"/>
                <w:sz w:val="18"/>
                <w:szCs w:val="18"/>
                <w:highlight w:val="yellow"/>
              </w:rPr>
            </w:pPr>
            <w:r w:rsidRPr="00934BEF">
              <w:rPr>
                <w:rFonts w:ascii="Poppins" w:hAnsi="Poppins" w:cs="Poppins"/>
                <w:sz w:val="18"/>
                <w:szCs w:val="18"/>
              </w:rPr>
              <w:t>Digesters, concrete, covered, constructed 2013</w:t>
            </w:r>
          </w:p>
        </w:tc>
        <w:tc>
          <w:tcPr>
            <w:tcW w:w="3402" w:type="dxa"/>
            <w:shd w:val="clear" w:color="auto" w:fill="FFFFFF" w:themeFill="background1"/>
            <w:vAlign w:val="center"/>
          </w:tcPr>
          <w:p w14:paraId="237F219D" w14:textId="77777777" w:rsidR="00934BEF" w:rsidRPr="00934BEF" w:rsidRDefault="00934BEF" w:rsidP="0010732D">
            <w:pPr>
              <w:pStyle w:val="TableBodyText"/>
              <w:spacing w:line="240" w:lineRule="auto"/>
              <w:rPr>
                <w:rFonts w:ascii="Poppins" w:hAnsi="Poppins" w:cs="Poppins"/>
                <w:sz w:val="18"/>
                <w:szCs w:val="18"/>
                <w:highlight w:val="yellow"/>
              </w:rPr>
            </w:pPr>
            <w:r w:rsidRPr="00934BEF">
              <w:rPr>
                <w:rFonts w:ascii="Poppins" w:hAnsi="Poppins" w:cs="Poppins"/>
                <w:sz w:val="18"/>
                <w:szCs w:val="18"/>
              </w:rPr>
              <w:t>2 x 1,733</w:t>
            </w:r>
          </w:p>
        </w:tc>
      </w:tr>
      <w:tr w:rsidR="00934BEF" w:rsidRPr="00934BEF" w14:paraId="0B081B5D" w14:textId="77777777" w:rsidTr="00934BEF">
        <w:trPr>
          <w:trHeight w:val="372"/>
        </w:trPr>
        <w:tc>
          <w:tcPr>
            <w:tcW w:w="2037" w:type="dxa"/>
            <w:vMerge w:val="restart"/>
            <w:shd w:val="clear" w:color="auto" w:fill="FFFFFF" w:themeFill="background1"/>
            <w:vAlign w:val="center"/>
          </w:tcPr>
          <w:p w14:paraId="025C5F82"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Digested sludge</w:t>
            </w:r>
          </w:p>
        </w:tc>
        <w:tc>
          <w:tcPr>
            <w:tcW w:w="992" w:type="dxa"/>
            <w:vMerge w:val="restart"/>
            <w:shd w:val="clear" w:color="auto" w:fill="FFFFFF" w:themeFill="background1"/>
            <w:vAlign w:val="center"/>
          </w:tcPr>
          <w:p w14:paraId="2CC89EAC"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Liquid</w:t>
            </w:r>
          </w:p>
        </w:tc>
        <w:tc>
          <w:tcPr>
            <w:tcW w:w="8080" w:type="dxa"/>
            <w:shd w:val="clear" w:color="auto" w:fill="FFFFFF" w:themeFill="background1"/>
            <w:vAlign w:val="center"/>
          </w:tcPr>
          <w:p w14:paraId="277BF8EA"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Underground pipes running from digesters to dewatering tanks (below ground)</w:t>
            </w:r>
          </w:p>
        </w:tc>
        <w:tc>
          <w:tcPr>
            <w:tcW w:w="3402" w:type="dxa"/>
            <w:shd w:val="clear" w:color="auto" w:fill="FFFFFF" w:themeFill="background1"/>
            <w:vAlign w:val="center"/>
          </w:tcPr>
          <w:p w14:paraId="5A08FDFA"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w:t>
            </w:r>
          </w:p>
        </w:tc>
      </w:tr>
      <w:tr w:rsidR="00934BEF" w:rsidRPr="00934BEF" w14:paraId="3CF74E1D" w14:textId="77777777" w:rsidTr="00934BEF">
        <w:tc>
          <w:tcPr>
            <w:tcW w:w="2037" w:type="dxa"/>
            <w:vMerge/>
            <w:shd w:val="clear" w:color="auto" w:fill="FFFFFF" w:themeFill="background1"/>
            <w:vAlign w:val="center"/>
          </w:tcPr>
          <w:p w14:paraId="510E74A8" w14:textId="77777777" w:rsidR="00934BEF" w:rsidRPr="00934BEF" w:rsidRDefault="00934BEF" w:rsidP="0010732D">
            <w:pPr>
              <w:pStyle w:val="TableBodyText"/>
              <w:spacing w:line="240" w:lineRule="auto"/>
              <w:rPr>
                <w:rFonts w:ascii="Poppins" w:hAnsi="Poppins" w:cs="Poppins"/>
                <w:sz w:val="18"/>
                <w:szCs w:val="18"/>
              </w:rPr>
            </w:pPr>
          </w:p>
        </w:tc>
        <w:tc>
          <w:tcPr>
            <w:tcW w:w="992" w:type="dxa"/>
            <w:vMerge/>
            <w:shd w:val="clear" w:color="auto" w:fill="FFFFFF" w:themeFill="background1"/>
            <w:vAlign w:val="center"/>
          </w:tcPr>
          <w:p w14:paraId="329E41E0" w14:textId="77777777" w:rsidR="00934BEF" w:rsidRPr="00934BEF" w:rsidRDefault="00934BEF" w:rsidP="0010732D">
            <w:pPr>
              <w:pStyle w:val="TableBodyText"/>
              <w:spacing w:line="240" w:lineRule="auto"/>
              <w:rPr>
                <w:rFonts w:ascii="Poppins" w:hAnsi="Poppins" w:cs="Poppins"/>
                <w:sz w:val="18"/>
                <w:szCs w:val="18"/>
              </w:rPr>
            </w:pPr>
          </w:p>
        </w:tc>
        <w:tc>
          <w:tcPr>
            <w:tcW w:w="8080" w:type="dxa"/>
            <w:shd w:val="clear" w:color="auto" w:fill="FFFFFF" w:themeFill="background1"/>
            <w:vAlign w:val="center"/>
          </w:tcPr>
          <w:p w14:paraId="7C51F6FA" w14:textId="77777777" w:rsidR="00934BEF" w:rsidRPr="00934BEF" w:rsidRDefault="00934BEF" w:rsidP="0010732D">
            <w:pPr>
              <w:pStyle w:val="TableBodyText"/>
              <w:spacing w:line="240" w:lineRule="auto"/>
              <w:rPr>
                <w:rFonts w:ascii="Poppins" w:hAnsi="Poppins" w:cs="Poppins"/>
                <w:sz w:val="18"/>
                <w:szCs w:val="18"/>
                <w:highlight w:val="yellow"/>
              </w:rPr>
            </w:pPr>
            <w:r w:rsidRPr="00934BEF">
              <w:rPr>
                <w:rFonts w:ascii="Poppins" w:hAnsi="Poppins" w:cs="Poppins"/>
                <w:sz w:val="18"/>
                <w:szCs w:val="18"/>
              </w:rPr>
              <w:t>Dewatering feed tank No.1, steel, uncovered, constructed 1996</w:t>
            </w:r>
          </w:p>
        </w:tc>
        <w:tc>
          <w:tcPr>
            <w:tcW w:w="3402" w:type="dxa"/>
            <w:shd w:val="clear" w:color="auto" w:fill="FFFFFF" w:themeFill="background1"/>
            <w:vAlign w:val="center"/>
          </w:tcPr>
          <w:p w14:paraId="6F7CD565"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500</w:t>
            </w:r>
          </w:p>
        </w:tc>
      </w:tr>
      <w:tr w:rsidR="00934BEF" w:rsidRPr="00934BEF" w14:paraId="20915A8C" w14:textId="77777777" w:rsidTr="00934BEF">
        <w:tc>
          <w:tcPr>
            <w:tcW w:w="2037" w:type="dxa"/>
            <w:vMerge/>
            <w:shd w:val="clear" w:color="auto" w:fill="FFFFFF" w:themeFill="background1"/>
            <w:vAlign w:val="center"/>
          </w:tcPr>
          <w:p w14:paraId="767C8599" w14:textId="77777777" w:rsidR="00934BEF" w:rsidRPr="00934BEF" w:rsidRDefault="00934BEF" w:rsidP="0010732D">
            <w:pPr>
              <w:pStyle w:val="TableBodyText"/>
              <w:spacing w:line="240" w:lineRule="auto"/>
              <w:rPr>
                <w:rFonts w:ascii="Poppins" w:hAnsi="Poppins" w:cs="Poppins"/>
                <w:sz w:val="18"/>
                <w:szCs w:val="18"/>
              </w:rPr>
            </w:pPr>
          </w:p>
        </w:tc>
        <w:tc>
          <w:tcPr>
            <w:tcW w:w="992" w:type="dxa"/>
            <w:vMerge/>
            <w:shd w:val="clear" w:color="auto" w:fill="FFFFFF" w:themeFill="background1"/>
            <w:vAlign w:val="center"/>
          </w:tcPr>
          <w:p w14:paraId="221E4156" w14:textId="77777777" w:rsidR="00934BEF" w:rsidRPr="00934BEF" w:rsidRDefault="00934BEF" w:rsidP="0010732D">
            <w:pPr>
              <w:pStyle w:val="TableBodyText"/>
              <w:spacing w:line="240" w:lineRule="auto"/>
              <w:rPr>
                <w:rFonts w:ascii="Poppins" w:hAnsi="Poppins" w:cs="Poppins"/>
                <w:sz w:val="18"/>
                <w:szCs w:val="18"/>
              </w:rPr>
            </w:pPr>
          </w:p>
        </w:tc>
        <w:tc>
          <w:tcPr>
            <w:tcW w:w="8080" w:type="dxa"/>
            <w:shd w:val="clear" w:color="auto" w:fill="FFFFFF" w:themeFill="background1"/>
            <w:vAlign w:val="center"/>
          </w:tcPr>
          <w:p w14:paraId="7DBD325E" w14:textId="77777777" w:rsidR="00934BEF" w:rsidRPr="00934BEF" w:rsidRDefault="00934BEF" w:rsidP="0010732D">
            <w:pPr>
              <w:pStyle w:val="TableBodyText"/>
              <w:spacing w:line="240" w:lineRule="auto"/>
              <w:rPr>
                <w:rFonts w:ascii="Poppins" w:hAnsi="Poppins" w:cs="Poppins"/>
                <w:sz w:val="18"/>
                <w:szCs w:val="18"/>
                <w:highlight w:val="yellow"/>
              </w:rPr>
            </w:pPr>
            <w:r w:rsidRPr="00934BEF">
              <w:rPr>
                <w:rFonts w:ascii="Poppins" w:hAnsi="Poppins" w:cs="Poppins"/>
                <w:sz w:val="18"/>
                <w:szCs w:val="18"/>
              </w:rPr>
              <w:t>Dewatering feed tank No.2, steel, uncovered, constructed 2013</w:t>
            </w:r>
          </w:p>
        </w:tc>
        <w:tc>
          <w:tcPr>
            <w:tcW w:w="3402" w:type="dxa"/>
            <w:shd w:val="clear" w:color="auto" w:fill="FFFFFF" w:themeFill="background1"/>
            <w:vAlign w:val="center"/>
          </w:tcPr>
          <w:p w14:paraId="5E422DD8"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606</w:t>
            </w:r>
          </w:p>
        </w:tc>
      </w:tr>
      <w:tr w:rsidR="00934BEF" w:rsidRPr="00934BEF" w14:paraId="1E1A7166" w14:textId="77777777" w:rsidTr="00934BEF">
        <w:tc>
          <w:tcPr>
            <w:tcW w:w="2037" w:type="dxa"/>
            <w:vMerge/>
            <w:shd w:val="clear" w:color="auto" w:fill="FFFFFF" w:themeFill="background1"/>
            <w:vAlign w:val="center"/>
          </w:tcPr>
          <w:p w14:paraId="034B6B47" w14:textId="77777777" w:rsidR="00934BEF" w:rsidRPr="00934BEF" w:rsidRDefault="00934BEF" w:rsidP="0010732D">
            <w:pPr>
              <w:pStyle w:val="TableBodyText"/>
              <w:spacing w:line="240" w:lineRule="auto"/>
              <w:rPr>
                <w:rFonts w:ascii="Poppins" w:hAnsi="Poppins" w:cs="Poppins"/>
                <w:sz w:val="18"/>
                <w:szCs w:val="18"/>
              </w:rPr>
            </w:pPr>
          </w:p>
        </w:tc>
        <w:tc>
          <w:tcPr>
            <w:tcW w:w="992" w:type="dxa"/>
            <w:vMerge/>
            <w:shd w:val="clear" w:color="auto" w:fill="FFFFFF" w:themeFill="background1"/>
            <w:vAlign w:val="center"/>
          </w:tcPr>
          <w:p w14:paraId="7F5F4207" w14:textId="77777777" w:rsidR="00934BEF" w:rsidRPr="00934BEF" w:rsidRDefault="00934BEF" w:rsidP="0010732D">
            <w:pPr>
              <w:pStyle w:val="TableBodyText"/>
              <w:spacing w:line="240" w:lineRule="auto"/>
              <w:rPr>
                <w:rFonts w:ascii="Poppins" w:hAnsi="Poppins" w:cs="Poppins"/>
                <w:sz w:val="18"/>
                <w:szCs w:val="18"/>
              </w:rPr>
            </w:pPr>
          </w:p>
        </w:tc>
        <w:tc>
          <w:tcPr>
            <w:tcW w:w="8080" w:type="dxa"/>
            <w:shd w:val="clear" w:color="auto" w:fill="FFFFFF" w:themeFill="background1"/>
            <w:vAlign w:val="center"/>
          </w:tcPr>
          <w:p w14:paraId="04751271" w14:textId="77777777" w:rsidR="00934BEF" w:rsidRPr="00934BEF" w:rsidRDefault="00934BEF" w:rsidP="0010732D">
            <w:pPr>
              <w:pStyle w:val="TableBodyText"/>
              <w:spacing w:line="240" w:lineRule="auto"/>
              <w:rPr>
                <w:rFonts w:ascii="Poppins" w:hAnsi="Poppins" w:cs="Poppins"/>
                <w:sz w:val="18"/>
                <w:szCs w:val="18"/>
                <w:highlight w:val="yellow"/>
              </w:rPr>
            </w:pPr>
            <w:r w:rsidRPr="00934BEF">
              <w:rPr>
                <w:rFonts w:ascii="Poppins" w:hAnsi="Poppins" w:cs="Poppins"/>
                <w:sz w:val="18"/>
                <w:szCs w:val="18"/>
              </w:rPr>
              <w:t>Dewatering feed tank No.3, steel, uncovered, constructed 2013</w:t>
            </w:r>
          </w:p>
        </w:tc>
        <w:tc>
          <w:tcPr>
            <w:tcW w:w="3402" w:type="dxa"/>
            <w:shd w:val="clear" w:color="auto" w:fill="FFFFFF" w:themeFill="background1"/>
            <w:vAlign w:val="center"/>
          </w:tcPr>
          <w:p w14:paraId="1A5121E4"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606</w:t>
            </w:r>
          </w:p>
        </w:tc>
      </w:tr>
      <w:tr w:rsidR="00934BEF" w:rsidRPr="00934BEF" w14:paraId="4C5D863D" w14:textId="77777777" w:rsidTr="00934BEF">
        <w:trPr>
          <w:trHeight w:val="493"/>
        </w:trPr>
        <w:tc>
          <w:tcPr>
            <w:tcW w:w="2037" w:type="dxa"/>
            <w:shd w:val="clear" w:color="auto" w:fill="FFFFFF" w:themeFill="background1"/>
            <w:vAlign w:val="center"/>
          </w:tcPr>
          <w:p w14:paraId="777D1571"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 xml:space="preserve">Dewatering liquor </w:t>
            </w:r>
          </w:p>
        </w:tc>
        <w:tc>
          <w:tcPr>
            <w:tcW w:w="992" w:type="dxa"/>
            <w:shd w:val="clear" w:color="auto" w:fill="FFFFFF" w:themeFill="background1"/>
            <w:vAlign w:val="center"/>
          </w:tcPr>
          <w:p w14:paraId="14AC8385"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Liquid</w:t>
            </w:r>
          </w:p>
        </w:tc>
        <w:tc>
          <w:tcPr>
            <w:tcW w:w="8080" w:type="dxa"/>
            <w:shd w:val="clear" w:color="auto" w:fill="FFFFFF" w:themeFill="background1"/>
            <w:vAlign w:val="center"/>
          </w:tcPr>
          <w:p w14:paraId="393E3559" w14:textId="77777777" w:rsidR="00934BEF" w:rsidRPr="00934BEF" w:rsidRDefault="00934BEF" w:rsidP="0010732D">
            <w:pPr>
              <w:pStyle w:val="TableBodyText"/>
              <w:spacing w:line="240" w:lineRule="auto"/>
              <w:rPr>
                <w:rFonts w:ascii="Poppins" w:hAnsi="Poppins" w:cs="Poppins"/>
                <w:sz w:val="18"/>
                <w:szCs w:val="18"/>
                <w:highlight w:val="yellow"/>
              </w:rPr>
            </w:pPr>
            <w:r w:rsidRPr="00934BEF">
              <w:rPr>
                <w:rFonts w:ascii="Poppins" w:hAnsi="Poppins" w:cs="Poppins"/>
                <w:sz w:val="18"/>
                <w:szCs w:val="18"/>
              </w:rPr>
              <w:t>Return liquor sump and associated pipework (underground, running from centrifuge building to Effluent Building on the northern boundary)</w:t>
            </w:r>
          </w:p>
        </w:tc>
        <w:tc>
          <w:tcPr>
            <w:tcW w:w="3402" w:type="dxa"/>
            <w:shd w:val="clear" w:color="auto" w:fill="FFFFFF" w:themeFill="background1"/>
            <w:vAlign w:val="center"/>
          </w:tcPr>
          <w:p w14:paraId="22915B5E"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w:t>
            </w:r>
          </w:p>
        </w:tc>
      </w:tr>
      <w:tr w:rsidR="00934BEF" w:rsidRPr="00934BEF" w14:paraId="5DB899AB" w14:textId="77777777" w:rsidTr="00934BEF">
        <w:tc>
          <w:tcPr>
            <w:tcW w:w="2037" w:type="dxa"/>
            <w:vMerge w:val="restart"/>
            <w:shd w:val="clear" w:color="auto" w:fill="FFFFFF" w:themeFill="background1"/>
            <w:vAlign w:val="center"/>
          </w:tcPr>
          <w:p w14:paraId="3AF3A675"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Run-off from concrete pad</w:t>
            </w:r>
          </w:p>
        </w:tc>
        <w:tc>
          <w:tcPr>
            <w:tcW w:w="992" w:type="dxa"/>
            <w:vMerge w:val="restart"/>
            <w:shd w:val="clear" w:color="auto" w:fill="FFFFFF" w:themeFill="background1"/>
            <w:vAlign w:val="center"/>
          </w:tcPr>
          <w:p w14:paraId="3045973E"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Liquid</w:t>
            </w:r>
          </w:p>
        </w:tc>
        <w:tc>
          <w:tcPr>
            <w:tcW w:w="8080" w:type="dxa"/>
            <w:shd w:val="clear" w:color="auto" w:fill="FFFFFF" w:themeFill="background1"/>
            <w:vAlign w:val="center"/>
          </w:tcPr>
          <w:p w14:paraId="78C7FCF6" w14:textId="77777777" w:rsidR="00934BEF" w:rsidRPr="00934BEF" w:rsidRDefault="00934BEF" w:rsidP="0010732D">
            <w:pPr>
              <w:pStyle w:val="TableBodyText"/>
              <w:spacing w:line="240" w:lineRule="auto"/>
              <w:rPr>
                <w:rFonts w:ascii="Poppins" w:hAnsi="Poppins" w:cs="Poppins"/>
                <w:sz w:val="18"/>
                <w:szCs w:val="18"/>
                <w:highlight w:val="yellow"/>
              </w:rPr>
            </w:pPr>
            <w:r w:rsidRPr="00934BEF">
              <w:rPr>
                <w:rFonts w:ascii="Poppins" w:hAnsi="Poppins" w:cs="Poppins"/>
                <w:sz w:val="18"/>
                <w:szCs w:val="18"/>
              </w:rPr>
              <w:t xml:space="preserve">Run-off collection drainage (to Effluent Building) </w:t>
            </w:r>
          </w:p>
        </w:tc>
        <w:tc>
          <w:tcPr>
            <w:tcW w:w="3402" w:type="dxa"/>
            <w:shd w:val="clear" w:color="auto" w:fill="FFFFFF" w:themeFill="background1"/>
            <w:vAlign w:val="center"/>
          </w:tcPr>
          <w:p w14:paraId="2B406899" w14:textId="77777777" w:rsidR="00934BEF" w:rsidRPr="00934BEF" w:rsidRDefault="00934BEF" w:rsidP="0010732D">
            <w:pPr>
              <w:pStyle w:val="TableBodyText"/>
              <w:spacing w:line="240" w:lineRule="auto"/>
              <w:rPr>
                <w:rFonts w:ascii="Poppins" w:hAnsi="Poppins" w:cs="Poppins"/>
                <w:sz w:val="18"/>
                <w:szCs w:val="18"/>
                <w:vertAlign w:val="superscript"/>
              </w:rPr>
            </w:pPr>
            <w:r w:rsidRPr="00934BEF">
              <w:rPr>
                <w:rFonts w:ascii="Poppins" w:hAnsi="Poppins" w:cs="Poppins"/>
                <w:sz w:val="18"/>
                <w:szCs w:val="18"/>
              </w:rPr>
              <w:t>-</w:t>
            </w:r>
          </w:p>
        </w:tc>
      </w:tr>
      <w:tr w:rsidR="00934BEF" w:rsidRPr="00934BEF" w14:paraId="35CA07B8" w14:textId="77777777" w:rsidTr="00934BEF">
        <w:tc>
          <w:tcPr>
            <w:tcW w:w="2037" w:type="dxa"/>
            <w:vMerge/>
            <w:shd w:val="clear" w:color="auto" w:fill="FFFFFF" w:themeFill="background1"/>
            <w:vAlign w:val="center"/>
          </w:tcPr>
          <w:p w14:paraId="0DEC1C9A" w14:textId="77777777" w:rsidR="00934BEF" w:rsidRPr="00934BEF" w:rsidRDefault="00934BEF" w:rsidP="0010732D">
            <w:pPr>
              <w:pStyle w:val="TableBodyText"/>
              <w:spacing w:line="240" w:lineRule="auto"/>
              <w:rPr>
                <w:rFonts w:ascii="Poppins" w:hAnsi="Poppins" w:cs="Poppins"/>
                <w:sz w:val="18"/>
                <w:szCs w:val="18"/>
              </w:rPr>
            </w:pPr>
          </w:p>
        </w:tc>
        <w:tc>
          <w:tcPr>
            <w:tcW w:w="992" w:type="dxa"/>
            <w:vMerge/>
            <w:shd w:val="clear" w:color="auto" w:fill="FFFFFF" w:themeFill="background1"/>
            <w:vAlign w:val="center"/>
          </w:tcPr>
          <w:p w14:paraId="3611ED81" w14:textId="77777777" w:rsidR="00934BEF" w:rsidRPr="00934BEF" w:rsidRDefault="00934BEF" w:rsidP="0010732D">
            <w:pPr>
              <w:pStyle w:val="TableBodyText"/>
              <w:spacing w:line="240" w:lineRule="auto"/>
              <w:rPr>
                <w:rFonts w:ascii="Poppins" w:hAnsi="Poppins" w:cs="Poppins"/>
                <w:sz w:val="18"/>
                <w:szCs w:val="18"/>
                <w:highlight w:val="yellow"/>
              </w:rPr>
            </w:pPr>
          </w:p>
        </w:tc>
        <w:tc>
          <w:tcPr>
            <w:tcW w:w="8080" w:type="dxa"/>
            <w:shd w:val="clear" w:color="auto" w:fill="FFFFFF" w:themeFill="background1"/>
            <w:vAlign w:val="center"/>
          </w:tcPr>
          <w:p w14:paraId="68D1321F"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Return pipework (underground, running from Effluent Building to primary distribution chamber at WwTW)</w:t>
            </w:r>
          </w:p>
        </w:tc>
        <w:tc>
          <w:tcPr>
            <w:tcW w:w="3402" w:type="dxa"/>
            <w:shd w:val="clear" w:color="auto" w:fill="FFFFFF" w:themeFill="background1"/>
            <w:vAlign w:val="center"/>
          </w:tcPr>
          <w:p w14:paraId="3C7CBB4F"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w:t>
            </w:r>
          </w:p>
        </w:tc>
      </w:tr>
      <w:tr w:rsidR="00934BEF" w:rsidRPr="00934BEF" w14:paraId="37572EA6" w14:textId="77777777" w:rsidTr="00934BEF">
        <w:trPr>
          <w:trHeight w:val="736"/>
        </w:trPr>
        <w:tc>
          <w:tcPr>
            <w:tcW w:w="2037" w:type="dxa"/>
            <w:shd w:val="clear" w:color="auto" w:fill="FFFFFF" w:themeFill="background1"/>
            <w:vAlign w:val="center"/>
          </w:tcPr>
          <w:p w14:paraId="2296FA62"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Cake</w:t>
            </w:r>
          </w:p>
        </w:tc>
        <w:tc>
          <w:tcPr>
            <w:tcW w:w="992" w:type="dxa"/>
            <w:shd w:val="clear" w:color="auto" w:fill="FFFFFF" w:themeFill="background1"/>
            <w:vAlign w:val="center"/>
          </w:tcPr>
          <w:p w14:paraId="15104198"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Solid</w:t>
            </w:r>
          </w:p>
        </w:tc>
        <w:tc>
          <w:tcPr>
            <w:tcW w:w="8080" w:type="dxa"/>
            <w:shd w:val="clear" w:color="auto" w:fill="FFFFFF" w:themeFill="background1"/>
            <w:vAlign w:val="center"/>
          </w:tcPr>
          <w:p w14:paraId="2BB11C57"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Concrete pad</w:t>
            </w:r>
          </w:p>
        </w:tc>
        <w:tc>
          <w:tcPr>
            <w:tcW w:w="3402" w:type="dxa"/>
            <w:shd w:val="clear" w:color="auto" w:fill="FFFFFF" w:themeFill="background1"/>
            <w:vAlign w:val="center"/>
          </w:tcPr>
          <w:p w14:paraId="44991151" w14:textId="15FD2945"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25,000 tonnes (max</w:t>
            </w:r>
            <w:r w:rsidR="0010732D">
              <w:rPr>
                <w:rFonts w:ascii="Poppins" w:hAnsi="Poppins" w:cs="Poppins"/>
                <w:sz w:val="18"/>
                <w:szCs w:val="18"/>
              </w:rPr>
              <w:t>imum</w:t>
            </w:r>
            <w:r w:rsidRPr="00934BEF">
              <w:rPr>
                <w:rFonts w:ascii="Poppins" w:hAnsi="Poppins" w:cs="Poppins"/>
                <w:sz w:val="18"/>
                <w:szCs w:val="18"/>
              </w:rPr>
              <w:t>)</w:t>
            </w:r>
          </w:p>
        </w:tc>
      </w:tr>
    </w:tbl>
    <w:p w14:paraId="1D0B6A5A" w14:textId="77777777" w:rsidR="0010732D" w:rsidRDefault="0010732D">
      <w:pPr>
        <w:rPr>
          <w:rFonts w:ascii="Poppins" w:hAnsi="Poppins" w:cs="Poppins"/>
          <w:b/>
          <w:sz w:val="20"/>
          <w:szCs w:val="20"/>
        </w:rPr>
      </w:pPr>
      <w:bookmarkStart w:id="3" w:name="_Ref67652928"/>
      <w:r>
        <w:rPr>
          <w:rFonts w:ascii="Poppins" w:hAnsi="Poppins" w:cs="Poppins"/>
          <w:b/>
          <w:sz w:val="20"/>
          <w:szCs w:val="20"/>
        </w:rPr>
        <w:br w:type="page"/>
      </w:r>
    </w:p>
    <w:p w14:paraId="26A56DE6" w14:textId="5AE3AC85" w:rsidR="00934BEF" w:rsidRPr="00934BEF" w:rsidRDefault="00934BEF" w:rsidP="00934BEF">
      <w:pPr>
        <w:spacing w:after="60"/>
        <w:rPr>
          <w:rFonts w:ascii="Poppins" w:hAnsi="Poppins" w:cs="Poppins"/>
          <w:b/>
          <w:sz w:val="20"/>
          <w:szCs w:val="20"/>
        </w:rPr>
      </w:pPr>
      <w:r>
        <w:rPr>
          <w:rFonts w:ascii="Poppins" w:hAnsi="Poppins" w:cs="Poppins"/>
          <w:b/>
          <w:sz w:val="20"/>
          <w:szCs w:val="20"/>
        </w:rPr>
        <w:lastRenderedPageBreak/>
        <w:t xml:space="preserve">Table </w:t>
      </w:r>
      <w:r w:rsidR="005A63E2">
        <w:rPr>
          <w:rFonts w:ascii="Poppins" w:hAnsi="Poppins" w:cs="Poppins"/>
          <w:b/>
          <w:sz w:val="20"/>
          <w:szCs w:val="20"/>
        </w:rPr>
        <w:t>4</w:t>
      </w:r>
      <w:r>
        <w:rPr>
          <w:rFonts w:ascii="Poppins" w:hAnsi="Poppins" w:cs="Poppins"/>
          <w:b/>
          <w:sz w:val="20"/>
          <w:szCs w:val="20"/>
        </w:rPr>
        <w:t xml:space="preserve">: </w:t>
      </w:r>
      <w:r w:rsidRPr="00934BEF">
        <w:rPr>
          <w:rFonts w:ascii="Poppins" w:hAnsi="Poppins" w:cs="Poppins"/>
          <w:b/>
          <w:sz w:val="20"/>
          <w:szCs w:val="20"/>
        </w:rPr>
        <w:t>Process Wastes and Potential to Pollute</w:t>
      </w:r>
      <w:bookmarkEnd w:id="3"/>
    </w:p>
    <w:tbl>
      <w:tblPr>
        <w:tblW w:w="5232"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00" w:firstRow="0" w:lastRow="0" w:firstColumn="0" w:lastColumn="0" w:noHBand="0" w:noVBand="0"/>
      </w:tblPr>
      <w:tblGrid>
        <w:gridCol w:w="2027"/>
        <w:gridCol w:w="1677"/>
        <w:gridCol w:w="4373"/>
        <w:gridCol w:w="6518"/>
      </w:tblGrid>
      <w:tr w:rsidR="00934BEF" w:rsidRPr="00934BEF" w14:paraId="2FE3873A" w14:textId="77777777" w:rsidTr="00934BEF">
        <w:trPr>
          <w:cantSplit/>
          <w:trHeight w:val="1275"/>
          <w:tblHeader/>
        </w:trPr>
        <w:tc>
          <w:tcPr>
            <w:tcW w:w="694" w:type="pct"/>
            <w:shd w:val="clear" w:color="auto" w:fill="004C6C"/>
            <w:vAlign w:val="center"/>
          </w:tcPr>
          <w:p w14:paraId="3375D0FE" w14:textId="77777777" w:rsidR="00934BEF" w:rsidRPr="00934BEF" w:rsidRDefault="00934BEF" w:rsidP="0010732D">
            <w:pPr>
              <w:pStyle w:val="TableHeaderText"/>
              <w:spacing w:line="240" w:lineRule="auto"/>
              <w:jc w:val="center"/>
              <w:rPr>
                <w:rFonts w:ascii="Poppins" w:hAnsi="Poppins" w:cs="Poppins"/>
                <w:b/>
                <w:bCs/>
                <w:sz w:val="18"/>
                <w:szCs w:val="18"/>
              </w:rPr>
            </w:pPr>
            <w:r w:rsidRPr="00934BEF">
              <w:rPr>
                <w:rFonts w:ascii="Poppins" w:hAnsi="Poppins" w:cs="Poppins"/>
                <w:b/>
                <w:bCs/>
                <w:sz w:val="18"/>
                <w:szCs w:val="18"/>
              </w:rPr>
              <w:t>Waste Type</w:t>
            </w:r>
            <w:bookmarkStart w:id="4" w:name="_Hlk42271000"/>
          </w:p>
        </w:tc>
        <w:tc>
          <w:tcPr>
            <w:tcW w:w="574" w:type="pct"/>
            <w:shd w:val="clear" w:color="auto" w:fill="004C6C"/>
            <w:vAlign w:val="center"/>
          </w:tcPr>
          <w:p w14:paraId="49DF8234" w14:textId="77777777" w:rsidR="00934BEF" w:rsidRPr="00934BEF" w:rsidRDefault="00934BEF" w:rsidP="0010732D">
            <w:pPr>
              <w:pStyle w:val="TableHeaderText"/>
              <w:spacing w:line="240" w:lineRule="auto"/>
              <w:jc w:val="center"/>
              <w:rPr>
                <w:rFonts w:ascii="Poppins" w:hAnsi="Poppins" w:cs="Poppins"/>
                <w:b/>
                <w:bCs/>
                <w:sz w:val="18"/>
                <w:szCs w:val="18"/>
              </w:rPr>
            </w:pPr>
            <w:r w:rsidRPr="00934BEF">
              <w:rPr>
                <w:rFonts w:ascii="Poppins" w:hAnsi="Poppins" w:cs="Poppins"/>
                <w:b/>
                <w:bCs/>
                <w:sz w:val="18"/>
                <w:szCs w:val="18"/>
              </w:rPr>
              <w:t>Nature of material</w:t>
            </w:r>
          </w:p>
        </w:tc>
        <w:tc>
          <w:tcPr>
            <w:tcW w:w="1498" w:type="pct"/>
            <w:shd w:val="clear" w:color="auto" w:fill="004C6C"/>
            <w:vAlign w:val="center"/>
          </w:tcPr>
          <w:p w14:paraId="1E92EE3E" w14:textId="77777777" w:rsidR="00934BEF" w:rsidRPr="00934BEF" w:rsidRDefault="00934BEF" w:rsidP="0010732D">
            <w:pPr>
              <w:pStyle w:val="TableHeaderText"/>
              <w:spacing w:line="240" w:lineRule="auto"/>
              <w:jc w:val="center"/>
              <w:rPr>
                <w:rFonts w:ascii="Poppins" w:hAnsi="Poppins" w:cs="Poppins"/>
                <w:b/>
                <w:bCs/>
                <w:sz w:val="18"/>
                <w:szCs w:val="18"/>
              </w:rPr>
            </w:pPr>
            <w:r w:rsidRPr="00934BEF">
              <w:rPr>
                <w:rFonts w:ascii="Poppins" w:hAnsi="Poppins" w:cs="Poppins"/>
                <w:b/>
                <w:bCs/>
                <w:sz w:val="18"/>
                <w:szCs w:val="18"/>
              </w:rPr>
              <w:t>Storage Arrangements</w:t>
            </w:r>
          </w:p>
        </w:tc>
        <w:tc>
          <w:tcPr>
            <w:tcW w:w="2233" w:type="pct"/>
            <w:shd w:val="clear" w:color="auto" w:fill="004C6C"/>
            <w:vAlign w:val="center"/>
          </w:tcPr>
          <w:p w14:paraId="05CA82D7" w14:textId="77777777" w:rsidR="00934BEF" w:rsidRPr="00934BEF" w:rsidRDefault="00934BEF" w:rsidP="0010732D">
            <w:pPr>
              <w:pStyle w:val="TableHeaderText"/>
              <w:spacing w:line="240" w:lineRule="auto"/>
              <w:jc w:val="center"/>
              <w:rPr>
                <w:rFonts w:ascii="Poppins" w:hAnsi="Poppins" w:cs="Poppins"/>
                <w:b/>
                <w:bCs/>
                <w:sz w:val="18"/>
                <w:szCs w:val="18"/>
              </w:rPr>
            </w:pPr>
            <w:r w:rsidRPr="00934BEF">
              <w:rPr>
                <w:rFonts w:ascii="Poppins" w:hAnsi="Poppins" w:cs="Poppins"/>
                <w:b/>
                <w:bCs/>
                <w:sz w:val="18"/>
                <w:szCs w:val="18"/>
              </w:rPr>
              <w:t>Storage and Disposal Method</w:t>
            </w:r>
          </w:p>
        </w:tc>
      </w:tr>
      <w:bookmarkEnd w:id="4"/>
      <w:tr w:rsidR="00934BEF" w:rsidRPr="00934BEF" w14:paraId="10177466" w14:textId="77777777" w:rsidTr="00934BEF">
        <w:trPr>
          <w:cantSplit/>
          <w:trHeight w:val="525"/>
        </w:trPr>
        <w:tc>
          <w:tcPr>
            <w:tcW w:w="694" w:type="pct"/>
            <w:vAlign w:val="center"/>
          </w:tcPr>
          <w:p w14:paraId="46C787BF"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Waste oil</w:t>
            </w:r>
          </w:p>
        </w:tc>
        <w:tc>
          <w:tcPr>
            <w:tcW w:w="574" w:type="pct"/>
            <w:vAlign w:val="center"/>
          </w:tcPr>
          <w:p w14:paraId="6FAF95C2"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Hazardous</w:t>
            </w:r>
          </w:p>
        </w:tc>
        <w:tc>
          <w:tcPr>
            <w:tcW w:w="1498" w:type="pct"/>
            <w:vAlign w:val="center"/>
          </w:tcPr>
          <w:p w14:paraId="3E11187B"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 xml:space="preserve">Stored in IBCs on hardstanding within the digester compound </w:t>
            </w:r>
          </w:p>
        </w:tc>
        <w:tc>
          <w:tcPr>
            <w:tcW w:w="2233" w:type="pct"/>
            <w:vAlign w:val="center"/>
          </w:tcPr>
          <w:p w14:paraId="30E4FAD4"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Collected by approved waste contractor for off-site disposal</w:t>
            </w:r>
          </w:p>
        </w:tc>
      </w:tr>
      <w:tr w:rsidR="00934BEF" w:rsidRPr="00934BEF" w14:paraId="16CF4045" w14:textId="77777777" w:rsidTr="00934BEF">
        <w:trPr>
          <w:cantSplit/>
          <w:trHeight w:val="525"/>
        </w:trPr>
        <w:tc>
          <w:tcPr>
            <w:tcW w:w="694" w:type="pct"/>
            <w:vAlign w:val="center"/>
          </w:tcPr>
          <w:p w14:paraId="6ED91ECE"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General waste</w:t>
            </w:r>
          </w:p>
        </w:tc>
        <w:tc>
          <w:tcPr>
            <w:tcW w:w="574" w:type="pct"/>
            <w:vAlign w:val="center"/>
          </w:tcPr>
          <w:p w14:paraId="1A7FB60E"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Non-hazardous</w:t>
            </w:r>
          </w:p>
        </w:tc>
        <w:tc>
          <w:tcPr>
            <w:tcW w:w="1498" w:type="pct"/>
            <w:vAlign w:val="center"/>
          </w:tcPr>
          <w:p w14:paraId="3077FC3F" w14:textId="77777777" w:rsidR="00934BEF" w:rsidRPr="00934BEF" w:rsidRDefault="00934BEF" w:rsidP="0010732D">
            <w:pPr>
              <w:pStyle w:val="TableBodyText"/>
              <w:spacing w:line="240" w:lineRule="auto"/>
              <w:rPr>
                <w:rFonts w:ascii="Poppins" w:hAnsi="Poppins" w:cs="Poppins"/>
                <w:sz w:val="18"/>
                <w:szCs w:val="18"/>
                <w:highlight w:val="yellow"/>
              </w:rPr>
            </w:pPr>
            <w:r w:rsidRPr="00934BEF">
              <w:rPr>
                <w:rFonts w:ascii="Poppins" w:hAnsi="Poppins" w:cs="Poppins"/>
                <w:sz w:val="18"/>
                <w:szCs w:val="18"/>
              </w:rPr>
              <w:t>Dedicated skips and smaller containers, located on hardstanding at designated points within the installation</w:t>
            </w:r>
          </w:p>
        </w:tc>
        <w:tc>
          <w:tcPr>
            <w:tcW w:w="2233" w:type="pct"/>
            <w:vAlign w:val="center"/>
          </w:tcPr>
          <w:p w14:paraId="0614C978"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Collected by approved waste contractor for off-site disposal</w:t>
            </w:r>
          </w:p>
        </w:tc>
      </w:tr>
      <w:tr w:rsidR="00934BEF" w:rsidRPr="00934BEF" w14:paraId="2AC1DD30" w14:textId="77777777" w:rsidTr="00934BEF">
        <w:trPr>
          <w:cantSplit/>
          <w:trHeight w:val="525"/>
        </w:trPr>
        <w:tc>
          <w:tcPr>
            <w:tcW w:w="694" w:type="pct"/>
            <w:vAlign w:val="center"/>
          </w:tcPr>
          <w:p w14:paraId="27E14958"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Wood</w:t>
            </w:r>
          </w:p>
        </w:tc>
        <w:tc>
          <w:tcPr>
            <w:tcW w:w="574" w:type="pct"/>
            <w:vAlign w:val="center"/>
          </w:tcPr>
          <w:p w14:paraId="08C78A3E"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Non-hazardous</w:t>
            </w:r>
          </w:p>
        </w:tc>
        <w:tc>
          <w:tcPr>
            <w:tcW w:w="1498" w:type="pct"/>
            <w:vAlign w:val="center"/>
          </w:tcPr>
          <w:p w14:paraId="6A0F14C2" w14:textId="77777777" w:rsidR="00934BEF" w:rsidRPr="00934BEF" w:rsidRDefault="00934BEF" w:rsidP="0010732D">
            <w:pPr>
              <w:pStyle w:val="TableBodyText"/>
              <w:spacing w:line="240" w:lineRule="auto"/>
              <w:rPr>
                <w:rFonts w:ascii="Poppins" w:hAnsi="Poppins" w:cs="Poppins"/>
                <w:sz w:val="18"/>
                <w:szCs w:val="18"/>
                <w:highlight w:val="yellow"/>
              </w:rPr>
            </w:pPr>
            <w:r w:rsidRPr="00934BEF">
              <w:rPr>
                <w:rFonts w:ascii="Poppins" w:hAnsi="Poppins" w:cs="Poppins"/>
                <w:sz w:val="18"/>
                <w:szCs w:val="18"/>
              </w:rPr>
              <w:t>Skip within designated area</w:t>
            </w:r>
          </w:p>
        </w:tc>
        <w:tc>
          <w:tcPr>
            <w:tcW w:w="2233" w:type="pct"/>
            <w:vAlign w:val="center"/>
          </w:tcPr>
          <w:p w14:paraId="5F9C4512"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Collected by approved waste contractor for off-site disposal (recycled or treated via EfW)</w:t>
            </w:r>
          </w:p>
        </w:tc>
      </w:tr>
      <w:tr w:rsidR="00934BEF" w:rsidRPr="00934BEF" w14:paraId="3DFD8F41" w14:textId="77777777" w:rsidTr="00934BEF">
        <w:trPr>
          <w:cantSplit/>
          <w:trHeight w:val="525"/>
        </w:trPr>
        <w:tc>
          <w:tcPr>
            <w:tcW w:w="694" w:type="pct"/>
            <w:vAlign w:val="center"/>
          </w:tcPr>
          <w:p w14:paraId="6A4F3D59"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Empty IBCs</w:t>
            </w:r>
          </w:p>
        </w:tc>
        <w:tc>
          <w:tcPr>
            <w:tcW w:w="574" w:type="pct"/>
            <w:vAlign w:val="center"/>
          </w:tcPr>
          <w:p w14:paraId="7CF16109"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Hazardous</w:t>
            </w:r>
          </w:p>
        </w:tc>
        <w:tc>
          <w:tcPr>
            <w:tcW w:w="1498" w:type="pct"/>
            <w:vAlign w:val="center"/>
          </w:tcPr>
          <w:p w14:paraId="53249113"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Stored in designated within the installation prior to removal</w:t>
            </w:r>
          </w:p>
        </w:tc>
        <w:tc>
          <w:tcPr>
            <w:tcW w:w="2233" w:type="pct"/>
            <w:vAlign w:val="center"/>
          </w:tcPr>
          <w:p w14:paraId="3CDE7B04"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Collected by approved waste contractor for off-site disposal</w:t>
            </w:r>
          </w:p>
        </w:tc>
      </w:tr>
      <w:tr w:rsidR="00934BEF" w:rsidRPr="00934BEF" w14:paraId="45D20953" w14:textId="77777777" w:rsidTr="00934BEF">
        <w:trPr>
          <w:cantSplit/>
          <w:trHeight w:val="525"/>
        </w:trPr>
        <w:tc>
          <w:tcPr>
            <w:tcW w:w="694" w:type="pct"/>
            <w:vAlign w:val="center"/>
          </w:tcPr>
          <w:p w14:paraId="436D941E"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Oil contaminated absorbents</w:t>
            </w:r>
          </w:p>
        </w:tc>
        <w:tc>
          <w:tcPr>
            <w:tcW w:w="574" w:type="pct"/>
            <w:vAlign w:val="center"/>
          </w:tcPr>
          <w:p w14:paraId="5DD82521"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Hazardous</w:t>
            </w:r>
          </w:p>
        </w:tc>
        <w:tc>
          <w:tcPr>
            <w:tcW w:w="1498" w:type="pct"/>
            <w:vAlign w:val="center"/>
          </w:tcPr>
          <w:p w14:paraId="481541D9"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Dedicated containers (20 litre drum) within digester compound</w:t>
            </w:r>
          </w:p>
        </w:tc>
        <w:tc>
          <w:tcPr>
            <w:tcW w:w="2233" w:type="pct"/>
            <w:vAlign w:val="center"/>
          </w:tcPr>
          <w:p w14:paraId="728BFA05"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Collected by approved waste contractor for off-site disposal</w:t>
            </w:r>
          </w:p>
        </w:tc>
      </w:tr>
      <w:tr w:rsidR="00934BEF" w:rsidRPr="00934BEF" w14:paraId="17A3AEF4" w14:textId="77777777" w:rsidTr="00934BEF">
        <w:trPr>
          <w:cantSplit/>
          <w:trHeight w:val="525"/>
        </w:trPr>
        <w:tc>
          <w:tcPr>
            <w:tcW w:w="694" w:type="pct"/>
            <w:vAlign w:val="center"/>
          </w:tcPr>
          <w:p w14:paraId="25BCA193"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Oil filters</w:t>
            </w:r>
          </w:p>
        </w:tc>
        <w:tc>
          <w:tcPr>
            <w:tcW w:w="574" w:type="pct"/>
            <w:vAlign w:val="center"/>
          </w:tcPr>
          <w:p w14:paraId="508F57DF"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Hazardous</w:t>
            </w:r>
          </w:p>
        </w:tc>
        <w:tc>
          <w:tcPr>
            <w:tcW w:w="1498" w:type="pct"/>
            <w:vAlign w:val="center"/>
          </w:tcPr>
          <w:p w14:paraId="262AED31" w14:textId="77777777" w:rsidR="00934BEF" w:rsidRPr="00934BEF" w:rsidRDefault="00934BEF" w:rsidP="0010732D">
            <w:pPr>
              <w:pStyle w:val="TableBodyText"/>
              <w:spacing w:line="240" w:lineRule="auto"/>
              <w:rPr>
                <w:rFonts w:ascii="Poppins" w:hAnsi="Poppins" w:cs="Poppins"/>
                <w:sz w:val="18"/>
                <w:szCs w:val="18"/>
                <w:highlight w:val="yellow"/>
              </w:rPr>
            </w:pPr>
            <w:r w:rsidRPr="00934BEF">
              <w:rPr>
                <w:rFonts w:ascii="Poppins" w:hAnsi="Poppins" w:cs="Poppins"/>
                <w:sz w:val="18"/>
                <w:szCs w:val="18"/>
              </w:rPr>
              <w:t xml:space="preserve">Dedicated container (20 litre drum) within digester compound </w:t>
            </w:r>
          </w:p>
        </w:tc>
        <w:tc>
          <w:tcPr>
            <w:tcW w:w="2233" w:type="pct"/>
            <w:vAlign w:val="center"/>
          </w:tcPr>
          <w:p w14:paraId="57DA28D9"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Collected by approved waste contractor for off-site disposal</w:t>
            </w:r>
          </w:p>
        </w:tc>
      </w:tr>
      <w:tr w:rsidR="00934BEF" w:rsidRPr="00934BEF" w14:paraId="40A93EBF" w14:textId="77777777" w:rsidTr="00934BEF">
        <w:trPr>
          <w:cantSplit/>
          <w:trHeight w:val="525"/>
        </w:trPr>
        <w:tc>
          <w:tcPr>
            <w:tcW w:w="694" w:type="pct"/>
            <w:vAlign w:val="center"/>
          </w:tcPr>
          <w:p w14:paraId="7D7B855A"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Antifreeze</w:t>
            </w:r>
          </w:p>
        </w:tc>
        <w:tc>
          <w:tcPr>
            <w:tcW w:w="574" w:type="pct"/>
            <w:vAlign w:val="center"/>
          </w:tcPr>
          <w:p w14:paraId="06B7CF2D"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Hazardous</w:t>
            </w:r>
          </w:p>
        </w:tc>
        <w:tc>
          <w:tcPr>
            <w:tcW w:w="1498" w:type="pct"/>
            <w:vAlign w:val="center"/>
          </w:tcPr>
          <w:p w14:paraId="5493A007"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Removed from site when servicing requires a change over (in 20 litre drums)</w:t>
            </w:r>
          </w:p>
        </w:tc>
        <w:tc>
          <w:tcPr>
            <w:tcW w:w="2233" w:type="pct"/>
            <w:vAlign w:val="center"/>
          </w:tcPr>
          <w:p w14:paraId="3E6F0C9A" w14:textId="77777777" w:rsidR="00934BEF" w:rsidRPr="00934BEF" w:rsidRDefault="00934BEF" w:rsidP="0010732D">
            <w:pPr>
              <w:pStyle w:val="TableBodyText"/>
              <w:spacing w:line="240" w:lineRule="auto"/>
              <w:rPr>
                <w:rFonts w:ascii="Poppins" w:hAnsi="Poppins" w:cs="Poppins"/>
                <w:sz w:val="18"/>
                <w:szCs w:val="18"/>
              </w:rPr>
            </w:pPr>
            <w:r w:rsidRPr="00934BEF">
              <w:rPr>
                <w:rFonts w:ascii="Poppins" w:hAnsi="Poppins" w:cs="Poppins"/>
                <w:sz w:val="18"/>
                <w:szCs w:val="18"/>
              </w:rPr>
              <w:t>Collected by approved waste contractor for off-site disposal</w:t>
            </w:r>
          </w:p>
        </w:tc>
      </w:tr>
    </w:tbl>
    <w:p w14:paraId="4493D047" w14:textId="77777777" w:rsidR="00C57F90" w:rsidRPr="00C57F90" w:rsidRDefault="00C57F90" w:rsidP="00C57F90"/>
    <w:p w14:paraId="607D43AA" w14:textId="77777777" w:rsidR="007805D4" w:rsidRDefault="007805D4" w:rsidP="007805D4"/>
    <w:p w14:paraId="0D7CFB77" w14:textId="77777777" w:rsidR="00C57F90" w:rsidRDefault="00C57F90" w:rsidP="007805D4">
      <w:pPr>
        <w:sectPr w:rsidR="00C57F90" w:rsidSect="00934BEF">
          <w:headerReference w:type="default" r:id="rId14"/>
          <w:footerReference w:type="default" r:id="rId15"/>
          <w:pgSz w:w="16838" w:h="11906" w:orient="landscape"/>
          <w:pgMar w:top="1440" w:right="1440" w:bottom="1440" w:left="1440" w:header="708" w:footer="708" w:gutter="0"/>
          <w:cols w:space="708"/>
          <w:docGrid w:linePitch="360"/>
        </w:sectPr>
      </w:pPr>
    </w:p>
    <w:p w14:paraId="4071F1E6" w14:textId="3905B334" w:rsidR="00C57F90" w:rsidRPr="00274CD4" w:rsidRDefault="00C57F90" w:rsidP="00C57F90">
      <w:pPr>
        <w:pStyle w:val="Heading1"/>
        <w:numPr>
          <w:ilvl w:val="0"/>
          <w:numId w:val="5"/>
        </w:numPr>
        <w:ind w:left="0" w:firstLine="0"/>
        <w:jc w:val="both"/>
        <w:rPr>
          <w:sz w:val="20"/>
          <w:szCs w:val="20"/>
        </w:rPr>
      </w:pPr>
      <w:r w:rsidRPr="007805D4">
        <w:rPr>
          <w:sz w:val="20"/>
          <w:szCs w:val="20"/>
        </w:rPr>
        <w:lastRenderedPageBreak/>
        <w:t>Accident Management Plan</w:t>
      </w:r>
    </w:p>
    <w:p w14:paraId="6C1F619E" w14:textId="1F012F50" w:rsidR="007805D4" w:rsidRPr="007805D4" w:rsidRDefault="007805D4" w:rsidP="00565DFA">
      <w:pPr>
        <w:pStyle w:val="Paragraphtext"/>
        <w:spacing w:after="160" w:line="259" w:lineRule="auto"/>
        <w:rPr>
          <w:rFonts w:ascii="Poppins" w:hAnsi="Poppins" w:cs="Poppins"/>
          <w:szCs w:val="20"/>
          <w:lang w:eastAsia="zh-CN"/>
        </w:rPr>
      </w:pPr>
      <w:r w:rsidRPr="007805D4">
        <w:rPr>
          <w:rFonts w:ascii="Poppins" w:hAnsi="Poppins" w:cs="Poppins"/>
          <w:szCs w:val="20"/>
          <w:lang w:eastAsia="zh-CN"/>
        </w:rPr>
        <w:t xml:space="preserve">The potential for accidental releases resulting from the activities proposed in this variation application are identified and assessed in Table </w:t>
      </w:r>
      <w:r w:rsidR="005A63E2">
        <w:rPr>
          <w:rFonts w:ascii="Poppins" w:hAnsi="Poppins" w:cs="Poppins"/>
          <w:szCs w:val="20"/>
          <w:lang w:eastAsia="zh-CN"/>
        </w:rPr>
        <w:t>5</w:t>
      </w:r>
      <w:r w:rsidRPr="007805D4">
        <w:rPr>
          <w:rFonts w:ascii="Poppins" w:hAnsi="Poppins" w:cs="Poppins"/>
          <w:szCs w:val="20"/>
          <w:lang w:eastAsia="zh-CN"/>
        </w:rPr>
        <w:t xml:space="preserve"> below.  This includes a summary of measures in place to manage/reduce accident risks.  Refer to Appendix 1 for the scoring mechanism.</w:t>
      </w:r>
    </w:p>
    <w:p w14:paraId="0AF0E92E" w14:textId="662AD32E" w:rsidR="007805D4" w:rsidRPr="007805D4" w:rsidRDefault="007805D4" w:rsidP="007805D4">
      <w:pPr>
        <w:spacing w:after="60"/>
        <w:rPr>
          <w:rFonts w:ascii="Poppins" w:hAnsi="Poppins" w:cs="Poppins"/>
          <w:b/>
          <w:bCs/>
          <w:sz w:val="20"/>
          <w:szCs w:val="20"/>
        </w:rPr>
      </w:pPr>
      <w:r w:rsidRPr="007805D4">
        <w:rPr>
          <w:rFonts w:ascii="Poppins" w:hAnsi="Poppins" w:cs="Poppins"/>
          <w:b/>
          <w:sz w:val="20"/>
          <w:szCs w:val="20"/>
        </w:rPr>
        <w:t xml:space="preserve">Table </w:t>
      </w:r>
      <w:r w:rsidR="005A63E2">
        <w:rPr>
          <w:rFonts w:ascii="Poppins" w:hAnsi="Poppins" w:cs="Poppins"/>
          <w:b/>
          <w:sz w:val="20"/>
          <w:szCs w:val="20"/>
        </w:rPr>
        <w:t>5</w:t>
      </w:r>
      <w:r w:rsidRPr="007805D4">
        <w:rPr>
          <w:rFonts w:ascii="Poppins" w:hAnsi="Poppins" w:cs="Poppins"/>
          <w:b/>
          <w:sz w:val="20"/>
          <w:szCs w:val="20"/>
        </w:rPr>
        <w:t>: Potential accidental releases and associated risk</w:t>
      </w:r>
    </w:p>
    <w:tbl>
      <w:tblPr>
        <w:tblW w:w="14465" w:type="dxa"/>
        <w:tblInd w:w="-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9"/>
        <w:gridCol w:w="1837"/>
        <w:gridCol w:w="1700"/>
        <w:gridCol w:w="1416"/>
        <w:gridCol w:w="142"/>
        <w:gridCol w:w="4676"/>
        <w:gridCol w:w="1558"/>
        <w:gridCol w:w="1687"/>
        <w:gridCol w:w="12"/>
        <w:gridCol w:w="1422"/>
        <w:gridCol w:w="6"/>
      </w:tblGrid>
      <w:tr w:rsidR="007805D4" w:rsidRPr="007805D4" w14:paraId="0FB7D06B" w14:textId="77777777" w:rsidTr="003345BC">
        <w:trPr>
          <w:gridBefore w:val="1"/>
          <w:gridAfter w:val="1"/>
          <w:wBefore w:w="9" w:type="dxa"/>
          <w:wAfter w:w="6" w:type="dxa"/>
          <w:cantSplit/>
          <w:tblHeader/>
        </w:trPr>
        <w:tc>
          <w:tcPr>
            <w:tcW w:w="5095" w:type="dxa"/>
            <w:gridSpan w:val="4"/>
            <w:shd w:val="clear" w:color="auto" w:fill="004C6C"/>
          </w:tcPr>
          <w:p w14:paraId="572E4A13" w14:textId="77777777" w:rsidR="007805D4" w:rsidRPr="007805D4" w:rsidRDefault="007805D4" w:rsidP="007805D4">
            <w:pPr>
              <w:spacing w:after="0" w:line="240" w:lineRule="auto"/>
              <w:rPr>
                <w:rFonts w:ascii="Poppins" w:eastAsia="SimSun" w:hAnsi="Poppins" w:cs="Poppins"/>
                <w:b/>
                <w:color w:val="FFFFFF"/>
                <w:sz w:val="18"/>
                <w:szCs w:val="18"/>
                <w:lang w:eastAsia="zh-CN"/>
              </w:rPr>
            </w:pPr>
            <w:r w:rsidRPr="007805D4">
              <w:rPr>
                <w:rFonts w:ascii="Poppins" w:eastAsia="SimSun" w:hAnsi="Poppins" w:cs="Poppins"/>
                <w:b/>
                <w:color w:val="FFFFFF"/>
                <w:sz w:val="18"/>
                <w:szCs w:val="18"/>
                <w:lang w:eastAsia="zh-CN"/>
              </w:rPr>
              <w:t>What harm can be caused and who can be harmed</w:t>
            </w:r>
          </w:p>
        </w:tc>
        <w:tc>
          <w:tcPr>
            <w:tcW w:w="4676" w:type="dxa"/>
            <w:shd w:val="clear" w:color="auto" w:fill="004C6C"/>
          </w:tcPr>
          <w:p w14:paraId="25DC95DE" w14:textId="77777777" w:rsidR="007805D4" w:rsidRPr="007805D4" w:rsidRDefault="007805D4" w:rsidP="007805D4">
            <w:pPr>
              <w:spacing w:after="0" w:line="240" w:lineRule="auto"/>
              <w:rPr>
                <w:rFonts w:ascii="Poppins" w:eastAsia="SimSun" w:hAnsi="Poppins" w:cs="Poppins"/>
                <w:b/>
                <w:color w:val="FFFFFF"/>
                <w:sz w:val="18"/>
                <w:szCs w:val="18"/>
                <w:lang w:eastAsia="zh-CN"/>
              </w:rPr>
            </w:pPr>
            <w:r w:rsidRPr="007805D4">
              <w:rPr>
                <w:rFonts w:ascii="Poppins" w:eastAsia="SimSun" w:hAnsi="Poppins" w:cs="Poppins"/>
                <w:b/>
                <w:color w:val="FFFFFF"/>
                <w:sz w:val="18"/>
                <w:szCs w:val="18"/>
                <w:lang w:eastAsia="zh-CN"/>
              </w:rPr>
              <w:t>Managing the risk</w:t>
            </w:r>
          </w:p>
        </w:tc>
        <w:tc>
          <w:tcPr>
            <w:tcW w:w="4679" w:type="dxa"/>
            <w:gridSpan w:val="4"/>
            <w:shd w:val="clear" w:color="auto" w:fill="004C6C"/>
          </w:tcPr>
          <w:p w14:paraId="1A6E2CC2" w14:textId="77777777" w:rsidR="007805D4" w:rsidRPr="007805D4" w:rsidRDefault="007805D4" w:rsidP="007805D4">
            <w:pPr>
              <w:spacing w:after="0" w:line="240" w:lineRule="auto"/>
              <w:rPr>
                <w:rFonts w:ascii="Poppins" w:eastAsia="SimSun" w:hAnsi="Poppins" w:cs="Poppins"/>
                <w:b/>
                <w:color w:val="FFFFFF"/>
                <w:sz w:val="18"/>
                <w:szCs w:val="18"/>
                <w:lang w:eastAsia="zh-CN"/>
              </w:rPr>
            </w:pPr>
            <w:r w:rsidRPr="007805D4">
              <w:rPr>
                <w:rFonts w:ascii="Poppins" w:eastAsia="SimSun" w:hAnsi="Poppins" w:cs="Poppins"/>
                <w:b/>
                <w:color w:val="FFFFFF"/>
                <w:sz w:val="18"/>
                <w:szCs w:val="18"/>
                <w:lang w:eastAsia="zh-CN"/>
              </w:rPr>
              <w:t>Assessing the risk (after preventative controls)</w:t>
            </w:r>
          </w:p>
        </w:tc>
      </w:tr>
      <w:tr w:rsidR="007805D4" w:rsidRPr="007805D4" w14:paraId="2C526F53" w14:textId="77777777" w:rsidTr="003345BC">
        <w:trPr>
          <w:gridBefore w:val="1"/>
          <w:gridAfter w:val="1"/>
          <w:wBefore w:w="9" w:type="dxa"/>
          <w:wAfter w:w="6" w:type="dxa"/>
          <w:cantSplit/>
          <w:tblHeader/>
        </w:trPr>
        <w:tc>
          <w:tcPr>
            <w:tcW w:w="1837" w:type="dxa"/>
            <w:shd w:val="clear" w:color="auto" w:fill="CDF1FF"/>
          </w:tcPr>
          <w:p w14:paraId="19C3465B" w14:textId="77777777" w:rsidR="007805D4" w:rsidRPr="007805D4" w:rsidRDefault="007805D4" w:rsidP="007805D4">
            <w:pPr>
              <w:spacing w:after="0" w:line="240" w:lineRule="auto"/>
              <w:rPr>
                <w:rFonts w:ascii="Poppins" w:eastAsia="SimSun" w:hAnsi="Poppins" w:cs="Poppins"/>
                <w:b/>
                <w:sz w:val="18"/>
                <w:szCs w:val="18"/>
                <w:lang w:eastAsia="zh-CN"/>
              </w:rPr>
            </w:pPr>
            <w:bookmarkStart w:id="5" w:name="_Hlk61009962"/>
            <w:r w:rsidRPr="007805D4">
              <w:rPr>
                <w:rFonts w:ascii="Poppins" w:eastAsia="SimSun" w:hAnsi="Poppins" w:cs="Poppins"/>
                <w:b/>
                <w:sz w:val="18"/>
                <w:szCs w:val="18"/>
                <w:lang w:eastAsia="zh-CN"/>
              </w:rPr>
              <w:t>Hazard</w:t>
            </w:r>
          </w:p>
        </w:tc>
        <w:tc>
          <w:tcPr>
            <w:tcW w:w="1700" w:type="dxa"/>
            <w:shd w:val="clear" w:color="auto" w:fill="CDF1FF"/>
          </w:tcPr>
          <w:p w14:paraId="736ECE59"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Receptor</w:t>
            </w:r>
          </w:p>
        </w:tc>
        <w:tc>
          <w:tcPr>
            <w:tcW w:w="1558" w:type="dxa"/>
            <w:gridSpan w:val="2"/>
            <w:shd w:val="clear" w:color="auto" w:fill="CDF1FF"/>
          </w:tcPr>
          <w:p w14:paraId="7CEF1C7F"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Pathway</w:t>
            </w:r>
          </w:p>
        </w:tc>
        <w:tc>
          <w:tcPr>
            <w:tcW w:w="4676" w:type="dxa"/>
            <w:shd w:val="clear" w:color="auto" w:fill="CDF1FF"/>
          </w:tcPr>
          <w:p w14:paraId="7C253130"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Risk management</w:t>
            </w:r>
          </w:p>
        </w:tc>
        <w:tc>
          <w:tcPr>
            <w:tcW w:w="1558" w:type="dxa"/>
            <w:shd w:val="clear" w:color="auto" w:fill="CDF1FF"/>
          </w:tcPr>
          <w:p w14:paraId="39DD04C9"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Probability of exposure</w:t>
            </w:r>
          </w:p>
        </w:tc>
        <w:tc>
          <w:tcPr>
            <w:tcW w:w="1699" w:type="dxa"/>
            <w:gridSpan w:val="2"/>
            <w:shd w:val="clear" w:color="auto" w:fill="CDF1FF"/>
          </w:tcPr>
          <w:p w14:paraId="6F0D60B8"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Environmental Consequence</w:t>
            </w:r>
          </w:p>
        </w:tc>
        <w:tc>
          <w:tcPr>
            <w:tcW w:w="1422" w:type="dxa"/>
            <w:shd w:val="clear" w:color="auto" w:fill="CDF1FF"/>
          </w:tcPr>
          <w:p w14:paraId="6F445A8B"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What is the overall risk?</w:t>
            </w:r>
          </w:p>
        </w:tc>
      </w:tr>
      <w:bookmarkEnd w:id="5"/>
      <w:tr w:rsidR="007805D4" w:rsidRPr="007805D4" w14:paraId="1056AF43" w14:textId="77777777" w:rsidTr="003345BC">
        <w:trPr>
          <w:gridBefore w:val="1"/>
          <w:gridAfter w:val="1"/>
          <w:wBefore w:w="9" w:type="dxa"/>
          <w:wAfter w:w="6" w:type="dxa"/>
          <w:cantSplit/>
          <w:tblHeader/>
        </w:trPr>
        <w:tc>
          <w:tcPr>
            <w:tcW w:w="1837" w:type="dxa"/>
            <w:shd w:val="clear" w:color="auto" w:fill="CDF1FF"/>
          </w:tcPr>
          <w:p w14:paraId="71857B1F"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What has the potential to cause harm?</w:t>
            </w:r>
          </w:p>
        </w:tc>
        <w:tc>
          <w:tcPr>
            <w:tcW w:w="1700" w:type="dxa"/>
            <w:shd w:val="clear" w:color="auto" w:fill="CDF1FF"/>
          </w:tcPr>
          <w:p w14:paraId="28D14867"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What is at risk? What do I wish to protect?</w:t>
            </w:r>
          </w:p>
        </w:tc>
        <w:tc>
          <w:tcPr>
            <w:tcW w:w="1558" w:type="dxa"/>
            <w:gridSpan w:val="2"/>
            <w:shd w:val="clear" w:color="auto" w:fill="CDF1FF"/>
          </w:tcPr>
          <w:p w14:paraId="7FD35FDF"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How can the hazard get to the receptor?</w:t>
            </w:r>
          </w:p>
        </w:tc>
        <w:tc>
          <w:tcPr>
            <w:tcW w:w="4676" w:type="dxa"/>
            <w:shd w:val="clear" w:color="auto" w:fill="CDF1FF"/>
          </w:tcPr>
          <w:p w14:paraId="6B11E0A6"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What measures will you take to reduce the risk? If it occurs – who is responsible for what?</w:t>
            </w:r>
          </w:p>
        </w:tc>
        <w:tc>
          <w:tcPr>
            <w:tcW w:w="1558" w:type="dxa"/>
            <w:shd w:val="clear" w:color="auto" w:fill="CDF1FF"/>
          </w:tcPr>
          <w:p w14:paraId="27E43D36"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How likely is this contact?</w:t>
            </w:r>
          </w:p>
        </w:tc>
        <w:tc>
          <w:tcPr>
            <w:tcW w:w="1699" w:type="dxa"/>
            <w:gridSpan w:val="2"/>
            <w:shd w:val="clear" w:color="auto" w:fill="CDF1FF"/>
          </w:tcPr>
          <w:p w14:paraId="7A0D12A9"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What is the harm that can be caused?</w:t>
            </w:r>
          </w:p>
        </w:tc>
        <w:tc>
          <w:tcPr>
            <w:tcW w:w="1422" w:type="dxa"/>
            <w:shd w:val="clear" w:color="auto" w:fill="CDF1FF"/>
          </w:tcPr>
          <w:p w14:paraId="6291D9A0"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What is the risk that still remains?</w:t>
            </w:r>
          </w:p>
        </w:tc>
      </w:tr>
      <w:tr w:rsidR="007805D4" w:rsidRPr="007805D4" w14:paraId="370150A0" w14:textId="77777777" w:rsidTr="003345BC">
        <w:trPr>
          <w:gridBefore w:val="1"/>
          <w:gridAfter w:val="1"/>
          <w:wBefore w:w="9" w:type="dxa"/>
          <w:wAfter w:w="6" w:type="dxa"/>
          <w:cantSplit/>
        </w:trPr>
        <w:tc>
          <w:tcPr>
            <w:tcW w:w="14450" w:type="dxa"/>
            <w:gridSpan w:val="9"/>
            <w:shd w:val="clear" w:color="auto" w:fill="F2F2F2" w:themeFill="background1" w:themeFillShade="F2"/>
          </w:tcPr>
          <w:p w14:paraId="688E5289"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Site Wide - general</w:t>
            </w:r>
          </w:p>
        </w:tc>
      </w:tr>
      <w:tr w:rsidR="007805D4" w:rsidRPr="007805D4" w14:paraId="20745F7D" w14:textId="77777777" w:rsidTr="003345BC">
        <w:trPr>
          <w:gridBefore w:val="1"/>
          <w:gridAfter w:val="1"/>
          <w:wBefore w:w="9" w:type="dxa"/>
          <w:wAfter w:w="6" w:type="dxa"/>
        </w:trPr>
        <w:tc>
          <w:tcPr>
            <w:tcW w:w="1837" w:type="dxa"/>
          </w:tcPr>
          <w:p w14:paraId="487ED175"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Flooding leading to damage to site processes and/or mobilisation of polluting materials</w:t>
            </w:r>
          </w:p>
        </w:tc>
        <w:tc>
          <w:tcPr>
            <w:tcW w:w="1700" w:type="dxa"/>
          </w:tcPr>
          <w:p w14:paraId="44364C59"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Ground / groundwater / surface waters</w:t>
            </w:r>
          </w:p>
        </w:tc>
        <w:tc>
          <w:tcPr>
            <w:tcW w:w="1558" w:type="dxa"/>
            <w:gridSpan w:val="2"/>
          </w:tcPr>
          <w:p w14:paraId="721BB9D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Floodwaters / Infiltration</w:t>
            </w:r>
          </w:p>
        </w:tc>
        <w:tc>
          <w:tcPr>
            <w:tcW w:w="4676" w:type="dxa"/>
          </w:tcPr>
          <w:p w14:paraId="2CB44558"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1AD50049"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Flood risk review undertaken. </w:t>
            </w:r>
            <w:bookmarkStart w:id="6" w:name="_Hlk63319948"/>
            <w:r w:rsidRPr="007805D4">
              <w:rPr>
                <w:rFonts w:ascii="Poppins" w:eastAsia="SimSun" w:hAnsi="Poppins" w:cs="Poppins"/>
                <w:sz w:val="18"/>
                <w:szCs w:val="18"/>
                <w:lang w:eastAsia="zh-CN"/>
              </w:rPr>
              <w:t>Parts of the STF installation</w:t>
            </w:r>
            <w:r w:rsidRPr="007805D4" w:rsidDel="00CE5BCA">
              <w:rPr>
                <w:rFonts w:ascii="Poppins" w:eastAsia="SimSun" w:hAnsi="Poppins" w:cs="Poppins"/>
                <w:sz w:val="18"/>
                <w:szCs w:val="18"/>
                <w:lang w:eastAsia="zh-CN"/>
              </w:rPr>
              <w:t xml:space="preserve"> </w:t>
            </w:r>
            <w:bookmarkEnd w:id="6"/>
            <w:r w:rsidRPr="007805D4">
              <w:rPr>
                <w:rFonts w:ascii="Poppins" w:eastAsia="SimSun" w:hAnsi="Poppins" w:cs="Poppins"/>
                <w:sz w:val="18"/>
                <w:szCs w:val="18"/>
                <w:lang w:eastAsia="zh-CN"/>
              </w:rPr>
              <w:t>lie within Flood Zone 2 (land having between a 1 in 100 and 1 in 1,000 annual probability of river flooding), and parts lie within Flood Zone 3 (Land having a 1 in 100 or greater annual probability of river flooding).</w:t>
            </w:r>
          </w:p>
          <w:p w14:paraId="7878B6A6"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Materials are stored in appropriately sealed containers (bulk or semi-bulk), or proprietary secondary containment cabinets, such that the risk of contents being mobilised or containers being washed away in a flood event is low.</w:t>
            </w:r>
          </w:p>
          <w:p w14:paraId="165E91F1" w14:textId="16EB0DD2" w:rsidR="007805D4" w:rsidRPr="007805D4" w:rsidRDefault="007805D4" w:rsidP="007805D4">
            <w:pPr>
              <w:numPr>
                <w:ilvl w:val="0"/>
                <w:numId w:val="21"/>
              </w:numPr>
              <w:spacing w:after="0" w:line="240" w:lineRule="auto"/>
              <w:contextualSpacing/>
              <w:rPr>
                <w:rFonts w:ascii="Poppins" w:eastAsia="SimSun" w:hAnsi="Poppins" w:cs="Poppins"/>
                <w:b/>
                <w:sz w:val="18"/>
                <w:szCs w:val="18"/>
                <w:lang w:eastAsia="zh-CN"/>
              </w:rPr>
            </w:pPr>
            <w:r w:rsidRPr="007805D4">
              <w:rPr>
                <w:rFonts w:ascii="Poppins" w:eastAsia="SimSun" w:hAnsi="Poppins" w:cs="Poppins"/>
                <w:sz w:val="18"/>
                <w:szCs w:val="18"/>
                <w:lang w:eastAsia="zh-CN"/>
              </w:rPr>
              <w:t>Vulnerable Asset Protection Plan specifically details flooding actions including how river levels should be monitored and what actions are required.</w:t>
            </w:r>
          </w:p>
          <w:p w14:paraId="451189F1" w14:textId="77777777" w:rsidR="007805D4" w:rsidRPr="007805D4" w:rsidRDefault="007805D4" w:rsidP="007805D4">
            <w:pPr>
              <w:spacing w:after="0" w:line="240" w:lineRule="auto"/>
              <w:contextualSpacing/>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4CE5AFA7"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Initiate site emergency plan.</w:t>
            </w:r>
          </w:p>
          <w:p w14:paraId="22906FFD"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Remove mobile fuel/ chemical sources away from flood risk, if appropriate and safe to do so.</w:t>
            </w:r>
          </w:p>
        </w:tc>
        <w:tc>
          <w:tcPr>
            <w:tcW w:w="1558" w:type="dxa"/>
          </w:tcPr>
          <w:p w14:paraId="1A24F9FB"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Likely</w:t>
            </w:r>
          </w:p>
        </w:tc>
        <w:tc>
          <w:tcPr>
            <w:tcW w:w="1699" w:type="dxa"/>
            <w:gridSpan w:val="2"/>
          </w:tcPr>
          <w:p w14:paraId="1796C716"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Medium</w:t>
            </w:r>
          </w:p>
        </w:tc>
        <w:tc>
          <w:tcPr>
            <w:tcW w:w="1422" w:type="dxa"/>
          </w:tcPr>
          <w:p w14:paraId="0E60539D"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Moderate risk</w:t>
            </w:r>
          </w:p>
        </w:tc>
      </w:tr>
      <w:tr w:rsidR="00951799" w:rsidRPr="007805D4" w14:paraId="1D1C0114" w14:textId="77777777" w:rsidTr="003345BC">
        <w:trPr>
          <w:gridBefore w:val="1"/>
          <w:gridAfter w:val="1"/>
          <w:wBefore w:w="9" w:type="dxa"/>
          <w:wAfter w:w="6" w:type="dxa"/>
        </w:trPr>
        <w:tc>
          <w:tcPr>
            <w:tcW w:w="1837" w:type="dxa"/>
          </w:tcPr>
          <w:p w14:paraId="2B8013C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Calibri" w:hAnsi="Poppins" w:cs="Poppins"/>
                <w:sz w:val="18"/>
                <w:szCs w:val="18"/>
              </w:rPr>
              <w:t xml:space="preserve">Flooding due to drain blockages and/or excessive rainfall causing localised on-site surface water flooding </w:t>
            </w:r>
            <w:r w:rsidRPr="007805D4">
              <w:rPr>
                <w:rFonts w:ascii="Poppins" w:eastAsia="SimSun" w:hAnsi="Poppins" w:cs="Poppins"/>
                <w:sz w:val="18"/>
                <w:szCs w:val="18"/>
                <w:lang w:eastAsia="zh-CN"/>
              </w:rPr>
              <w:t>leading to damage to site processes and/or mobilisation of polluting materials</w:t>
            </w:r>
          </w:p>
        </w:tc>
        <w:tc>
          <w:tcPr>
            <w:tcW w:w="1700" w:type="dxa"/>
          </w:tcPr>
          <w:p w14:paraId="6B82A8AE"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Ground / groundwater / surface waters</w:t>
            </w:r>
          </w:p>
        </w:tc>
        <w:tc>
          <w:tcPr>
            <w:tcW w:w="1558" w:type="dxa"/>
            <w:gridSpan w:val="2"/>
          </w:tcPr>
          <w:p w14:paraId="0E8E05B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Floodwaters / Infiltration</w:t>
            </w:r>
          </w:p>
        </w:tc>
        <w:tc>
          <w:tcPr>
            <w:tcW w:w="4676" w:type="dxa"/>
          </w:tcPr>
          <w:p w14:paraId="797CE8C2"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47FA40AE"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Drains are monitored for blockages and cleaned as required.</w:t>
            </w:r>
          </w:p>
          <w:p w14:paraId="669023C2"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Materials are stored in appropriately sealed containers (preferably bulk or semi-bulk), or proprietary secondary containment cabinets, such that the risk of contents being mobilised or containers being washed away in a flood event is low.</w:t>
            </w:r>
          </w:p>
          <w:p w14:paraId="42B8AD6E" w14:textId="77777777" w:rsidR="007805D4" w:rsidRPr="007805D4" w:rsidRDefault="007805D4" w:rsidP="007805D4">
            <w:pPr>
              <w:numPr>
                <w:ilvl w:val="0"/>
                <w:numId w:val="21"/>
              </w:numPr>
              <w:spacing w:after="0" w:line="240" w:lineRule="auto"/>
              <w:contextualSpacing/>
              <w:rPr>
                <w:rFonts w:ascii="Poppins" w:eastAsia="SimSun" w:hAnsi="Poppins" w:cs="Poppins"/>
                <w:b/>
                <w:sz w:val="18"/>
                <w:szCs w:val="18"/>
                <w:lang w:eastAsia="zh-CN"/>
              </w:rPr>
            </w:pPr>
            <w:r w:rsidRPr="007805D4">
              <w:rPr>
                <w:rFonts w:ascii="Poppins" w:eastAsia="SimSun" w:hAnsi="Poppins" w:cs="Poppins"/>
                <w:sz w:val="18"/>
                <w:szCs w:val="18"/>
                <w:lang w:eastAsia="zh-CN"/>
              </w:rPr>
              <w:t>Vulnerable Asset Protection Plan specifically details flooding actions.</w:t>
            </w:r>
          </w:p>
          <w:p w14:paraId="41E23AA4" w14:textId="4D5EB82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Planned maintenance / inspection of site drainage systems.</w:t>
            </w:r>
          </w:p>
          <w:p w14:paraId="1EF06BB7"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0860FF8F"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Initiate site emergency plan.</w:t>
            </w:r>
          </w:p>
          <w:p w14:paraId="0C38CDA5"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Remove mobile fuel/ chemical sources away from flood risk, if appropriate and safe to do so.</w:t>
            </w:r>
          </w:p>
        </w:tc>
        <w:tc>
          <w:tcPr>
            <w:tcW w:w="1558" w:type="dxa"/>
          </w:tcPr>
          <w:p w14:paraId="7A35EB5C"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Unlikely</w:t>
            </w:r>
          </w:p>
        </w:tc>
        <w:tc>
          <w:tcPr>
            <w:tcW w:w="1699" w:type="dxa"/>
            <w:gridSpan w:val="2"/>
          </w:tcPr>
          <w:p w14:paraId="01932003"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Mild</w:t>
            </w:r>
          </w:p>
        </w:tc>
        <w:tc>
          <w:tcPr>
            <w:tcW w:w="1422" w:type="dxa"/>
          </w:tcPr>
          <w:p w14:paraId="043FC2AC"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6D797863" w14:textId="77777777" w:rsidTr="003345BC">
        <w:trPr>
          <w:gridBefore w:val="1"/>
          <w:gridAfter w:val="1"/>
          <w:wBefore w:w="9" w:type="dxa"/>
          <w:wAfter w:w="6" w:type="dxa"/>
        </w:trPr>
        <w:tc>
          <w:tcPr>
            <w:tcW w:w="1837" w:type="dxa"/>
          </w:tcPr>
          <w:p w14:paraId="56620AE7"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 xml:space="preserve">Fire </w:t>
            </w:r>
            <w:r w:rsidRPr="007805D4" w:rsidDel="00214709">
              <w:rPr>
                <w:rFonts w:ascii="Poppins" w:eastAsia="SimSun" w:hAnsi="Poppins" w:cs="Poppins"/>
                <w:sz w:val="18"/>
                <w:szCs w:val="18"/>
                <w:lang w:eastAsia="zh-CN"/>
              </w:rPr>
              <w:t xml:space="preserve"> </w:t>
            </w:r>
          </w:p>
        </w:tc>
        <w:tc>
          <w:tcPr>
            <w:tcW w:w="1700" w:type="dxa"/>
          </w:tcPr>
          <w:p w14:paraId="0A492809"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Nearby human receptors</w:t>
            </w:r>
          </w:p>
          <w:p w14:paraId="3391907A"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Local air quality and global climate impacts</w:t>
            </w:r>
          </w:p>
          <w:p w14:paraId="72605C6D"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Ground / groundwater / surface waters</w:t>
            </w:r>
          </w:p>
        </w:tc>
        <w:tc>
          <w:tcPr>
            <w:tcW w:w="1558" w:type="dxa"/>
            <w:gridSpan w:val="2"/>
          </w:tcPr>
          <w:p w14:paraId="75C6C61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Air</w:t>
            </w:r>
          </w:p>
          <w:p w14:paraId="65A97FC5"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Overland runoff / infiltration / drainage systems</w:t>
            </w:r>
          </w:p>
        </w:tc>
        <w:tc>
          <w:tcPr>
            <w:tcW w:w="4676" w:type="dxa"/>
          </w:tcPr>
          <w:p w14:paraId="3297A3AD" w14:textId="77777777" w:rsidR="007805D4" w:rsidRPr="007805D4" w:rsidRDefault="007805D4" w:rsidP="007805D4">
            <w:pPr>
              <w:spacing w:after="0" w:line="240" w:lineRule="auto"/>
              <w:rPr>
                <w:rFonts w:ascii="Poppins" w:eastAsia="SimSun" w:hAnsi="Poppins" w:cs="Poppins"/>
                <w:b/>
                <w:bCs/>
                <w:sz w:val="18"/>
                <w:szCs w:val="18"/>
                <w:lang w:eastAsia="zh-CN"/>
              </w:rPr>
            </w:pPr>
            <w:r w:rsidRPr="007805D4">
              <w:rPr>
                <w:rFonts w:ascii="Poppins" w:eastAsia="SimSun" w:hAnsi="Poppins" w:cs="Poppins"/>
                <w:b/>
                <w:bCs/>
                <w:sz w:val="18"/>
                <w:szCs w:val="18"/>
                <w:lang w:eastAsia="zh-CN"/>
              </w:rPr>
              <w:t>Preventative controls</w:t>
            </w:r>
          </w:p>
          <w:p w14:paraId="7E6EE807"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Regular maintenance of equipment; LDAR programme in place.</w:t>
            </w:r>
          </w:p>
          <w:p w14:paraId="7FC85FFB"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Fire alarms are fitted in CHP cabinets and boiler house </w:t>
            </w:r>
          </w:p>
          <w:p w14:paraId="451721BC"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 xml:space="preserve">DSEAR assessment has been completed for site and only appropriate ATEX rated equipment may be used in high-risk areas. </w:t>
            </w:r>
          </w:p>
          <w:p w14:paraId="23760563"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Access controls in place for digester compound and portable gas monitor use required when inside compound.</w:t>
            </w:r>
          </w:p>
          <w:p w14:paraId="01B96383"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Site does not treat combustible wastes. Sludge is wet.</w:t>
            </w:r>
          </w:p>
          <w:p w14:paraId="402B4313"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Gas slam shut valves on biogas feeds to the CHP / boiler </w:t>
            </w:r>
          </w:p>
          <w:p w14:paraId="56B9095E"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Gas and fire detection in the boiler house and CHP enclosure, and other key AD plant areas </w:t>
            </w:r>
          </w:p>
          <w:p w14:paraId="6022DFE5" w14:textId="6DEC2CE4" w:rsidR="007805D4" w:rsidRPr="007805D4" w:rsidRDefault="007805D4" w:rsidP="003F489F">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Lightning protection provided for biogas storage.</w:t>
            </w:r>
          </w:p>
          <w:p w14:paraId="34F447BB"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1A70AE39"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Follow site emergency procedure.</w:t>
            </w:r>
          </w:p>
          <w:p w14:paraId="6FD879A6"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Hydrants connected to a final effluent supply can be used by the fire service.  </w:t>
            </w:r>
          </w:p>
          <w:p w14:paraId="5EBFD74E"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Excess biogas created by the site will be burnt through the flare.</w:t>
            </w:r>
          </w:p>
        </w:tc>
        <w:tc>
          <w:tcPr>
            <w:tcW w:w="1558" w:type="dxa"/>
          </w:tcPr>
          <w:p w14:paraId="00B3AAE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Highly unlikely</w:t>
            </w:r>
          </w:p>
        </w:tc>
        <w:tc>
          <w:tcPr>
            <w:tcW w:w="1699" w:type="dxa"/>
            <w:gridSpan w:val="2"/>
          </w:tcPr>
          <w:p w14:paraId="07AEF732"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Severe</w:t>
            </w:r>
          </w:p>
        </w:tc>
        <w:tc>
          <w:tcPr>
            <w:tcW w:w="1422" w:type="dxa"/>
          </w:tcPr>
          <w:p w14:paraId="5E4DE5E5"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75E3A831" w14:textId="77777777" w:rsidTr="003345BC">
        <w:trPr>
          <w:gridBefore w:val="1"/>
          <w:gridAfter w:val="1"/>
          <w:wBefore w:w="9" w:type="dxa"/>
          <w:wAfter w:w="6" w:type="dxa"/>
        </w:trPr>
        <w:tc>
          <w:tcPr>
            <w:tcW w:w="1837" w:type="dxa"/>
          </w:tcPr>
          <w:p w14:paraId="680C6F97" w14:textId="77777777" w:rsidR="007805D4" w:rsidRPr="007805D4" w:rsidRDefault="007805D4" w:rsidP="007805D4">
            <w:pPr>
              <w:spacing w:after="0" w:line="240" w:lineRule="auto"/>
              <w:rPr>
                <w:rFonts w:ascii="Poppins" w:eastAsia="SimSun" w:hAnsi="Poppins" w:cs="Poppins"/>
                <w:sz w:val="18"/>
                <w:szCs w:val="18"/>
                <w:highlight w:val="green"/>
                <w:lang w:eastAsia="zh-CN"/>
              </w:rPr>
            </w:pPr>
            <w:r w:rsidRPr="007805D4">
              <w:rPr>
                <w:rFonts w:ascii="Poppins" w:eastAsia="SimSun" w:hAnsi="Poppins" w:cs="Poppins"/>
                <w:sz w:val="18"/>
                <w:szCs w:val="18"/>
                <w:lang w:eastAsia="zh-CN"/>
              </w:rPr>
              <w:t xml:space="preserve">Failure to contain firewater following fire / explosion event leading to </w:t>
            </w:r>
            <w:r w:rsidRPr="007805D4">
              <w:rPr>
                <w:rFonts w:ascii="Poppins" w:eastAsia="Calibri" w:hAnsi="Poppins" w:cs="Poppins"/>
                <w:sz w:val="18"/>
                <w:szCs w:val="18"/>
              </w:rPr>
              <w:t xml:space="preserve">localised on site </w:t>
            </w:r>
            <w:r w:rsidRPr="007805D4">
              <w:rPr>
                <w:rFonts w:ascii="Poppins" w:eastAsia="Calibri" w:hAnsi="Poppins" w:cs="Poppins"/>
                <w:sz w:val="18"/>
                <w:szCs w:val="18"/>
              </w:rPr>
              <w:lastRenderedPageBreak/>
              <w:t xml:space="preserve">surface water flooding </w:t>
            </w:r>
            <w:r w:rsidRPr="007805D4">
              <w:rPr>
                <w:rFonts w:ascii="Poppins" w:eastAsia="SimSun" w:hAnsi="Poppins" w:cs="Poppins"/>
                <w:sz w:val="18"/>
                <w:szCs w:val="18"/>
                <w:lang w:eastAsia="zh-CN"/>
              </w:rPr>
              <w:t>leading to damage to site processes and/or mobilisation of polluting materials</w:t>
            </w:r>
          </w:p>
        </w:tc>
        <w:tc>
          <w:tcPr>
            <w:tcW w:w="1700" w:type="dxa"/>
          </w:tcPr>
          <w:p w14:paraId="4021D6FC"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Ground / groundwater / surface waters</w:t>
            </w:r>
          </w:p>
        </w:tc>
        <w:tc>
          <w:tcPr>
            <w:tcW w:w="1558" w:type="dxa"/>
            <w:gridSpan w:val="2"/>
          </w:tcPr>
          <w:p w14:paraId="6D41674C"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Floodwaters / Infiltration</w:t>
            </w:r>
          </w:p>
        </w:tc>
        <w:tc>
          <w:tcPr>
            <w:tcW w:w="4676" w:type="dxa"/>
          </w:tcPr>
          <w:p w14:paraId="0124C214"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7A36294B" w14:textId="5C02588B"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Site drainage collects and returns surface/yard water to WwTW for treatment.  Small areas of surface water runoff within the installation are currently drained to the </w:t>
            </w:r>
            <w:r w:rsidRPr="007805D4">
              <w:rPr>
                <w:rFonts w:ascii="Poppins" w:eastAsia="SimSun" w:hAnsi="Poppins" w:cs="Poppins"/>
                <w:sz w:val="18"/>
                <w:szCs w:val="18"/>
                <w:lang w:eastAsia="zh-CN"/>
              </w:rPr>
              <w:lastRenderedPageBreak/>
              <w:t>WwTW FSTs.  These drains will be redirected to the WwTW inlet.</w:t>
            </w:r>
          </w:p>
          <w:p w14:paraId="0ADB0CA6"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Site drainage systems, hardstanding, sumps, storm tanks etc will minimise flow of firewater to receptors. </w:t>
            </w:r>
          </w:p>
          <w:p w14:paraId="1080F8A0"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3ECECE11" w14:textId="77777777" w:rsidR="007805D4" w:rsidRPr="007805D4" w:rsidRDefault="007805D4" w:rsidP="007805D4">
            <w:pPr>
              <w:numPr>
                <w:ilvl w:val="0"/>
                <w:numId w:val="23"/>
              </w:numPr>
              <w:spacing w:after="0" w:line="240" w:lineRule="auto"/>
              <w:contextualSpacing/>
              <w:rPr>
                <w:rFonts w:ascii="Poppins" w:eastAsia="SimSun" w:hAnsi="Poppins" w:cs="Poppins"/>
                <w:b/>
                <w:bCs/>
                <w:sz w:val="18"/>
                <w:szCs w:val="18"/>
                <w:lang w:eastAsia="zh-CN"/>
              </w:rPr>
            </w:pPr>
            <w:r w:rsidRPr="007805D4">
              <w:rPr>
                <w:rFonts w:ascii="Poppins" w:eastAsia="SimSun" w:hAnsi="Poppins" w:cs="Poppins"/>
                <w:bCs/>
                <w:sz w:val="18"/>
                <w:szCs w:val="18"/>
                <w:lang w:eastAsia="zh-CN"/>
              </w:rPr>
              <w:t>Initiate site emergency procedure.</w:t>
            </w:r>
          </w:p>
        </w:tc>
        <w:tc>
          <w:tcPr>
            <w:tcW w:w="1558" w:type="dxa"/>
          </w:tcPr>
          <w:p w14:paraId="1EC4480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Highly unlikely</w:t>
            </w:r>
          </w:p>
        </w:tc>
        <w:tc>
          <w:tcPr>
            <w:tcW w:w="1699" w:type="dxa"/>
            <w:gridSpan w:val="2"/>
          </w:tcPr>
          <w:p w14:paraId="6B0B226E"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Medium</w:t>
            </w:r>
          </w:p>
        </w:tc>
        <w:tc>
          <w:tcPr>
            <w:tcW w:w="1422" w:type="dxa"/>
          </w:tcPr>
          <w:p w14:paraId="2534CE86"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2D5E8DAF" w14:textId="77777777" w:rsidTr="003345BC">
        <w:trPr>
          <w:gridBefore w:val="1"/>
          <w:gridAfter w:val="1"/>
          <w:wBefore w:w="9" w:type="dxa"/>
          <w:wAfter w:w="6" w:type="dxa"/>
          <w:cantSplit/>
        </w:trPr>
        <w:tc>
          <w:tcPr>
            <w:tcW w:w="1837" w:type="dxa"/>
          </w:tcPr>
          <w:p w14:paraId="39B864E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Excessively low temperatures leading to blockages or damage to pipework, valves or equipment and unplanned release of gas with fire / explosions risks and/or release of potentially polluting liquids</w:t>
            </w:r>
          </w:p>
        </w:tc>
        <w:tc>
          <w:tcPr>
            <w:tcW w:w="1700" w:type="dxa"/>
          </w:tcPr>
          <w:p w14:paraId="7202AFA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Nearby human receptors</w:t>
            </w:r>
          </w:p>
          <w:p w14:paraId="6C188D8D"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Local air quality and global climate impacts</w:t>
            </w:r>
          </w:p>
          <w:p w14:paraId="04FB40F4"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Ground / groundwater / surface waters</w:t>
            </w:r>
          </w:p>
        </w:tc>
        <w:tc>
          <w:tcPr>
            <w:tcW w:w="1558" w:type="dxa"/>
            <w:gridSpan w:val="2"/>
          </w:tcPr>
          <w:p w14:paraId="35F7855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Air</w:t>
            </w:r>
          </w:p>
          <w:p w14:paraId="7E7E0CAD" w14:textId="75908392"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Overland runoff / infiltration / drainage systems</w:t>
            </w:r>
          </w:p>
        </w:tc>
        <w:tc>
          <w:tcPr>
            <w:tcW w:w="4676" w:type="dxa"/>
          </w:tcPr>
          <w:p w14:paraId="44B94381"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125F930B"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‘Winterisation’ procedures.</w:t>
            </w:r>
          </w:p>
          <w:p w14:paraId="7798C50A"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Bunding provided to environmentally critical plant and equipment.</w:t>
            </w:r>
          </w:p>
          <w:p w14:paraId="40EB3C49" w14:textId="00D610B3" w:rsidR="007805D4" w:rsidRPr="007805D4" w:rsidRDefault="007805D4" w:rsidP="0056500A">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Current YW technical standards include trace heating for vulnerable pipework.</w:t>
            </w:r>
          </w:p>
          <w:p w14:paraId="1B748235"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5FB3DBE1"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Isolate systems as appropriate and initiate fire, spill and emergency response procedures, cleaning up spill and disposal of wastes appropriately.</w:t>
            </w:r>
          </w:p>
          <w:p w14:paraId="12074286"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Carry out repairs (as required). </w:t>
            </w:r>
          </w:p>
        </w:tc>
        <w:tc>
          <w:tcPr>
            <w:tcW w:w="1558" w:type="dxa"/>
          </w:tcPr>
          <w:p w14:paraId="3B8FC4DA"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Unlikely</w:t>
            </w:r>
          </w:p>
        </w:tc>
        <w:tc>
          <w:tcPr>
            <w:tcW w:w="1699" w:type="dxa"/>
            <w:gridSpan w:val="2"/>
          </w:tcPr>
          <w:p w14:paraId="157FC58D"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Mild</w:t>
            </w:r>
          </w:p>
        </w:tc>
        <w:tc>
          <w:tcPr>
            <w:tcW w:w="1422" w:type="dxa"/>
          </w:tcPr>
          <w:p w14:paraId="61CA6A58"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5120D20A" w14:textId="77777777" w:rsidTr="003345BC">
        <w:trPr>
          <w:gridBefore w:val="1"/>
          <w:gridAfter w:val="1"/>
          <w:wBefore w:w="9" w:type="dxa"/>
          <w:wAfter w:w="6" w:type="dxa"/>
        </w:trPr>
        <w:tc>
          <w:tcPr>
            <w:tcW w:w="1837" w:type="dxa"/>
          </w:tcPr>
          <w:p w14:paraId="1F6E32A4"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Calibri" w:hAnsi="Poppins" w:cs="Poppins"/>
                <w:sz w:val="18"/>
                <w:szCs w:val="18"/>
              </w:rPr>
              <w:t xml:space="preserve">Generalised or localised power failure leading to failure of pumps / control systems and escape of </w:t>
            </w:r>
            <w:r w:rsidRPr="007805D4">
              <w:rPr>
                <w:rFonts w:ascii="Poppins" w:eastAsia="Calibri" w:hAnsi="Poppins" w:cs="Poppins"/>
                <w:sz w:val="18"/>
                <w:szCs w:val="18"/>
              </w:rPr>
              <w:lastRenderedPageBreak/>
              <w:t>sludge and/or biogas</w:t>
            </w:r>
          </w:p>
        </w:tc>
        <w:tc>
          <w:tcPr>
            <w:tcW w:w="1700" w:type="dxa"/>
          </w:tcPr>
          <w:p w14:paraId="61997CAB"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Nearby human receptors</w:t>
            </w:r>
          </w:p>
          <w:p w14:paraId="585083B6"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Local air quality and global climate impacts</w:t>
            </w:r>
          </w:p>
          <w:p w14:paraId="23D9C3EC"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Ground / groundwater / surface waters</w:t>
            </w:r>
          </w:p>
        </w:tc>
        <w:tc>
          <w:tcPr>
            <w:tcW w:w="1558" w:type="dxa"/>
            <w:gridSpan w:val="2"/>
          </w:tcPr>
          <w:p w14:paraId="743DF04D"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Air</w:t>
            </w:r>
          </w:p>
          <w:p w14:paraId="0738A353"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Overland runoff / infiltration / drainage systems</w:t>
            </w:r>
          </w:p>
        </w:tc>
        <w:tc>
          <w:tcPr>
            <w:tcW w:w="4676" w:type="dxa"/>
          </w:tcPr>
          <w:p w14:paraId="22DE699E"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49868A4B"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Process for recovering from power failure has been planned and recorded.</w:t>
            </w:r>
          </w:p>
          <w:p w14:paraId="49744C6B" w14:textId="44147AE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In the event of power failure, sludge transfers will stop but this will not affect security of containment e.g., tanks will not overflow.</w:t>
            </w:r>
          </w:p>
          <w:p w14:paraId="0DA4714D"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lastRenderedPageBreak/>
              <w:t>In the event of an incident/accident</w:t>
            </w:r>
          </w:p>
          <w:p w14:paraId="789B54EF" w14:textId="77777777" w:rsidR="007805D4" w:rsidRPr="007805D4" w:rsidRDefault="007805D4" w:rsidP="007805D4">
            <w:pPr>
              <w:numPr>
                <w:ilvl w:val="0"/>
                <w:numId w:val="24"/>
              </w:numPr>
              <w:spacing w:after="0" w:line="240" w:lineRule="auto"/>
              <w:contextualSpacing/>
              <w:rPr>
                <w:rFonts w:ascii="Poppins" w:eastAsia="SimSun" w:hAnsi="Poppins" w:cs="Poppins"/>
                <w:b/>
                <w:bCs/>
                <w:sz w:val="18"/>
                <w:szCs w:val="18"/>
                <w:lang w:eastAsia="zh-CN"/>
              </w:rPr>
            </w:pPr>
            <w:r w:rsidRPr="007805D4">
              <w:rPr>
                <w:rFonts w:ascii="Poppins" w:eastAsia="SimSun" w:hAnsi="Poppins" w:cs="Poppins"/>
                <w:bCs/>
                <w:sz w:val="18"/>
                <w:szCs w:val="18"/>
                <w:lang w:eastAsia="zh-CN"/>
              </w:rPr>
              <w:t>Halt sludge imports to site.</w:t>
            </w:r>
          </w:p>
          <w:p w14:paraId="7A165D57" w14:textId="77777777" w:rsidR="007805D4" w:rsidRPr="007805D4" w:rsidRDefault="007805D4" w:rsidP="007805D4">
            <w:pPr>
              <w:numPr>
                <w:ilvl w:val="0"/>
                <w:numId w:val="24"/>
              </w:numPr>
              <w:spacing w:after="0" w:line="240" w:lineRule="auto"/>
              <w:contextualSpacing/>
              <w:rPr>
                <w:rFonts w:ascii="Poppins" w:eastAsia="SimSun" w:hAnsi="Poppins" w:cs="Poppins"/>
                <w:b/>
                <w:bCs/>
                <w:sz w:val="18"/>
                <w:szCs w:val="18"/>
                <w:lang w:eastAsia="zh-CN"/>
              </w:rPr>
            </w:pPr>
            <w:r w:rsidRPr="007805D4">
              <w:rPr>
                <w:rFonts w:ascii="Poppins" w:eastAsia="SimSun" w:hAnsi="Poppins" w:cs="Poppins"/>
                <w:bCs/>
                <w:sz w:val="18"/>
                <w:szCs w:val="18"/>
                <w:lang w:eastAsia="zh-CN"/>
              </w:rPr>
              <w:t>Confirm backup power supply is online.</w:t>
            </w:r>
          </w:p>
          <w:p w14:paraId="4707D102" w14:textId="77777777" w:rsidR="007805D4" w:rsidRPr="007805D4" w:rsidRDefault="007805D4" w:rsidP="007805D4">
            <w:pPr>
              <w:numPr>
                <w:ilvl w:val="0"/>
                <w:numId w:val="24"/>
              </w:numPr>
              <w:spacing w:after="0" w:line="240" w:lineRule="auto"/>
              <w:contextualSpacing/>
              <w:rPr>
                <w:rFonts w:ascii="Poppins" w:eastAsia="SimSun" w:hAnsi="Poppins" w:cs="Poppins"/>
                <w:b/>
                <w:bCs/>
                <w:sz w:val="18"/>
                <w:szCs w:val="18"/>
                <w:lang w:eastAsia="zh-CN"/>
              </w:rPr>
            </w:pPr>
            <w:r w:rsidRPr="007805D4">
              <w:rPr>
                <w:rFonts w:ascii="Poppins" w:eastAsia="SimSun" w:hAnsi="Poppins" w:cs="Poppins"/>
                <w:bCs/>
                <w:sz w:val="18"/>
                <w:szCs w:val="18"/>
                <w:lang w:eastAsia="zh-CN"/>
              </w:rPr>
              <w:t>Confirm that all systems are operating normally.</w:t>
            </w:r>
          </w:p>
        </w:tc>
        <w:tc>
          <w:tcPr>
            <w:tcW w:w="1558" w:type="dxa"/>
          </w:tcPr>
          <w:p w14:paraId="11EA240E"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Unlikely</w:t>
            </w:r>
          </w:p>
        </w:tc>
        <w:tc>
          <w:tcPr>
            <w:tcW w:w="1699" w:type="dxa"/>
            <w:gridSpan w:val="2"/>
          </w:tcPr>
          <w:p w14:paraId="5E75D6E5"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Mild</w:t>
            </w:r>
          </w:p>
        </w:tc>
        <w:tc>
          <w:tcPr>
            <w:tcW w:w="1422" w:type="dxa"/>
          </w:tcPr>
          <w:p w14:paraId="69C1F6AA"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0A4C42EF" w14:textId="77777777" w:rsidTr="003345BC">
        <w:trPr>
          <w:gridBefore w:val="1"/>
          <w:gridAfter w:val="1"/>
          <w:wBefore w:w="9" w:type="dxa"/>
          <w:wAfter w:w="6" w:type="dxa"/>
          <w:cantSplit/>
        </w:trPr>
        <w:tc>
          <w:tcPr>
            <w:tcW w:w="1837" w:type="dxa"/>
          </w:tcPr>
          <w:p w14:paraId="7326B44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Vandalism / site security failure leading to unplanned release of gas with fire / explosions risks and/or release of potentially polluting liquids (chemicals, oils, sludges)</w:t>
            </w:r>
          </w:p>
        </w:tc>
        <w:tc>
          <w:tcPr>
            <w:tcW w:w="1700" w:type="dxa"/>
          </w:tcPr>
          <w:p w14:paraId="2EDE0DA9"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Nearby human receptors</w:t>
            </w:r>
          </w:p>
          <w:p w14:paraId="17BEE38A"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Local air quality and global climate impacts</w:t>
            </w:r>
          </w:p>
          <w:p w14:paraId="112BE22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Ground / groundwater / surface waters</w:t>
            </w:r>
          </w:p>
        </w:tc>
        <w:tc>
          <w:tcPr>
            <w:tcW w:w="1558" w:type="dxa"/>
            <w:gridSpan w:val="2"/>
          </w:tcPr>
          <w:p w14:paraId="5B8EB9EB"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Air</w:t>
            </w:r>
          </w:p>
          <w:p w14:paraId="0D7F537A"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Overland runoff / infiltration / drainage systems</w:t>
            </w:r>
          </w:p>
        </w:tc>
        <w:tc>
          <w:tcPr>
            <w:tcW w:w="4676" w:type="dxa"/>
          </w:tcPr>
          <w:p w14:paraId="68B22065"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1491C1EC"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High level of security on site with 24 hr security monitoring, secure entry gate systems and locked cabs and control units.</w:t>
            </w:r>
          </w:p>
          <w:p w14:paraId="36C93E8C"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In addition to perimeter fencing around site, key digestion equipment sits within a separate fenced area.</w:t>
            </w:r>
          </w:p>
          <w:p w14:paraId="61714318" w14:textId="60BBBFB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Storage containers bunded.</w:t>
            </w:r>
          </w:p>
          <w:p w14:paraId="5127DF70"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01B39EDD"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Isolate systems as appropriate and initiate fire, spill and emergency response procedures, cleaning up spill and disposal of wastes appropriately.</w:t>
            </w:r>
          </w:p>
          <w:p w14:paraId="62E22939"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Carry out repairs (as required).</w:t>
            </w:r>
          </w:p>
          <w:p w14:paraId="19545E9B"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Review security measures on site.</w:t>
            </w:r>
          </w:p>
        </w:tc>
        <w:tc>
          <w:tcPr>
            <w:tcW w:w="1558" w:type="dxa"/>
          </w:tcPr>
          <w:p w14:paraId="54BE243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Highly unlikely</w:t>
            </w:r>
          </w:p>
        </w:tc>
        <w:tc>
          <w:tcPr>
            <w:tcW w:w="1699" w:type="dxa"/>
            <w:gridSpan w:val="2"/>
          </w:tcPr>
          <w:p w14:paraId="1D7F5B5F"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Mild</w:t>
            </w:r>
          </w:p>
        </w:tc>
        <w:tc>
          <w:tcPr>
            <w:tcW w:w="1422" w:type="dxa"/>
          </w:tcPr>
          <w:p w14:paraId="39E110BF"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Negligible risk</w:t>
            </w:r>
          </w:p>
        </w:tc>
      </w:tr>
      <w:tr w:rsidR="003345BC" w:rsidRPr="007805D4" w14:paraId="727D67C1" w14:textId="77777777" w:rsidTr="003345BC">
        <w:trPr>
          <w:gridBefore w:val="1"/>
          <w:gridAfter w:val="1"/>
          <w:wBefore w:w="9" w:type="dxa"/>
          <w:wAfter w:w="6" w:type="dxa"/>
        </w:trPr>
        <w:tc>
          <w:tcPr>
            <w:tcW w:w="1837" w:type="dxa"/>
          </w:tcPr>
          <w:p w14:paraId="599100B3" w14:textId="0EBCD713" w:rsidR="003345BC" w:rsidRPr="007805D4" w:rsidRDefault="003345BC" w:rsidP="003345BC">
            <w:pPr>
              <w:spacing w:after="0" w:line="240" w:lineRule="auto"/>
              <w:rPr>
                <w:rFonts w:ascii="Poppins" w:eastAsia="SimSun" w:hAnsi="Poppins" w:cs="Poppins"/>
                <w:sz w:val="18"/>
                <w:szCs w:val="18"/>
                <w:lang w:eastAsia="zh-CN"/>
              </w:rPr>
            </w:pPr>
            <w:r>
              <w:rPr>
                <w:rFonts w:ascii="Poppins" w:eastAsia="SimSun" w:hAnsi="Poppins" w:cs="Poppins"/>
                <w:sz w:val="18"/>
                <w:szCs w:val="18"/>
                <w:lang w:eastAsia="zh-CN"/>
              </w:rPr>
              <w:t xml:space="preserve">Cyber security incident which leads to unauthorised site access and </w:t>
            </w:r>
            <w:r w:rsidRPr="007805D4">
              <w:rPr>
                <w:rFonts w:ascii="Poppins" w:eastAsia="SimSun" w:hAnsi="Poppins" w:cs="Poppins"/>
                <w:sz w:val="18"/>
                <w:szCs w:val="18"/>
                <w:lang w:eastAsia="zh-CN"/>
              </w:rPr>
              <w:t xml:space="preserve">unplanned release of gas </w:t>
            </w:r>
            <w:r w:rsidRPr="007805D4">
              <w:rPr>
                <w:rFonts w:ascii="Poppins" w:eastAsia="SimSun" w:hAnsi="Poppins" w:cs="Poppins"/>
                <w:sz w:val="18"/>
                <w:szCs w:val="18"/>
                <w:lang w:eastAsia="zh-CN"/>
              </w:rPr>
              <w:lastRenderedPageBreak/>
              <w:t>with fire / explosions risks and/or release of potentially polluting liquids (chemicals, oils, sludges)</w:t>
            </w:r>
          </w:p>
        </w:tc>
        <w:tc>
          <w:tcPr>
            <w:tcW w:w="1700" w:type="dxa"/>
          </w:tcPr>
          <w:p w14:paraId="08F9A749" w14:textId="77777777" w:rsidR="003345BC" w:rsidRPr="007805D4" w:rsidRDefault="003345BC" w:rsidP="003345BC">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Nearby human receptors</w:t>
            </w:r>
          </w:p>
          <w:p w14:paraId="6C935D14" w14:textId="77777777" w:rsidR="003345BC" w:rsidRPr="007805D4" w:rsidRDefault="003345BC" w:rsidP="003345BC">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Local air quality and global climate impacts</w:t>
            </w:r>
          </w:p>
          <w:p w14:paraId="2AD4B45C" w14:textId="6C66C5FE" w:rsidR="003345BC" w:rsidRPr="007805D4" w:rsidRDefault="003345BC" w:rsidP="003345BC">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Ground / groundwater / surface waters</w:t>
            </w:r>
          </w:p>
        </w:tc>
        <w:tc>
          <w:tcPr>
            <w:tcW w:w="1558" w:type="dxa"/>
            <w:gridSpan w:val="2"/>
          </w:tcPr>
          <w:p w14:paraId="3DC699AF" w14:textId="77777777" w:rsidR="003345BC" w:rsidRPr="007805D4" w:rsidRDefault="003345BC" w:rsidP="003345BC">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Air</w:t>
            </w:r>
          </w:p>
          <w:p w14:paraId="3D180563" w14:textId="0702A485" w:rsidR="003345BC" w:rsidRPr="007805D4" w:rsidRDefault="003345BC" w:rsidP="003345BC">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Overland runoff / infiltration / drainage systems</w:t>
            </w:r>
          </w:p>
        </w:tc>
        <w:tc>
          <w:tcPr>
            <w:tcW w:w="4676" w:type="dxa"/>
          </w:tcPr>
          <w:p w14:paraId="0B6E42E8" w14:textId="77777777" w:rsidR="003345BC" w:rsidRPr="007805D4" w:rsidRDefault="003345BC" w:rsidP="003345BC">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458E6FCB" w14:textId="310DB805" w:rsidR="003345BC" w:rsidRDefault="003345BC" w:rsidP="003345BC">
            <w:pPr>
              <w:numPr>
                <w:ilvl w:val="0"/>
                <w:numId w:val="21"/>
              </w:numPr>
              <w:spacing w:after="0" w:line="240" w:lineRule="auto"/>
              <w:contextualSpacing/>
              <w:rPr>
                <w:rFonts w:ascii="Poppins" w:eastAsia="SimSun" w:hAnsi="Poppins" w:cs="Poppins"/>
                <w:sz w:val="18"/>
                <w:szCs w:val="18"/>
                <w:lang w:eastAsia="zh-CN"/>
              </w:rPr>
            </w:pPr>
            <w:r>
              <w:rPr>
                <w:rFonts w:ascii="Poppins" w:eastAsia="SimSun" w:hAnsi="Poppins" w:cs="Poppins"/>
                <w:sz w:val="18"/>
                <w:szCs w:val="18"/>
                <w:lang w:eastAsia="zh-CN"/>
              </w:rPr>
              <w:t>YW operates an information security management system to provide cyber security protection and response.</w:t>
            </w:r>
          </w:p>
          <w:p w14:paraId="200987CA" w14:textId="223E27ED" w:rsidR="003345BC" w:rsidRPr="007805D4" w:rsidRDefault="003345BC" w:rsidP="003345BC">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High level of security on site with 24 hr security monitoring, secure entry gate systems and locked cabs and control units.</w:t>
            </w:r>
          </w:p>
          <w:p w14:paraId="44D6B40D" w14:textId="77777777" w:rsidR="003345BC" w:rsidRPr="007805D4" w:rsidRDefault="003345BC" w:rsidP="003345BC">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Storage containers bunded.</w:t>
            </w:r>
          </w:p>
          <w:p w14:paraId="7BC62000" w14:textId="77777777" w:rsidR="003345BC" w:rsidRPr="007805D4" w:rsidRDefault="003345BC" w:rsidP="003345BC">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7AC69290" w14:textId="77777777" w:rsidR="003345BC" w:rsidRPr="007805D4" w:rsidRDefault="003345BC" w:rsidP="003345BC">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Isolate systems as appropriate and initiate fire, spill and emergency response procedures, cleaning up spill and disposal of wastes appropriately.</w:t>
            </w:r>
          </w:p>
          <w:p w14:paraId="6CFD659F" w14:textId="77777777" w:rsidR="003345BC" w:rsidRPr="003345BC" w:rsidRDefault="003345BC" w:rsidP="003345BC">
            <w:pPr>
              <w:numPr>
                <w:ilvl w:val="0"/>
                <w:numId w:val="21"/>
              </w:numPr>
              <w:spacing w:after="0" w:line="240" w:lineRule="auto"/>
              <w:contextualSpacing/>
              <w:rPr>
                <w:rFonts w:ascii="Poppins" w:eastAsia="SimSun" w:hAnsi="Poppins" w:cs="Poppins"/>
                <w:b/>
                <w:sz w:val="18"/>
                <w:szCs w:val="18"/>
                <w:lang w:eastAsia="zh-CN"/>
              </w:rPr>
            </w:pPr>
            <w:r w:rsidRPr="007805D4">
              <w:rPr>
                <w:rFonts w:ascii="Poppins" w:eastAsia="SimSun" w:hAnsi="Poppins" w:cs="Poppins"/>
                <w:sz w:val="18"/>
                <w:szCs w:val="18"/>
                <w:lang w:eastAsia="zh-CN"/>
              </w:rPr>
              <w:t>Carry out repairs (as required).</w:t>
            </w:r>
          </w:p>
          <w:p w14:paraId="5D938A3E" w14:textId="79E3EE05" w:rsidR="003345BC" w:rsidRPr="007805D4" w:rsidRDefault="003345BC" w:rsidP="003345BC">
            <w:pPr>
              <w:numPr>
                <w:ilvl w:val="0"/>
                <w:numId w:val="21"/>
              </w:numPr>
              <w:spacing w:after="0" w:line="240" w:lineRule="auto"/>
              <w:contextualSpacing/>
              <w:rPr>
                <w:rFonts w:ascii="Poppins" w:eastAsia="SimSun" w:hAnsi="Poppins" w:cs="Poppins"/>
                <w:b/>
                <w:sz w:val="18"/>
                <w:szCs w:val="18"/>
                <w:lang w:eastAsia="zh-CN"/>
              </w:rPr>
            </w:pPr>
            <w:r w:rsidRPr="007805D4">
              <w:rPr>
                <w:rFonts w:ascii="Poppins" w:eastAsia="SimSun" w:hAnsi="Poppins" w:cs="Poppins"/>
                <w:sz w:val="18"/>
                <w:szCs w:val="18"/>
                <w:lang w:eastAsia="zh-CN"/>
              </w:rPr>
              <w:t>Review</w:t>
            </w:r>
            <w:r>
              <w:rPr>
                <w:rFonts w:ascii="Poppins" w:eastAsia="SimSun" w:hAnsi="Poppins" w:cs="Poppins"/>
                <w:sz w:val="18"/>
                <w:szCs w:val="18"/>
                <w:lang w:eastAsia="zh-CN"/>
              </w:rPr>
              <w:t xml:space="preserve"> cyber</w:t>
            </w:r>
            <w:r w:rsidRPr="007805D4">
              <w:rPr>
                <w:rFonts w:ascii="Poppins" w:eastAsia="SimSun" w:hAnsi="Poppins" w:cs="Poppins"/>
                <w:sz w:val="18"/>
                <w:szCs w:val="18"/>
                <w:lang w:eastAsia="zh-CN"/>
              </w:rPr>
              <w:t xml:space="preserve"> security measures.</w:t>
            </w:r>
          </w:p>
        </w:tc>
        <w:tc>
          <w:tcPr>
            <w:tcW w:w="1558" w:type="dxa"/>
          </w:tcPr>
          <w:p w14:paraId="002B6038" w14:textId="3A72F90D" w:rsidR="003345BC" w:rsidRPr="007805D4" w:rsidRDefault="004059CD" w:rsidP="003345BC">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Highly unlikely</w:t>
            </w:r>
          </w:p>
        </w:tc>
        <w:tc>
          <w:tcPr>
            <w:tcW w:w="1699" w:type="dxa"/>
            <w:gridSpan w:val="2"/>
          </w:tcPr>
          <w:p w14:paraId="1B16E2D8" w14:textId="02ABA217" w:rsidR="003345BC" w:rsidRPr="007805D4" w:rsidRDefault="003345BC" w:rsidP="003345BC">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Mild</w:t>
            </w:r>
          </w:p>
        </w:tc>
        <w:tc>
          <w:tcPr>
            <w:tcW w:w="1422" w:type="dxa"/>
          </w:tcPr>
          <w:p w14:paraId="5809292C" w14:textId="0D760BD3" w:rsidR="003345BC" w:rsidRPr="007805D4" w:rsidRDefault="003345BC" w:rsidP="003345BC">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Negligible risk</w:t>
            </w:r>
          </w:p>
        </w:tc>
      </w:tr>
      <w:tr w:rsidR="00951799" w:rsidRPr="007805D4" w14:paraId="0A942A01" w14:textId="77777777" w:rsidTr="003345BC">
        <w:trPr>
          <w:gridBefore w:val="1"/>
          <w:gridAfter w:val="1"/>
          <w:wBefore w:w="9" w:type="dxa"/>
          <w:wAfter w:w="6" w:type="dxa"/>
        </w:trPr>
        <w:tc>
          <w:tcPr>
            <w:tcW w:w="1837" w:type="dxa"/>
          </w:tcPr>
          <w:p w14:paraId="2AB0929B" w14:textId="77777777" w:rsidR="007805D4" w:rsidRPr="007805D4" w:rsidRDefault="007805D4" w:rsidP="007805D4">
            <w:pPr>
              <w:spacing w:after="0" w:line="240" w:lineRule="auto"/>
              <w:rPr>
                <w:rFonts w:ascii="Poppins" w:eastAsia="Calibri" w:hAnsi="Poppins" w:cs="Poppins"/>
                <w:sz w:val="18"/>
                <w:szCs w:val="18"/>
              </w:rPr>
            </w:pPr>
            <w:r w:rsidRPr="007805D4">
              <w:rPr>
                <w:rFonts w:ascii="Poppins" w:eastAsia="Calibri" w:hAnsi="Poppins" w:cs="Poppins"/>
                <w:sz w:val="18"/>
                <w:szCs w:val="18"/>
              </w:rPr>
              <w:t>Failure of chemical or oil containment due to deterioration of storage containers, pipework or valves leading to spillage</w:t>
            </w:r>
          </w:p>
        </w:tc>
        <w:tc>
          <w:tcPr>
            <w:tcW w:w="1700" w:type="dxa"/>
          </w:tcPr>
          <w:p w14:paraId="52F51E99"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Ground / groundwater / surface waters</w:t>
            </w:r>
          </w:p>
        </w:tc>
        <w:tc>
          <w:tcPr>
            <w:tcW w:w="1558" w:type="dxa"/>
            <w:gridSpan w:val="2"/>
          </w:tcPr>
          <w:p w14:paraId="20A3A8B4"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Overland runoff / infiltration / drainage systems</w:t>
            </w:r>
          </w:p>
        </w:tc>
        <w:tc>
          <w:tcPr>
            <w:tcW w:w="4676" w:type="dxa"/>
          </w:tcPr>
          <w:p w14:paraId="418BC20E"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29A06390"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All oil storage and waste oil storage tanks are fully bunded (using either fixed or mobile bunds). </w:t>
            </w:r>
          </w:p>
          <w:p w14:paraId="091841F0"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Joints external to containment minimised where possible. </w:t>
            </w:r>
          </w:p>
          <w:p w14:paraId="02A657A1"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Tank and pipework inspections undertaken as part of routine maintenance.</w:t>
            </w:r>
          </w:p>
          <w:p w14:paraId="427C5AE2"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Operational procedures for refilling oil and chemical storage tanks.  Spill kit to be available at tanks. </w:t>
            </w:r>
          </w:p>
          <w:p w14:paraId="37B76E11" w14:textId="1DB6BA7B"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Any oil spilt around engines during maintenance will be cleaned up and disposed of appropriately.</w:t>
            </w:r>
          </w:p>
          <w:p w14:paraId="1306441E"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726FE061"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Isolate systems as appropriate and initiate spill response procedure, cleaning up spill and disposal of wastes appropriately.</w:t>
            </w:r>
          </w:p>
          <w:p w14:paraId="48FFCCE5"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Carry out repairs (as required). </w:t>
            </w:r>
          </w:p>
          <w:p w14:paraId="18643726"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Review systems to prevent recurrence.</w:t>
            </w:r>
          </w:p>
        </w:tc>
        <w:tc>
          <w:tcPr>
            <w:tcW w:w="1558" w:type="dxa"/>
          </w:tcPr>
          <w:p w14:paraId="57A46AFE"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Unlikely</w:t>
            </w:r>
          </w:p>
        </w:tc>
        <w:tc>
          <w:tcPr>
            <w:tcW w:w="1699" w:type="dxa"/>
            <w:gridSpan w:val="2"/>
          </w:tcPr>
          <w:p w14:paraId="59A98955"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Mild</w:t>
            </w:r>
          </w:p>
        </w:tc>
        <w:tc>
          <w:tcPr>
            <w:tcW w:w="1422" w:type="dxa"/>
          </w:tcPr>
          <w:p w14:paraId="580673C5"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60B1420F" w14:textId="77777777" w:rsidTr="003345BC">
        <w:trPr>
          <w:gridBefore w:val="1"/>
          <w:gridAfter w:val="1"/>
          <w:wBefore w:w="9" w:type="dxa"/>
          <w:wAfter w:w="6" w:type="dxa"/>
          <w:cantSplit/>
        </w:trPr>
        <w:tc>
          <w:tcPr>
            <w:tcW w:w="1837" w:type="dxa"/>
          </w:tcPr>
          <w:p w14:paraId="711C2F3E" w14:textId="77777777" w:rsidR="007805D4" w:rsidRPr="007805D4" w:rsidRDefault="007805D4" w:rsidP="007805D4">
            <w:pPr>
              <w:spacing w:after="0" w:line="240" w:lineRule="auto"/>
              <w:rPr>
                <w:rFonts w:ascii="Poppins" w:eastAsia="Calibri" w:hAnsi="Poppins" w:cs="Poppins"/>
                <w:sz w:val="18"/>
                <w:szCs w:val="18"/>
              </w:rPr>
            </w:pPr>
            <w:r w:rsidRPr="007805D4">
              <w:rPr>
                <w:rFonts w:ascii="Poppins" w:eastAsia="Calibri" w:hAnsi="Poppins" w:cs="Poppins"/>
                <w:sz w:val="18"/>
                <w:szCs w:val="18"/>
              </w:rPr>
              <w:t>Failure of chemical or oil containment during delivery</w:t>
            </w:r>
          </w:p>
        </w:tc>
        <w:tc>
          <w:tcPr>
            <w:tcW w:w="1700" w:type="dxa"/>
          </w:tcPr>
          <w:p w14:paraId="614D5748"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Ground / groundwater / surface waters</w:t>
            </w:r>
          </w:p>
        </w:tc>
        <w:tc>
          <w:tcPr>
            <w:tcW w:w="1558" w:type="dxa"/>
            <w:gridSpan w:val="2"/>
          </w:tcPr>
          <w:p w14:paraId="6F1A457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Overland runoff / infiltration / drainage systems</w:t>
            </w:r>
          </w:p>
        </w:tc>
        <w:tc>
          <w:tcPr>
            <w:tcW w:w="4676" w:type="dxa"/>
          </w:tcPr>
          <w:p w14:paraId="5DE6C32F"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78DAD8AF"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Delivery procedures inc. supervision by site staff, check on space available in receiving tank.</w:t>
            </w:r>
          </w:p>
          <w:p w14:paraId="7EB7A004"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Storage containers bunded.</w:t>
            </w:r>
          </w:p>
          <w:p w14:paraId="6582AFC3" w14:textId="061CC2D9"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Chemical/oil storage only in area surrounded by hardstanding with all drainage directed to WwTW.</w:t>
            </w:r>
          </w:p>
          <w:p w14:paraId="619DC4D9"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7C95A014" w14:textId="77777777" w:rsidR="007805D4" w:rsidRPr="007805D4" w:rsidRDefault="007805D4" w:rsidP="007805D4">
            <w:pPr>
              <w:pStyle w:val="ListParagraph"/>
              <w:numPr>
                <w:ilvl w:val="0"/>
                <w:numId w:val="26"/>
              </w:numPr>
              <w:spacing w:after="0" w:line="240" w:lineRule="auto"/>
              <w:ind w:left="316" w:hanging="283"/>
              <w:rPr>
                <w:rFonts w:eastAsia="SimSun" w:cs="Poppins"/>
                <w:b/>
                <w:lang w:eastAsia="zh-CN"/>
              </w:rPr>
            </w:pPr>
            <w:r w:rsidRPr="007805D4">
              <w:rPr>
                <w:rFonts w:eastAsia="SimSun" w:cs="Poppins"/>
                <w:bCs/>
                <w:lang w:eastAsia="zh-CN"/>
              </w:rPr>
              <w:t>Follow incident plan.</w:t>
            </w:r>
          </w:p>
        </w:tc>
        <w:tc>
          <w:tcPr>
            <w:tcW w:w="1558" w:type="dxa"/>
          </w:tcPr>
          <w:p w14:paraId="132B2B03"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Unlikely</w:t>
            </w:r>
          </w:p>
        </w:tc>
        <w:tc>
          <w:tcPr>
            <w:tcW w:w="1699" w:type="dxa"/>
            <w:gridSpan w:val="2"/>
          </w:tcPr>
          <w:p w14:paraId="7A1DBC6C"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Mild</w:t>
            </w:r>
          </w:p>
        </w:tc>
        <w:tc>
          <w:tcPr>
            <w:tcW w:w="1422" w:type="dxa"/>
          </w:tcPr>
          <w:p w14:paraId="61D26D2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2FC7B633" w14:textId="77777777" w:rsidTr="003345BC">
        <w:trPr>
          <w:gridBefore w:val="1"/>
          <w:gridAfter w:val="1"/>
          <w:wBefore w:w="9" w:type="dxa"/>
          <w:wAfter w:w="6" w:type="dxa"/>
        </w:trPr>
        <w:tc>
          <w:tcPr>
            <w:tcW w:w="1837" w:type="dxa"/>
          </w:tcPr>
          <w:p w14:paraId="0B4026B3"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Vehicle impact leading to loss of pressurised gas and explosion / fire risk or loss of liquid containment (chemicals, oils, sludges)</w:t>
            </w:r>
          </w:p>
        </w:tc>
        <w:tc>
          <w:tcPr>
            <w:tcW w:w="1700" w:type="dxa"/>
          </w:tcPr>
          <w:p w14:paraId="37194E0F"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Nearby human receptors</w:t>
            </w:r>
          </w:p>
          <w:p w14:paraId="60D475A8"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Contribution to local air pollution and global warming</w:t>
            </w:r>
          </w:p>
          <w:p w14:paraId="51B2909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Ground / groundwater / surface waters</w:t>
            </w:r>
          </w:p>
        </w:tc>
        <w:tc>
          <w:tcPr>
            <w:tcW w:w="1558" w:type="dxa"/>
            <w:gridSpan w:val="2"/>
          </w:tcPr>
          <w:p w14:paraId="4A60B8AE"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Air</w:t>
            </w:r>
          </w:p>
        </w:tc>
        <w:tc>
          <w:tcPr>
            <w:tcW w:w="4676" w:type="dxa"/>
          </w:tcPr>
          <w:p w14:paraId="7B99D947"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5831727A"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Site speed limits in place to reduce chance and consequence of collision.</w:t>
            </w:r>
          </w:p>
          <w:p w14:paraId="7C018B8E"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Tanker discharge point and access to this area are controlled by manned security point at main site entrance.</w:t>
            </w:r>
          </w:p>
          <w:p w14:paraId="6253D399"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Key areas including have barriers to prevent collision with equipment.</w:t>
            </w:r>
          </w:p>
          <w:p w14:paraId="44E98F17"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Key digestion assets including digestion tanks are set back from road and surrounded by a fence.</w:t>
            </w:r>
          </w:p>
          <w:p w14:paraId="4F233E85" w14:textId="186BC139"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Site drainage will capture spills related to pipe failure.</w:t>
            </w:r>
          </w:p>
          <w:p w14:paraId="16225401"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3DFD5C1E"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Isolate systems as appropriate and initiate fire, spill and emergency response </w:t>
            </w:r>
            <w:r w:rsidRPr="007805D4">
              <w:rPr>
                <w:rFonts w:ascii="Poppins" w:eastAsia="SimSun" w:hAnsi="Poppins" w:cs="Poppins"/>
                <w:sz w:val="18"/>
                <w:szCs w:val="18"/>
                <w:lang w:eastAsia="zh-CN"/>
              </w:rPr>
              <w:lastRenderedPageBreak/>
              <w:t>procedures, cleaning up spill and disposal of wastes appropriately.</w:t>
            </w:r>
          </w:p>
          <w:p w14:paraId="3BC3B5C1"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Carry out repairs (as required)</w:t>
            </w:r>
          </w:p>
        </w:tc>
        <w:tc>
          <w:tcPr>
            <w:tcW w:w="1558" w:type="dxa"/>
          </w:tcPr>
          <w:p w14:paraId="5E207232"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Highly unlikely</w:t>
            </w:r>
          </w:p>
        </w:tc>
        <w:tc>
          <w:tcPr>
            <w:tcW w:w="1699" w:type="dxa"/>
            <w:gridSpan w:val="2"/>
          </w:tcPr>
          <w:p w14:paraId="1DC9D423"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Medium</w:t>
            </w:r>
          </w:p>
        </w:tc>
        <w:tc>
          <w:tcPr>
            <w:tcW w:w="1422" w:type="dxa"/>
          </w:tcPr>
          <w:p w14:paraId="62DC12BD"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69594786" w14:textId="77777777" w:rsidTr="003345BC">
        <w:trPr>
          <w:gridBefore w:val="1"/>
          <w:gridAfter w:val="1"/>
          <w:wBefore w:w="9" w:type="dxa"/>
          <w:wAfter w:w="6" w:type="dxa"/>
        </w:trPr>
        <w:tc>
          <w:tcPr>
            <w:tcW w:w="1837" w:type="dxa"/>
          </w:tcPr>
          <w:p w14:paraId="1BA59EB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Excessive noise from plant or equipment e.g., due to equipment deterioration or failure</w:t>
            </w:r>
          </w:p>
        </w:tc>
        <w:tc>
          <w:tcPr>
            <w:tcW w:w="1700" w:type="dxa"/>
          </w:tcPr>
          <w:p w14:paraId="3BC5AFD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Nearby human receptors</w:t>
            </w:r>
          </w:p>
        </w:tc>
        <w:tc>
          <w:tcPr>
            <w:tcW w:w="1558" w:type="dxa"/>
            <w:gridSpan w:val="2"/>
          </w:tcPr>
          <w:p w14:paraId="29F68B4A"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Air</w:t>
            </w:r>
          </w:p>
        </w:tc>
        <w:tc>
          <w:tcPr>
            <w:tcW w:w="4676" w:type="dxa"/>
          </w:tcPr>
          <w:p w14:paraId="724A6FB8"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2CACDDE1"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Procurement controls mean plant are selected to comply with relevant noise limits.</w:t>
            </w:r>
          </w:p>
          <w:p w14:paraId="7EC8DA46"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Regular maintenance completed to ensure equipment operates within normal noise parameters.</w:t>
            </w:r>
          </w:p>
          <w:p w14:paraId="7A6AB1F4"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Acoustic enclosures / controls on some noise generating plan (e.g. compressors)</w:t>
            </w:r>
          </w:p>
          <w:p w14:paraId="6A39C7A9" w14:textId="610BBDF0"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Sensitive receptors not located within close proximity to the site.  </w:t>
            </w:r>
          </w:p>
          <w:p w14:paraId="45AD9F7F"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30CCA3B4" w14:textId="7AF33904"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Investigate cause and implement preventive measures, which may include system maintenance interventions.</w:t>
            </w:r>
          </w:p>
        </w:tc>
        <w:tc>
          <w:tcPr>
            <w:tcW w:w="1558" w:type="dxa"/>
          </w:tcPr>
          <w:p w14:paraId="35B0FEB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Unlikely</w:t>
            </w:r>
          </w:p>
        </w:tc>
        <w:tc>
          <w:tcPr>
            <w:tcW w:w="1699" w:type="dxa"/>
            <w:gridSpan w:val="2"/>
          </w:tcPr>
          <w:p w14:paraId="62279F05"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Mild</w:t>
            </w:r>
          </w:p>
        </w:tc>
        <w:tc>
          <w:tcPr>
            <w:tcW w:w="1422" w:type="dxa"/>
          </w:tcPr>
          <w:p w14:paraId="250C710A"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7805D4" w:rsidRPr="007805D4" w14:paraId="775B8208" w14:textId="77777777" w:rsidTr="003345BC">
        <w:trPr>
          <w:gridBefore w:val="1"/>
          <w:gridAfter w:val="1"/>
          <w:wBefore w:w="9" w:type="dxa"/>
          <w:wAfter w:w="6" w:type="dxa"/>
          <w:cantSplit/>
        </w:trPr>
        <w:tc>
          <w:tcPr>
            <w:tcW w:w="14450" w:type="dxa"/>
            <w:gridSpan w:val="9"/>
            <w:shd w:val="clear" w:color="auto" w:fill="F2F2F2" w:themeFill="background1" w:themeFillShade="F2"/>
          </w:tcPr>
          <w:p w14:paraId="2119D70B" w14:textId="77777777" w:rsidR="007805D4" w:rsidRPr="007805D4" w:rsidRDefault="007805D4" w:rsidP="00476553">
            <w:pPr>
              <w:spacing w:beforeLines="40" w:before="96" w:after="4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 xml:space="preserve">Site wide - sludge pipework, tanks, valves </w:t>
            </w:r>
          </w:p>
        </w:tc>
      </w:tr>
      <w:tr w:rsidR="00951799" w:rsidRPr="007805D4" w14:paraId="2CBFAA6A" w14:textId="77777777" w:rsidTr="003345BC">
        <w:trPr>
          <w:gridBefore w:val="1"/>
          <w:gridAfter w:val="1"/>
          <w:wBefore w:w="9" w:type="dxa"/>
          <w:wAfter w:w="6" w:type="dxa"/>
          <w:cantSplit/>
        </w:trPr>
        <w:tc>
          <w:tcPr>
            <w:tcW w:w="1837" w:type="dxa"/>
          </w:tcPr>
          <w:p w14:paraId="0C986039"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Calibri" w:hAnsi="Poppins" w:cs="Poppins"/>
                <w:sz w:val="18"/>
                <w:szCs w:val="18"/>
              </w:rPr>
              <w:lastRenderedPageBreak/>
              <w:t>Spillage of sludge during transfer / handling activities</w:t>
            </w:r>
          </w:p>
        </w:tc>
        <w:tc>
          <w:tcPr>
            <w:tcW w:w="1700" w:type="dxa"/>
          </w:tcPr>
          <w:p w14:paraId="4CB0332A"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Ground / groundwater / surface waters</w:t>
            </w:r>
          </w:p>
        </w:tc>
        <w:tc>
          <w:tcPr>
            <w:tcW w:w="1558" w:type="dxa"/>
            <w:gridSpan w:val="2"/>
          </w:tcPr>
          <w:p w14:paraId="1EA79E8A"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Overland runoff / infiltration / drainage systems</w:t>
            </w:r>
          </w:p>
        </w:tc>
        <w:tc>
          <w:tcPr>
            <w:tcW w:w="4676" w:type="dxa"/>
          </w:tcPr>
          <w:p w14:paraId="1F79C42A"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1D67434C"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Staff training on system operation.</w:t>
            </w:r>
          </w:p>
          <w:p w14:paraId="1D8D6B64"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Hardstanding in key/high risk areas.</w:t>
            </w:r>
          </w:p>
          <w:p w14:paraId="555D9852" w14:textId="010AA1F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Site drainage returns surface runoff to WwTW.  Small areas of surface water runoff within the installation are currently drained to the WwTW FSTs.  These drains will be redirected to the WwTW inlet.</w:t>
            </w:r>
          </w:p>
          <w:p w14:paraId="02A95616"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35584ABB"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Isolate systems as appropriate and initiate spill response procedure, cleaning up spill and disposal of wastes appropriately.</w:t>
            </w:r>
          </w:p>
        </w:tc>
        <w:tc>
          <w:tcPr>
            <w:tcW w:w="1558" w:type="dxa"/>
          </w:tcPr>
          <w:p w14:paraId="1737BF6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Likely</w:t>
            </w:r>
          </w:p>
        </w:tc>
        <w:tc>
          <w:tcPr>
            <w:tcW w:w="1699" w:type="dxa"/>
            <w:gridSpan w:val="2"/>
          </w:tcPr>
          <w:p w14:paraId="50B5B5BE"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Minor / negligible</w:t>
            </w:r>
          </w:p>
        </w:tc>
        <w:tc>
          <w:tcPr>
            <w:tcW w:w="1422" w:type="dxa"/>
          </w:tcPr>
          <w:p w14:paraId="660A1B2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697A70C7" w14:textId="77777777" w:rsidTr="003345BC">
        <w:trPr>
          <w:gridBefore w:val="1"/>
          <w:gridAfter w:val="1"/>
          <w:wBefore w:w="9" w:type="dxa"/>
          <w:wAfter w:w="6" w:type="dxa"/>
        </w:trPr>
        <w:tc>
          <w:tcPr>
            <w:tcW w:w="1837" w:type="dxa"/>
          </w:tcPr>
          <w:p w14:paraId="4FF96DC9" w14:textId="77777777" w:rsidR="007805D4" w:rsidRPr="007805D4" w:rsidRDefault="007805D4" w:rsidP="007805D4">
            <w:pPr>
              <w:spacing w:after="0" w:line="240" w:lineRule="auto"/>
              <w:rPr>
                <w:rFonts w:ascii="Poppins" w:eastAsia="Calibri" w:hAnsi="Poppins" w:cs="Poppins"/>
                <w:sz w:val="18"/>
                <w:szCs w:val="18"/>
              </w:rPr>
            </w:pPr>
            <w:r w:rsidRPr="007805D4">
              <w:rPr>
                <w:rFonts w:ascii="Poppins" w:eastAsia="Calibri" w:hAnsi="Poppins" w:cs="Poppins"/>
                <w:sz w:val="18"/>
                <w:szCs w:val="18"/>
              </w:rPr>
              <w:t>Failure (cracks, splitting) of underground pipework (e.g. fuel, chemicals, sludge, site drains)</w:t>
            </w:r>
          </w:p>
        </w:tc>
        <w:tc>
          <w:tcPr>
            <w:tcW w:w="1700" w:type="dxa"/>
          </w:tcPr>
          <w:p w14:paraId="2EF5AA96"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Ground / groundwater / surface waters</w:t>
            </w:r>
          </w:p>
        </w:tc>
        <w:tc>
          <w:tcPr>
            <w:tcW w:w="1558" w:type="dxa"/>
            <w:gridSpan w:val="2"/>
          </w:tcPr>
          <w:p w14:paraId="219E0BEB"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Infiltration</w:t>
            </w:r>
          </w:p>
        </w:tc>
        <w:tc>
          <w:tcPr>
            <w:tcW w:w="4676" w:type="dxa"/>
          </w:tcPr>
          <w:p w14:paraId="473BFE87"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63A057CF"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Existing underground pipework will be periodically surveyed using in-pipe crack detection technology.</w:t>
            </w:r>
          </w:p>
          <w:p w14:paraId="19558714" w14:textId="04C65625"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Where new pipework at the site has to be underground, the containment provision will be risk assessed and appropriate design specification implemented, which may include secondary containment and leak detection.</w:t>
            </w:r>
          </w:p>
          <w:p w14:paraId="012BCCCE"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085CB9B4"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Damaged pipe will be isolated.</w:t>
            </w:r>
          </w:p>
          <w:p w14:paraId="684CF113"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Spill management procedure will be followed.</w:t>
            </w:r>
          </w:p>
          <w:p w14:paraId="6AC96491"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Repairs to damaged pipework will be arranged.</w:t>
            </w:r>
          </w:p>
        </w:tc>
        <w:tc>
          <w:tcPr>
            <w:tcW w:w="1558" w:type="dxa"/>
          </w:tcPr>
          <w:p w14:paraId="4B23FE2B"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Unlikely</w:t>
            </w:r>
          </w:p>
        </w:tc>
        <w:tc>
          <w:tcPr>
            <w:tcW w:w="1699" w:type="dxa"/>
            <w:gridSpan w:val="2"/>
          </w:tcPr>
          <w:p w14:paraId="3EDA9C4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Medium</w:t>
            </w:r>
          </w:p>
        </w:tc>
        <w:tc>
          <w:tcPr>
            <w:tcW w:w="1422" w:type="dxa"/>
          </w:tcPr>
          <w:p w14:paraId="63A91AEA" w14:textId="289D2EBF"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Moderate</w:t>
            </w:r>
            <w:r w:rsidR="004D7E21">
              <w:rPr>
                <w:rFonts w:ascii="Poppins" w:eastAsia="SimSun" w:hAnsi="Poppins" w:cs="Poppins"/>
                <w:sz w:val="18"/>
                <w:szCs w:val="18"/>
                <w:lang w:eastAsia="zh-CN"/>
              </w:rPr>
              <w:t xml:space="preserve"> </w:t>
            </w:r>
            <w:r w:rsidRPr="007805D4">
              <w:rPr>
                <w:rFonts w:ascii="Poppins" w:eastAsia="SimSun" w:hAnsi="Poppins" w:cs="Poppins"/>
                <w:sz w:val="18"/>
                <w:szCs w:val="18"/>
                <w:lang w:eastAsia="zh-CN"/>
              </w:rPr>
              <w:t>/</w:t>
            </w:r>
            <w:r w:rsidR="004D7E21">
              <w:rPr>
                <w:rFonts w:ascii="Poppins" w:eastAsia="SimSun" w:hAnsi="Poppins" w:cs="Poppins"/>
                <w:sz w:val="18"/>
                <w:szCs w:val="18"/>
                <w:lang w:eastAsia="zh-CN"/>
              </w:rPr>
              <w:t xml:space="preserve"> </w:t>
            </w:r>
            <w:r w:rsidRPr="007805D4">
              <w:rPr>
                <w:rFonts w:ascii="Poppins" w:eastAsia="SimSun" w:hAnsi="Poppins" w:cs="Poppins"/>
                <w:sz w:val="18"/>
                <w:szCs w:val="18"/>
                <w:lang w:eastAsia="zh-CN"/>
              </w:rPr>
              <w:t>Low risk</w:t>
            </w:r>
          </w:p>
        </w:tc>
      </w:tr>
      <w:tr w:rsidR="00951799" w:rsidRPr="007805D4" w14:paraId="2B598259" w14:textId="77777777" w:rsidTr="003345BC">
        <w:trPr>
          <w:gridBefore w:val="1"/>
          <w:gridAfter w:val="1"/>
          <w:wBefore w:w="9" w:type="dxa"/>
          <w:wAfter w:w="6" w:type="dxa"/>
          <w:cantSplit/>
        </w:trPr>
        <w:tc>
          <w:tcPr>
            <w:tcW w:w="1837" w:type="dxa"/>
          </w:tcPr>
          <w:p w14:paraId="1945601B"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Calibri" w:hAnsi="Poppins" w:cs="Poppins"/>
                <w:sz w:val="18"/>
                <w:szCs w:val="18"/>
              </w:rPr>
              <w:t>Minor failure of sludge storage tanks / digester tanks e.g., tank overtopping, pipework leaks</w:t>
            </w:r>
          </w:p>
        </w:tc>
        <w:tc>
          <w:tcPr>
            <w:tcW w:w="1700" w:type="dxa"/>
          </w:tcPr>
          <w:p w14:paraId="1584AF2C"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Ground / groundwater / surface waters</w:t>
            </w:r>
          </w:p>
        </w:tc>
        <w:tc>
          <w:tcPr>
            <w:tcW w:w="1558" w:type="dxa"/>
            <w:gridSpan w:val="2"/>
          </w:tcPr>
          <w:p w14:paraId="1E40E9C7"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Overland runoff / infiltration / drainage systems</w:t>
            </w:r>
          </w:p>
        </w:tc>
        <w:tc>
          <w:tcPr>
            <w:tcW w:w="4676" w:type="dxa"/>
          </w:tcPr>
          <w:p w14:paraId="3B553303"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4E92CB03"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High level probes to prevent overfilling of tanks, overflow pipework is in place as a failsafe.</w:t>
            </w:r>
          </w:p>
          <w:p w14:paraId="70831285"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Trace heating is provided to tank level gauges to prevent freezing and reduce the risk of false readings.</w:t>
            </w:r>
          </w:p>
          <w:p w14:paraId="6F6A6FC0"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Site is monitored on a daily basis.</w:t>
            </w:r>
          </w:p>
          <w:p w14:paraId="614E0744"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Infrastructure maintenance and inspections.</w:t>
            </w:r>
          </w:p>
          <w:p w14:paraId="0979B8E9"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Protective measures as for sludge spillage.</w:t>
            </w:r>
          </w:p>
          <w:p w14:paraId="253AD268" w14:textId="38378248" w:rsidR="007805D4" w:rsidRPr="004D7E21" w:rsidRDefault="007805D4" w:rsidP="00941D20">
            <w:pPr>
              <w:numPr>
                <w:ilvl w:val="0"/>
                <w:numId w:val="21"/>
              </w:numPr>
              <w:spacing w:after="0" w:line="240" w:lineRule="auto"/>
              <w:contextualSpacing/>
              <w:jc w:val="both"/>
              <w:rPr>
                <w:rFonts w:ascii="Poppins" w:eastAsia="SimSun" w:hAnsi="Poppins" w:cs="Poppins"/>
                <w:sz w:val="18"/>
                <w:szCs w:val="18"/>
                <w:lang w:eastAsia="zh-CN"/>
              </w:rPr>
            </w:pPr>
            <w:r w:rsidRPr="004D7E21">
              <w:rPr>
                <w:rFonts w:ascii="Poppins" w:eastAsia="SimSun" w:hAnsi="Poppins" w:cs="Poppins"/>
                <w:sz w:val="18"/>
                <w:szCs w:val="18"/>
                <w:lang w:eastAsia="zh-CN"/>
              </w:rPr>
              <w:t xml:space="preserve">Site drainage returns to WwTW.  Small areas of surface water runoff within the installation are currently drained to the WwTW FSTs.  These drains will be redirected to the WwTW inlet </w:t>
            </w:r>
          </w:p>
          <w:p w14:paraId="5CA69F05"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7F2F6857"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Isolate systems as appropriate and initiate spill response procedure, cleaning up spill and disposal of wastes appropriately.</w:t>
            </w:r>
          </w:p>
          <w:p w14:paraId="58C2D687"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Arrange repairs.</w:t>
            </w:r>
          </w:p>
        </w:tc>
        <w:tc>
          <w:tcPr>
            <w:tcW w:w="1558" w:type="dxa"/>
          </w:tcPr>
          <w:p w14:paraId="45ACDBE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Likely</w:t>
            </w:r>
          </w:p>
        </w:tc>
        <w:tc>
          <w:tcPr>
            <w:tcW w:w="1699" w:type="dxa"/>
            <w:gridSpan w:val="2"/>
          </w:tcPr>
          <w:p w14:paraId="137BEA42"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Minor / negligible</w:t>
            </w:r>
          </w:p>
        </w:tc>
        <w:tc>
          <w:tcPr>
            <w:tcW w:w="1422" w:type="dxa"/>
          </w:tcPr>
          <w:p w14:paraId="13D69D34"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Minor risk</w:t>
            </w:r>
          </w:p>
        </w:tc>
      </w:tr>
      <w:tr w:rsidR="00951799" w:rsidRPr="007805D4" w14:paraId="6D72E9C0" w14:textId="77777777" w:rsidTr="003345BC">
        <w:trPr>
          <w:gridBefore w:val="1"/>
          <w:gridAfter w:val="1"/>
          <w:wBefore w:w="9" w:type="dxa"/>
          <w:wAfter w:w="6" w:type="dxa"/>
        </w:trPr>
        <w:tc>
          <w:tcPr>
            <w:tcW w:w="1837" w:type="dxa"/>
          </w:tcPr>
          <w:p w14:paraId="23EA5B7D"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 xml:space="preserve">Major failure of digester or other sludge storage tank or associated pipework leading </w:t>
            </w:r>
            <w:r w:rsidRPr="007805D4">
              <w:rPr>
                <w:rFonts w:ascii="Poppins" w:eastAsia="SimSun" w:hAnsi="Poppins" w:cs="Poppins"/>
                <w:sz w:val="18"/>
                <w:szCs w:val="18"/>
                <w:lang w:eastAsia="zh-CN"/>
              </w:rPr>
              <w:lastRenderedPageBreak/>
              <w:t>to large scale sludge loss/spillage</w:t>
            </w:r>
          </w:p>
        </w:tc>
        <w:tc>
          <w:tcPr>
            <w:tcW w:w="1700" w:type="dxa"/>
          </w:tcPr>
          <w:p w14:paraId="70C4850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Ground / groundwater / surface waters</w:t>
            </w:r>
          </w:p>
        </w:tc>
        <w:tc>
          <w:tcPr>
            <w:tcW w:w="1558" w:type="dxa"/>
            <w:gridSpan w:val="2"/>
          </w:tcPr>
          <w:p w14:paraId="3E2F52DA"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Overland runoff / infiltration / drainage systems</w:t>
            </w:r>
          </w:p>
        </w:tc>
        <w:tc>
          <w:tcPr>
            <w:tcW w:w="4676" w:type="dxa"/>
          </w:tcPr>
          <w:p w14:paraId="388A46CB"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2BCAAC2B"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Design and construction of assets is governed by relevant YW technical standards to ensure it is fit for purpose.</w:t>
            </w:r>
          </w:p>
          <w:p w14:paraId="193BBFF8"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Infrastructure maintenance and inspections.</w:t>
            </w:r>
          </w:p>
          <w:p w14:paraId="24405879" w14:textId="31D5B03D"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Existing and planned bunding</w:t>
            </w:r>
            <w:r w:rsidR="004D7E21">
              <w:rPr>
                <w:rFonts w:ascii="Poppins" w:eastAsia="SimSun" w:hAnsi="Poppins" w:cs="Poppins"/>
                <w:sz w:val="18"/>
                <w:szCs w:val="18"/>
                <w:lang w:eastAsia="zh-CN"/>
              </w:rPr>
              <w:t xml:space="preserve"> </w:t>
            </w:r>
            <w:r w:rsidRPr="007805D4">
              <w:rPr>
                <w:rFonts w:ascii="Poppins" w:eastAsia="SimSun" w:hAnsi="Poppins" w:cs="Poppins"/>
                <w:sz w:val="18"/>
                <w:szCs w:val="18"/>
                <w:lang w:eastAsia="zh-CN"/>
              </w:rPr>
              <w:t>/</w:t>
            </w:r>
            <w:r w:rsidR="004D7E21">
              <w:rPr>
                <w:rFonts w:ascii="Poppins" w:eastAsia="SimSun" w:hAnsi="Poppins" w:cs="Poppins"/>
                <w:sz w:val="18"/>
                <w:szCs w:val="18"/>
                <w:lang w:eastAsia="zh-CN"/>
              </w:rPr>
              <w:t xml:space="preserve"> </w:t>
            </w:r>
            <w:r w:rsidRPr="007805D4">
              <w:rPr>
                <w:rFonts w:ascii="Poppins" w:eastAsia="SimSun" w:hAnsi="Poppins" w:cs="Poppins"/>
                <w:sz w:val="18"/>
                <w:szCs w:val="18"/>
                <w:lang w:eastAsia="zh-CN"/>
              </w:rPr>
              <w:t>secondary containment</w:t>
            </w:r>
            <w:r w:rsidRPr="007805D4">
              <w:rPr>
                <w:rFonts w:ascii="Poppins" w:eastAsia="Calibri" w:hAnsi="Poppins" w:cs="Poppins"/>
                <w:sz w:val="18"/>
                <w:szCs w:val="18"/>
              </w:rPr>
              <w:t>.</w:t>
            </w:r>
          </w:p>
          <w:p w14:paraId="538EE975" w14:textId="673F0126"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Site drainage returns to WwTW.  Small areas of surface water runoff within the installation are currently drained to the WwTW FSTs.  These drains will be redirected to the WwTW inlet.</w:t>
            </w:r>
          </w:p>
          <w:p w14:paraId="2C9EFCA1"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6A4E7F22"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Cancel all sludge deliveries to site.</w:t>
            </w:r>
          </w:p>
          <w:p w14:paraId="6070229A"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Isolate systems as appropriate and initiate spill response procedure, cleaning up spill and disposal of wastes appropriately.</w:t>
            </w:r>
          </w:p>
        </w:tc>
        <w:tc>
          <w:tcPr>
            <w:tcW w:w="1558" w:type="dxa"/>
          </w:tcPr>
          <w:p w14:paraId="48EC5353"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Highly unlikely</w:t>
            </w:r>
          </w:p>
        </w:tc>
        <w:tc>
          <w:tcPr>
            <w:tcW w:w="1699" w:type="dxa"/>
            <w:gridSpan w:val="2"/>
          </w:tcPr>
          <w:p w14:paraId="2D4567C7"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Severe</w:t>
            </w:r>
          </w:p>
        </w:tc>
        <w:tc>
          <w:tcPr>
            <w:tcW w:w="1422" w:type="dxa"/>
          </w:tcPr>
          <w:p w14:paraId="5AAB01DA" w14:textId="778A112F" w:rsidR="007805D4" w:rsidRPr="007805D4" w:rsidRDefault="004D7E21"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Moderate</w:t>
            </w:r>
            <w:r>
              <w:rPr>
                <w:rFonts w:ascii="Poppins" w:eastAsia="SimSun" w:hAnsi="Poppins" w:cs="Poppins"/>
                <w:sz w:val="18"/>
                <w:szCs w:val="18"/>
                <w:lang w:eastAsia="zh-CN"/>
              </w:rPr>
              <w:t xml:space="preserve"> </w:t>
            </w:r>
            <w:r w:rsidRPr="007805D4">
              <w:rPr>
                <w:rFonts w:ascii="Poppins" w:eastAsia="SimSun" w:hAnsi="Poppins" w:cs="Poppins"/>
                <w:sz w:val="18"/>
                <w:szCs w:val="18"/>
                <w:lang w:eastAsia="zh-CN"/>
              </w:rPr>
              <w:t>/</w:t>
            </w:r>
            <w:r>
              <w:rPr>
                <w:rFonts w:ascii="Poppins" w:eastAsia="SimSun" w:hAnsi="Poppins" w:cs="Poppins"/>
                <w:sz w:val="18"/>
                <w:szCs w:val="18"/>
                <w:lang w:eastAsia="zh-CN"/>
              </w:rPr>
              <w:t xml:space="preserve"> </w:t>
            </w:r>
            <w:r w:rsidRPr="007805D4">
              <w:rPr>
                <w:rFonts w:ascii="Poppins" w:eastAsia="SimSun" w:hAnsi="Poppins" w:cs="Poppins"/>
                <w:sz w:val="18"/>
                <w:szCs w:val="18"/>
                <w:lang w:eastAsia="zh-CN"/>
              </w:rPr>
              <w:t>Low risk</w:t>
            </w:r>
          </w:p>
        </w:tc>
      </w:tr>
      <w:tr w:rsidR="007805D4" w:rsidRPr="007805D4" w14:paraId="3436F686" w14:textId="77777777" w:rsidTr="00951799">
        <w:trPr>
          <w:cantSplit/>
        </w:trPr>
        <w:tc>
          <w:tcPr>
            <w:tcW w:w="14465" w:type="dxa"/>
            <w:gridSpan w:val="11"/>
            <w:shd w:val="clear" w:color="auto" w:fill="F2F2F2" w:themeFill="background1" w:themeFillShade="F2"/>
          </w:tcPr>
          <w:p w14:paraId="425439B7" w14:textId="77777777" w:rsidR="007805D4" w:rsidRPr="007805D4" w:rsidRDefault="007805D4" w:rsidP="00476553">
            <w:pPr>
              <w:spacing w:beforeLines="40" w:before="96" w:after="40" w:line="240" w:lineRule="auto"/>
              <w:rPr>
                <w:rFonts w:ascii="Poppins" w:eastAsia="SimSun" w:hAnsi="Poppins" w:cs="Poppins"/>
                <w:sz w:val="18"/>
                <w:szCs w:val="18"/>
                <w:lang w:eastAsia="zh-CN"/>
              </w:rPr>
            </w:pPr>
            <w:r w:rsidRPr="007805D4">
              <w:rPr>
                <w:rFonts w:ascii="Poppins" w:eastAsia="SimSun" w:hAnsi="Poppins" w:cs="Poppins"/>
                <w:b/>
                <w:sz w:val="18"/>
                <w:szCs w:val="18"/>
                <w:lang w:eastAsia="zh-CN"/>
              </w:rPr>
              <w:t>Biogas pipework, valves, vents</w:t>
            </w:r>
          </w:p>
        </w:tc>
      </w:tr>
      <w:tr w:rsidR="00951799" w:rsidRPr="007805D4" w14:paraId="620E0E14" w14:textId="77777777" w:rsidTr="003345BC">
        <w:tc>
          <w:tcPr>
            <w:tcW w:w="1846" w:type="dxa"/>
            <w:gridSpan w:val="2"/>
          </w:tcPr>
          <w:p w14:paraId="3B9C52BD"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 xml:space="preserve">Failure of biogas pipework, valves and biogas holder (corrosion, cracks, material defects etc) leading to </w:t>
            </w:r>
            <w:r w:rsidRPr="007805D4">
              <w:rPr>
                <w:rFonts w:ascii="Poppins" w:eastAsia="SimSun" w:hAnsi="Poppins" w:cs="Poppins"/>
                <w:b/>
                <w:bCs/>
                <w:sz w:val="18"/>
                <w:szCs w:val="18"/>
                <w:lang w:eastAsia="zh-CN"/>
              </w:rPr>
              <w:t>minor</w:t>
            </w:r>
            <w:r w:rsidRPr="007805D4">
              <w:rPr>
                <w:rFonts w:ascii="Poppins" w:eastAsia="SimSun" w:hAnsi="Poppins" w:cs="Poppins"/>
                <w:sz w:val="18"/>
                <w:szCs w:val="18"/>
                <w:lang w:eastAsia="zh-CN"/>
              </w:rPr>
              <w:t xml:space="preserve"> release of biogas and slight fire / explosion risk</w:t>
            </w:r>
          </w:p>
        </w:tc>
        <w:tc>
          <w:tcPr>
            <w:tcW w:w="1700" w:type="dxa"/>
          </w:tcPr>
          <w:p w14:paraId="771EF14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Nearby human receptors</w:t>
            </w:r>
          </w:p>
          <w:p w14:paraId="791A2739"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Local air quality and global climate impacts</w:t>
            </w:r>
          </w:p>
        </w:tc>
        <w:tc>
          <w:tcPr>
            <w:tcW w:w="1416" w:type="dxa"/>
          </w:tcPr>
          <w:p w14:paraId="7B5FA306"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Air</w:t>
            </w:r>
          </w:p>
        </w:tc>
        <w:tc>
          <w:tcPr>
            <w:tcW w:w="4818" w:type="dxa"/>
            <w:gridSpan w:val="2"/>
          </w:tcPr>
          <w:p w14:paraId="1EFE1DFC"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15D10951"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Design and construction of pipework is governed by relevant YW technical standards to ensure it is fit for purpose.</w:t>
            </w:r>
          </w:p>
          <w:p w14:paraId="0F5F27D2"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Most biogas pipework operates at low pressures.</w:t>
            </w:r>
          </w:p>
          <w:p w14:paraId="50874A07"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Pipework/gas holders protected from excessive pressure by pressure relief valves.</w:t>
            </w:r>
          </w:p>
          <w:p w14:paraId="712FC4DC"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Pipework is above ground where possible to facilitate inspection and maintenance.</w:t>
            </w:r>
          </w:p>
          <w:p w14:paraId="50A00F5A"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Maintenance schedule defined as part of LDAR strategy at site.</w:t>
            </w:r>
          </w:p>
          <w:p w14:paraId="066EDBDC" w14:textId="6AF7B33C" w:rsidR="007805D4" w:rsidRPr="007805D4" w:rsidRDefault="007805D4" w:rsidP="00AD0A5B">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Requirements around use of ATEX rated equipment control risk of leak leading to fire/explosion.</w:t>
            </w:r>
          </w:p>
          <w:p w14:paraId="65F53440"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0AE27756"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Consider need to isolate pipework.</w:t>
            </w:r>
          </w:p>
          <w:p w14:paraId="2D08C9ED" w14:textId="77777777" w:rsidR="007805D4" w:rsidRPr="007805D4" w:rsidRDefault="007805D4" w:rsidP="007805D4">
            <w:pPr>
              <w:numPr>
                <w:ilvl w:val="0"/>
                <w:numId w:val="21"/>
              </w:numPr>
              <w:spacing w:after="0" w:line="240" w:lineRule="auto"/>
              <w:contextualSpacing/>
              <w:rPr>
                <w:rFonts w:ascii="Poppins" w:eastAsia="SimSun" w:hAnsi="Poppins" w:cs="Poppins"/>
                <w:b/>
                <w:sz w:val="18"/>
                <w:szCs w:val="18"/>
                <w:lang w:eastAsia="zh-CN"/>
              </w:rPr>
            </w:pPr>
            <w:r w:rsidRPr="007805D4">
              <w:rPr>
                <w:rFonts w:ascii="Poppins" w:eastAsia="SimSun" w:hAnsi="Poppins" w:cs="Poppins"/>
                <w:sz w:val="18"/>
                <w:szCs w:val="18"/>
                <w:lang w:eastAsia="zh-CN"/>
              </w:rPr>
              <w:t>Consider need to initiate emergency response procedures.</w:t>
            </w:r>
          </w:p>
          <w:p w14:paraId="45375EF7" w14:textId="77777777" w:rsidR="007805D4" w:rsidRPr="007805D4" w:rsidRDefault="007805D4" w:rsidP="007805D4">
            <w:pPr>
              <w:numPr>
                <w:ilvl w:val="0"/>
                <w:numId w:val="21"/>
              </w:numPr>
              <w:spacing w:after="0" w:line="240" w:lineRule="auto"/>
              <w:contextualSpacing/>
              <w:rPr>
                <w:rFonts w:ascii="Poppins" w:eastAsia="SimSun" w:hAnsi="Poppins" w:cs="Poppins"/>
                <w:b/>
                <w:sz w:val="18"/>
                <w:szCs w:val="18"/>
                <w:lang w:eastAsia="zh-CN"/>
              </w:rPr>
            </w:pPr>
            <w:r w:rsidRPr="007805D4">
              <w:rPr>
                <w:rFonts w:ascii="Poppins" w:eastAsia="SimSun" w:hAnsi="Poppins" w:cs="Poppins"/>
                <w:sz w:val="18"/>
                <w:szCs w:val="18"/>
                <w:lang w:eastAsia="zh-CN"/>
              </w:rPr>
              <w:t>Arrange repair to affected asset.</w:t>
            </w:r>
          </w:p>
        </w:tc>
        <w:tc>
          <w:tcPr>
            <w:tcW w:w="1558" w:type="dxa"/>
          </w:tcPr>
          <w:p w14:paraId="784309B6"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Unlikely</w:t>
            </w:r>
          </w:p>
        </w:tc>
        <w:tc>
          <w:tcPr>
            <w:tcW w:w="1687" w:type="dxa"/>
          </w:tcPr>
          <w:p w14:paraId="3ED87F1B"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Minor / negligible</w:t>
            </w:r>
          </w:p>
        </w:tc>
        <w:tc>
          <w:tcPr>
            <w:tcW w:w="1440" w:type="dxa"/>
            <w:gridSpan w:val="3"/>
          </w:tcPr>
          <w:p w14:paraId="12910F8B"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Negligible risk</w:t>
            </w:r>
          </w:p>
        </w:tc>
      </w:tr>
      <w:tr w:rsidR="00951799" w:rsidRPr="007805D4" w14:paraId="23BE2C3A" w14:textId="77777777" w:rsidTr="003345BC">
        <w:tc>
          <w:tcPr>
            <w:tcW w:w="1846" w:type="dxa"/>
            <w:gridSpan w:val="2"/>
          </w:tcPr>
          <w:p w14:paraId="503EF326"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Failure of biogas pipework, valves and biogas holder (corrosion, cracks, material defects etc) leading to major release of biogas and fire/ explosion risk</w:t>
            </w:r>
          </w:p>
        </w:tc>
        <w:tc>
          <w:tcPr>
            <w:tcW w:w="1700" w:type="dxa"/>
          </w:tcPr>
          <w:p w14:paraId="1A02E98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Nearby human receptors</w:t>
            </w:r>
          </w:p>
          <w:p w14:paraId="7CC48E2A"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Local air quality and global climate impacts</w:t>
            </w:r>
          </w:p>
        </w:tc>
        <w:tc>
          <w:tcPr>
            <w:tcW w:w="1416" w:type="dxa"/>
          </w:tcPr>
          <w:p w14:paraId="1B8EEA14"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Air</w:t>
            </w:r>
          </w:p>
        </w:tc>
        <w:tc>
          <w:tcPr>
            <w:tcW w:w="4818" w:type="dxa"/>
            <w:gridSpan w:val="2"/>
          </w:tcPr>
          <w:p w14:paraId="54B6CED1"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042901B2"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Design and construction of pipework is governed by relevant YW technical standards to ensure it is fit for purpose.</w:t>
            </w:r>
          </w:p>
          <w:p w14:paraId="3432AE01"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Most biogas pipework operates at low pressures.  Pipework/gas holders protected from excessive pressure by pressure relief valves.</w:t>
            </w:r>
          </w:p>
          <w:p w14:paraId="174A39E0"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Pipework is above ground where possible to facilitate inspection and maintenance.</w:t>
            </w:r>
          </w:p>
          <w:p w14:paraId="159B143A"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Maintenance schedule defined as part of LDAR strategy at site.</w:t>
            </w:r>
          </w:p>
          <w:p w14:paraId="7963C457"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Requirements around use of ATEX rated equipment control risk of leak leading to fire/explosion. </w:t>
            </w:r>
          </w:p>
          <w:p w14:paraId="0502B450" w14:textId="124F92E5" w:rsidR="007805D4" w:rsidRPr="004D7E21" w:rsidRDefault="007805D4" w:rsidP="004A1E11">
            <w:pPr>
              <w:numPr>
                <w:ilvl w:val="0"/>
                <w:numId w:val="21"/>
              </w:numPr>
              <w:spacing w:after="0" w:line="240" w:lineRule="auto"/>
              <w:contextualSpacing/>
              <w:rPr>
                <w:rFonts w:ascii="Poppins" w:eastAsia="SimSun" w:hAnsi="Poppins" w:cs="Poppins"/>
                <w:sz w:val="18"/>
                <w:szCs w:val="18"/>
                <w:lang w:eastAsia="zh-CN"/>
              </w:rPr>
            </w:pPr>
            <w:r w:rsidRPr="004D7E21">
              <w:rPr>
                <w:rFonts w:ascii="Poppins" w:eastAsia="SimSun" w:hAnsi="Poppins" w:cs="Poppins"/>
                <w:sz w:val="18"/>
                <w:szCs w:val="18"/>
                <w:lang w:eastAsia="zh-CN"/>
              </w:rPr>
              <w:t xml:space="preserve">Standard operational H&amp;S requires staff to wear personal gas monitors at all times, these will detect large scale leakage from pipes. (PPE and personal gas detectors represent the final </w:t>
            </w:r>
            <w:r w:rsidRPr="004D7E21">
              <w:rPr>
                <w:rFonts w:ascii="Poppins" w:eastAsia="SimSun" w:hAnsi="Poppins" w:cs="Poppins"/>
                <w:sz w:val="18"/>
                <w:szCs w:val="18"/>
                <w:lang w:eastAsia="zh-CN"/>
              </w:rPr>
              <w:lastRenderedPageBreak/>
              <w:t>layer of protection from a safety perspective and are not relied upon for detection).</w:t>
            </w:r>
          </w:p>
          <w:p w14:paraId="53CC016E"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545FC4C8"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Immediately follow safety control mechanisms in place to isolate pipework / equipment.</w:t>
            </w:r>
          </w:p>
          <w:p w14:paraId="790D151A"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Consider need to initiate emergency response procedures.</w:t>
            </w:r>
          </w:p>
        </w:tc>
        <w:tc>
          <w:tcPr>
            <w:tcW w:w="1558" w:type="dxa"/>
          </w:tcPr>
          <w:p w14:paraId="05EF8E98"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Highly Unlikely</w:t>
            </w:r>
          </w:p>
        </w:tc>
        <w:tc>
          <w:tcPr>
            <w:tcW w:w="1687" w:type="dxa"/>
          </w:tcPr>
          <w:p w14:paraId="523E1258"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Medium</w:t>
            </w:r>
          </w:p>
        </w:tc>
        <w:tc>
          <w:tcPr>
            <w:tcW w:w="1440" w:type="dxa"/>
            <w:gridSpan w:val="3"/>
          </w:tcPr>
          <w:p w14:paraId="32528B7E"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28941321" w14:textId="77777777" w:rsidTr="003345BC">
        <w:trPr>
          <w:cantSplit/>
        </w:trPr>
        <w:tc>
          <w:tcPr>
            <w:tcW w:w="1846" w:type="dxa"/>
            <w:gridSpan w:val="2"/>
          </w:tcPr>
          <w:p w14:paraId="51B38389"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Breakdown or other damage to on site gas consumers e.g. CHP/boiler leading to disposal of biogas without energy recovery</w:t>
            </w:r>
          </w:p>
        </w:tc>
        <w:tc>
          <w:tcPr>
            <w:tcW w:w="1700" w:type="dxa"/>
          </w:tcPr>
          <w:p w14:paraId="6ECA1022"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Nearby human receptors</w:t>
            </w:r>
          </w:p>
          <w:p w14:paraId="58D9E1BC"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Local air quality and global climate impacts</w:t>
            </w:r>
          </w:p>
        </w:tc>
        <w:tc>
          <w:tcPr>
            <w:tcW w:w="1416" w:type="dxa"/>
          </w:tcPr>
          <w:p w14:paraId="39B5CD07"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Air</w:t>
            </w:r>
          </w:p>
        </w:tc>
        <w:tc>
          <w:tcPr>
            <w:tcW w:w="4818" w:type="dxa"/>
            <w:gridSpan w:val="2"/>
          </w:tcPr>
          <w:p w14:paraId="0E875652"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790733EB"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Site is designed to minimise risk of uncontrolled release to air.</w:t>
            </w:r>
          </w:p>
          <w:p w14:paraId="245FBE0D"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Operational and maintenance controls in place to ensure reliability of equipment and minimise requirement to send biogas to flare.</w:t>
            </w:r>
          </w:p>
          <w:p w14:paraId="080ABFFC" w14:textId="11C30CCC"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There are two CHP engines and one boiler with biogas firing capability, therefore flaring rarely occurs.</w:t>
            </w:r>
          </w:p>
          <w:p w14:paraId="1F73D00F"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39019B0D"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Any remaining capacity on on-site gas storage will fill.</w:t>
            </w:r>
          </w:p>
          <w:p w14:paraId="0DA62621"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Once gas storage is full flare will operate, ensuring proper combustion of biogas.</w:t>
            </w:r>
          </w:p>
          <w:p w14:paraId="3A1182C0"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If flare fails, gas will vent through PRVs to prevent damage to site gas system.</w:t>
            </w:r>
          </w:p>
        </w:tc>
        <w:tc>
          <w:tcPr>
            <w:tcW w:w="1558" w:type="dxa"/>
          </w:tcPr>
          <w:p w14:paraId="4CD1D385"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Unlikely</w:t>
            </w:r>
          </w:p>
        </w:tc>
        <w:tc>
          <w:tcPr>
            <w:tcW w:w="1687" w:type="dxa"/>
          </w:tcPr>
          <w:p w14:paraId="28AC720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Mild</w:t>
            </w:r>
          </w:p>
        </w:tc>
        <w:tc>
          <w:tcPr>
            <w:tcW w:w="1440" w:type="dxa"/>
            <w:gridSpan w:val="3"/>
          </w:tcPr>
          <w:p w14:paraId="7A9E5E49"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1257605C" w14:textId="77777777" w:rsidTr="003345BC">
        <w:tc>
          <w:tcPr>
            <w:tcW w:w="1846" w:type="dxa"/>
            <w:gridSpan w:val="2"/>
          </w:tcPr>
          <w:p w14:paraId="53AE8F29"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Failure of flare leading to release of unburnt biogas to atmosphere</w:t>
            </w:r>
          </w:p>
        </w:tc>
        <w:tc>
          <w:tcPr>
            <w:tcW w:w="1700" w:type="dxa"/>
          </w:tcPr>
          <w:p w14:paraId="6AB6FE3F"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Nearby human receptors</w:t>
            </w:r>
          </w:p>
          <w:p w14:paraId="0944956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Local air quality and global climate impacts</w:t>
            </w:r>
          </w:p>
        </w:tc>
        <w:tc>
          <w:tcPr>
            <w:tcW w:w="1416" w:type="dxa"/>
          </w:tcPr>
          <w:p w14:paraId="2723393A"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Air</w:t>
            </w:r>
          </w:p>
        </w:tc>
        <w:tc>
          <w:tcPr>
            <w:tcW w:w="4818" w:type="dxa"/>
            <w:gridSpan w:val="2"/>
          </w:tcPr>
          <w:p w14:paraId="0D572623"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635ECBCD"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Flare only used as backup in event of problems elsewhere on site.</w:t>
            </w:r>
          </w:p>
          <w:p w14:paraId="46BD756D"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Operational and maintenance controls in place to minimise requirement to send biogas to flare.</w:t>
            </w:r>
          </w:p>
          <w:p w14:paraId="6D4EBD66"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Flare has control system that ensures ignition e.g., flame detection.</w:t>
            </w:r>
          </w:p>
          <w:p w14:paraId="00C4D3FD" w14:textId="02CEAB08"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Maintenance programme in place to ensure that flare is always in good operational condition.</w:t>
            </w:r>
          </w:p>
          <w:p w14:paraId="1A0553F9"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597340BD"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Raise urgent maintenance request for repairs to flare.</w:t>
            </w:r>
          </w:p>
          <w:p w14:paraId="35876A5D"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If flare fails, valve will automatically shut down flow of gas to flare.</w:t>
            </w:r>
          </w:p>
          <w:p w14:paraId="27084FE6"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Once all site gas containment is full, pressure will release through PRVs to prevent damage to equipment and uncontrolled release of biogas.</w:t>
            </w:r>
          </w:p>
        </w:tc>
        <w:tc>
          <w:tcPr>
            <w:tcW w:w="1558" w:type="dxa"/>
          </w:tcPr>
          <w:p w14:paraId="04EDE36E"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Unlikely</w:t>
            </w:r>
          </w:p>
        </w:tc>
        <w:tc>
          <w:tcPr>
            <w:tcW w:w="1687" w:type="dxa"/>
          </w:tcPr>
          <w:p w14:paraId="353AA145"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Mild</w:t>
            </w:r>
          </w:p>
        </w:tc>
        <w:tc>
          <w:tcPr>
            <w:tcW w:w="1440" w:type="dxa"/>
            <w:gridSpan w:val="3"/>
          </w:tcPr>
          <w:p w14:paraId="25499149"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7401E371" w14:textId="77777777" w:rsidTr="003345BC">
        <w:tc>
          <w:tcPr>
            <w:tcW w:w="1846" w:type="dxa"/>
            <w:gridSpan w:val="2"/>
          </w:tcPr>
          <w:p w14:paraId="3D185DCC"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 xml:space="preserve">Incorrect setting or damage to emergency pressure relief valves leads to premature release of gas or valve fails to reseat after release leading to </w:t>
            </w:r>
            <w:r w:rsidRPr="007805D4">
              <w:rPr>
                <w:rFonts w:ascii="Poppins" w:eastAsia="SimSun" w:hAnsi="Poppins" w:cs="Poppins"/>
                <w:sz w:val="18"/>
                <w:szCs w:val="18"/>
                <w:lang w:eastAsia="zh-CN"/>
              </w:rPr>
              <w:lastRenderedPageBreak/>
              <w:t>uncontrolled release of biogas to atmosphere</w:t>
            </w:r>
          </w:p>
        </w:tc>
        <w:tc>
          <w:tcPr>
            <w:tcW w:w="1700" w:type="dxa"/>
          </w:tcPr>
          <w:p w14:paraId="6AD333AC"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Local air quality and global climate impacts</w:t>
            </w:r>
          </w:p>
        </w:tc>
        <w:tc>
          <w:tcPr>
            <w:tcW w:w="1416" w:type="dxa"/>
          </w:tcPr>
          <w:p w14:paraId="43724226"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Air</w:t>
            </w:r>
          </w:p>
        </w:tc>
        <w:tc>
          <w:tcPr>
            <w:tcW w:w="4818" w:type="dxa"/>
            <w:gridSpan w:val="2"/>
          </w:tcPr>
          <w:p w14:paraId="11607E9B"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3DE5A8C5"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Inspection and maintenance of PRVs carried out on a routine basis to ensure they are set and operate correctly.</w:t>
            </w:r>
          </w:p>
          <w:p w14:paraId="2E886AB4"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Checks on PRVs part of normal operational routine.</w:t>
            </w:r>
          </w:p>
          <w:p w14:paraId="42724CC3" w14:textId="4D83F8DE"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Over-pressure alarms in control system will alert site staff to incidents that could trigger PRV release.</w:t>
            </w:r>
          </w:p>
          <w:p w14:paraId="35F7B8B8"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7B76498D"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Follow management procedures to ensure that the valves are re-seated/pressure setting adjusted rapidly and without putting staff at risk.</w:t>
            </w:r>
          </w:p>
        </w:tc>
        <w:tc>
          <w:tcPr>
            <w:tcW w:w="1558" w:type="dxa"/>
          </w:tcPr>
          <w:p w14:paraId="03F096D8"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Unlikely</w:t>
            </w:r>
          </w:p>
        </w:tc>
        <w:tc>
          <w:tcPr>
            <w:tcW w:w="1687" w:type="dxa"/>
          </w:tcPr>
          <w:p w14:paraId="3FD7903F"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Minor / negligible</w:t>
            </w:r>
          </w:p>
        </w:tc>
        <w:tc>
          <w:tcPr>
            <w:tcW w:w="1440" w:type="dxa"/>
            <w:gridSpan w:val="3"/>
          </w:tcPr>
          <w:p w14:paraId="4BC5881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Negligible risk</w:t>
            </w:r>
          </w:p>
        </w:tc>
      </w:tr>
      <w:tr w:rsidR="00951799" w:rsidRPr="007805D4" w14:paraId="1EDB6CC1" w14:textId="77777777" w:rsidTr="003345BC">
        <w:tc>
          <w:tcPr>
            <w:tcW w:w="1846" w:type="dxa"/>
            <w:gridSpan w:val="2"/>
          </w:tcPr>
          <w:p w14:paraId="077F5C24"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Digester foaming blocks gas lines, leading to release of biogas and/or foam through PRVs</w:t>
            </w:r>
          </w:p>
        </w:tc>
        <w:tc>
          <w:tcPr>
            <w:tcW w:w="1700" w:type="dxa"/>
          </w:tcPr>
          <w:p w14:paraId="3BFE8EBF"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Local air quality and global climate impacts</w:t>
            </w:r>
          </w:p>
        </w:tc>
        <w:tc>
          <w:tcPr>
            <w:tcW w:w="1416" w:type="dxa"/>
          </w:tcPr>
          <w:p w14:paraId="2FB6FBAC"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Air</w:t>
            </w:r>
          </w:p>
        </w:tc>
        <w:tc>
          <w:tcPr>
            <w:tcW w:w="4818" w:type="dxa"/>
            <w:gridSpan w:val="2"/>
          </w:tcPr>
          <w:p w14:paraId="19E1B780"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03495DF4"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Feed rate to digesters is controlled to prevent organic overloading.</w:t>
            </w:r>
          </w:p>
          <w:p w14:paraId="30A612D0"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Digester mixing is regularly assessed as part of operational checks to ensure that it is functioning effectively.</w:t>
            </w:r>
          </w:p>
          <w:p w14:paraId="6E2C7FBE"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Feedstock assessment ensures that nature and quality of feedstock is understood.</w:t>
            </w:r>
          </w:p>
          <w:p w14:paraId="3C2D861F" w14:textId="5AEF47DF"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Final effluent spray / Anti-foam system is fitted to digesters to control foaming.</w:t>
            </w:r>
          </w:p>
          <w:p w14:paraId="397F34E5"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601D02AA"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Follow site procedures for dealing with foaming.</w:t>
            </w:r>
          </w:p>
          <w:p w14:paraId="53FC2CEA"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Investigate cause and implement preventive measures.</w:t>
            </w:r>
          </w:p>
          <w:p w14:paraId="0C540233"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Ensure that PRVs are not blocked with foam and operating correctly to protect tanks.</w:t>
            </w:r>
          </w:p>
          <w:p w14:paraId="0DE5154E"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Ensure PRVs reseat once pressure in headspace returns to normal levels.</w:t>
            </w:r>
          </w:p>
        </w:tc>
        <w:tc>
          <w:tcPr>
            <w:tcW w:w="1558" w:type="dxa"/>
          </w:tcPr>
          <w:p w14:paraId="286EFC59"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Unlikely</w:t>
            </w:r>
          </w:p>
        </w:tc>
        <w:tc>
          <w:tcPr>
            <w:tcW w:w="1687" w:type="dxa"/>
          </w:tcPr>
          <w:p w14:paraId="44D39FD9"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Mild</w:t>
            </w:r>
          </w:p>
        </w:tc>
        <w:tc>
          <w:tcPr>
            <w:tcW w:w="1440" w:type="dxa"/>
            <w:gridSpan w:val="3"/>
          </w:tcPr>
          <w:p w14:paraId="05A8268C"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3AD1AC37" w14:textId="77777777" w:rsidTr="003345BC">
        <w:trPr>
          <w:cantSplit/>
        </w:trPr>
        <w:tc>
          <w:tcPr>
            <w:tcW w:w="1846" w:type="dxa"/>
            <w:gridSpan w:val="2"/>
          </w:tcPr>
          <w:p w14:paraId="62E7DBD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 xml:space="preserve">Spillage / loss of containment of liquids </w:t>
            </w:r>
          </w:p>
        </w:tc>
        <w:tc>
          <w:tcPr>
            <w:tcW w:w="1700" w:type="dxa"/>
          </w:tcPr>
          <w:p w14:paraId="73E8A123"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Ground / groundwater / surface waters</w:t>
            </w:r>
          </w:p>
        </w:tc>
        <w:tc>
          <w:tcPr>
            <w:tcW w:w="1416" w:type="dxa"/>
          </w:tcPr>
          <w:p w14:paraId="3E7AAF1B"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Overland runoff / infiltration / drainage systems</w:t>
            </w:r>
          </w:p>
        </w:tc>
        <w:tc>
          <w:tcPr>
            <w:tcW w:w="4818" w:type="dxa"/>
            <w:gridSpan w:val="2"/>
          </w:tcPr>
          <w:p w14:paraId="039C6E29"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233ADC16"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Checks on condensate traps and valves are part of regular operational routine.</w:t>
            </w:r>
          </w:p>
          <w:p w14:paraId="2419EC85"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 xml:space="preserve">Condensate runs to site drainage for treatment. </w:t>
            </w:r>
          </w:p>
          <w:p w14:paraId="11936A75" w14:textId="28A52415"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Digester operation is controlled to minimise risk of foaming, which could lead to blockages on condensate system.</w:t>
            </w:r>
          </w:p>
          <w:p w14:paraId="5F67D08F"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2CB8F7C9"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Clear up any spills.</w:t>
            </w:r>
          </w:p>
          <w:p w14:paraId="4F069AD5"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Ensure all valves are operating correctly.</w:t>
            </w:r>
          </w:p>
        </w:tc>
        <w:tc>
          <w:tcPr>
            <w:tcW w:w="1558" w:type="dxa"/>
          </w:tcPr>
          <w:p w14:paraId="4B6EBBCA"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Unlikely</w:t>
            </w:r>
          </w:p>
        </w:tc>
        <w:tc>
          <w:tcPr>
            <w:tcW w:w="1687" w:type="dxa"/>
          </w:tcPr>
          <w:p w14:paraId="7227092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Minor / negligible</w:t>
            </w:r>
          </w:p>
        </w:tc>
        <w:tc>
          <w:tcPr>
            <w:tcW w:w="1440" w:type="dxa"/>
            <w:gridSpan w:val="3"/>
          </w:tcPr>
          <w:p w14:paraId="5E95FB2C"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Negligible risk</w:t>
            </w:r>
          </w:p>
        </w:tc>
      </w:tr>
      <w:tr w:rsidR="007805D4" w:rsidRPr="007805D4" w14:paraId="4FC09515" w14:textId="77777777" w:rsidTr="00951799">
        <w:trPr>
          <w:cantSplit/>
        </w:trPr>
        <w:tc>
          <w:tcPr>
            <w:tcW w:w="14465" w:type="dxa"/>
            <w:gridSpan w:val="11"/>
            <w:shd w:val="clear" w:color="auto" w:fill="F2F2F2"/>
          </w:tcPr>
          <w:p w14:paraId="04DDE5AB"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Sludge treatment processes</w:t>
            </w:r>
          </w:p>
        </w:tc>
      </w:tr>
      <w:tr w:rsidR="00951799" w:rsidRPr="007805D4" w14:paraId="5EFA3E07" w14:textId="77777777" w:rsidTr="003345BC">
        <w:tc>
          <w:tcPr>
            <w:tcW w:w="1846" w:type="dxa"/>
            <w:gridSpan w:val="2"/>
          </w:tcPr>
          <w:p w14:paraId="2A2416CE"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Import of sludge which does not meet waste acceptance criteria leading to disruption to sludge treatment processes</w:t>
            </w:r>
          </w:p>
        </w:tc>
        <w:tc>
          <w:tcPr>
            <w:tcW w:w="1700" w:type="dxa"/>
          </w:tcPr>
          <w:p w14:paraId="458B9DF3"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 xml:space="preserve">Ground </w:t>
            </w:r>
          </w:p>
        </w:tc>
        <w:tc>
          <w:tcPr>
            <w:tcW w:w="1416" w:type="dxa"/>
          </w:tcPr>
          <w:p w14:paraId="18374733"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Spread to land as part of disposal</w:t>
            </w:r>
          </w:p>
        </w:tc>
        <w:tc>
          <w:tcPr>
            <w:tcW w:w="4818" w:type="dxa"/>
            <w:gridSpan w:val="2"/>
          </w:tcPr>
          <w:p w14:paraId="1BB333CA"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44D69211" w14:textId="69852A91"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YW control all sites supplying sludge.  Only sewage sludge is imported to </w:t>
            </w:r>
            <w:r w:rsidR="004D7E21">
              <w:rPr>
                <w:rFonts w:ascii="Poppins" w:eastAsia="SimSun" w:hAnsi="Poppins" w:cs="Poppins"/>
                <w:sz w:val="18"/>
                <w:szCs w:val="18"/>
                <w:lang w:eastAsia="zh-CN"/>
              </w:rPr>
              <w:t>WHM</w:t>
            </w:r>
            <w:r w:rsidRPr="007805D4">
              <w:rPr>
                <w:rFonts w:ascii="Poppins" w:eastAsia="SimSun" w:hAnsi="Poppins" w:cs="Poppins"/>
                <w:sz w:val="18"/>
                <w:szCs w:val="18"/>
                <w:lang w:eastAsia="zh-CN"/>
              </w:rPr>
              <w:t xml:space="preserve"> STF (</w:t>
            </w:r>
            <w:r w:rsidR="004D7E21">
              <w:rPr>
                <w:rFonts w:ascii="Poppins" w:eastAsia="SimSun" w:hAnsi="Poppins" w:cs="Poppins"/>
                <w:sz w:val="18"/>
                <w:szCs w:val="18"/>
                <w:lang w:eastAsia="zh-CN"/>
              </w:rPr>
              <w:t xml:space="preserve">to </w:t>
            </w:r>
            <w:r w:rsidRPr="007805D4">
              <w:rPr>
                <w:rFonts w:ascii="Poppins" w:eastAsia="SimSun" w:hAnsi="Poppins" w:cs="Poppins"/>
                <w:sz w:val="18"/>
                <w:szCs w:val="18"/>
                <w:lang w:eastAsia="zh-CN"/>
              </w:rPr>
              <w:t xml:space="preserve">either </w:t>
            </w:r>
            <w:r w:rsidR="004D7E21">
              <w:rPr>
                <w:rFonts w:ascii="Poppins" w:eastAsia="SimSun" w:hAnsi="Poppins" w:cs="Poppins"/>
                <w:sz w:val="18"/>
                <w:szCs w:val="18"/>
                <w:lang w:eastAsia="zh-CN"/>
              </w:rPr>
              <w:t>the WwTW</w:t>
            </w:r>
            <w:r w:rsidRPr="007805D4">
              <w:rPr>
                <w:rFonts w:ascii="Poppins" w:eastAsia="SimSun" w:hAnsi="Poppins" w:cs="Poppins"/>
                <w:sz w:val="18"/>
                <w:szCs w:val="18"/>
                <w:lang w:eastAsia="zh-CN"/>
              </w:rPr>
              <w:t>, or occasionally directly into the STF), this has a consistent composition and comes from carefully controlled treatment processes.</w:t>
            </w:r>
          </w:p>
          <w:p w14:paraId="76AE6D2A"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Prior to initial acceptance of sludge from a new YW site, a screening assessment will be completed to confirm it is safe and stable.</w:t>
            </w:r>
          </w:p>
          <w:p w14:paraId="1C9EE00B" w14:textId="6500D892" w:rsidR="007805D4" w:rsidRPr="007805D4" w:rsidRDefault="004D7E21" w:rsidP="007805D4">
            <w:pPr>
              <w:numPr>
                <w:ilvl w:val="0"/>
                <w:numId w:val="21"/>
              </w:numPr>
              <w:spacing w:after="0" w:line="240" w:lineRule="auto"/>
              <w:contextualSpacing/>
              <w:rPr>
                <w:rFonts w:ascii="Poppins" w:eastAsia="SimSun" w:hAnsi="Poppins" w:cs="Poppins"/>
                <w:sz w:val="18"/>
                <w:szCs w:val="18"/>
                <w:lang w:eastAsia="zh-CN"/>
              </w:rPr>
            </w:pPr>
            <w:r>
              <w:rPr>
                <w:rFonts w:ascii="Poppins" w:eastAsia="SimSun" w:hAnsi="Poppins" w:cs="Poppins"/>
                <w:sz w:val="18"/>
                <w:szCs w:val="18"/>
                <w:lang w:eastAsia="zh-CN"/>
              </w:rPr>
              <w:t>W</w:t>
            </w:r>
            <w:r w:rsidR="007805D4" w:rsidRPr="007805D4">
              <w:rPr>
                <w:rFonts w:ascii="Poppins" w:eastAsia="SimSun" w:hAnsi="Poppins" w:cs="Poppins"/>
                <w:sz w:val="18"/>
                <w:szCs w:val="18"/>
                <w:lang w:eastAsia="zh-CN"/>
              </w:rPr>
              <w:t>aSP system records the dry solids, volume and origin of every import brought to site.</w:t>
            </w:r>
          </w:p>
          <w:p w14:paraId="1605BC2C" w14:textId="31D65834"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Site operators and tanker drivers are trained to identify problem sludges and divert them to alternative sites for treatment.</w:t>
            </w:r>
          </w:p>
          <w:p w14:paraId="7510A3F8"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1A6F65F2" w14:textId="77777777" w:rsidR="007805D4" w:rsidRPr="007805D4" w:rsidRDefault="007805D4" w:rsidP="007805D4">
            <w:pPr>
              <w:numPr>
                <w:ilvl w:val="0"/>
                <w:numId w:val="25"/>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Digester health will be investigated to understand cause of problem and best route to resolution.</w:t>
            </w:r>
          </w:p>
          <w:p w14:paraId="3EA6AA57" w14:textId="77777777" w:rsidR="007805D4" w:rsidRPr="007805D4" w:rsidRDefault="007805D4" w:rsidP="007805D4">
            <w:pPr>
              <w:numPr>
                <w:ilvl w:val="0"/>
                <w:numId w:val="25"/>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Digestate being removed from digesters will be subject to enhanced monitoring to ensure that there is no environmental risk.  Note this is also a HACCP requirement.</w:t>
            </w:r>
          </w:p>
          <w:p w14:paraId="1AE192A4" w14:textId="77777777" w:rsidR="007805D4" w:rsidRPr="007805D4" w:rsidRDefault="007805D4" w:rsidP="007805D4">
            <w:pPr>
              <w:numPr>
                <w:ilvl w:val="0"/>
                <w:numId w:val="25"/>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Where relevant the Environment Agency will be alerted that a problem has occurred.</w:t>
            </w:r>
          </w:p>
          <w:p w14:paraId="5AC3588C" w14:textId="77777777" w:rsidR="007805D4" w:rsidRPr="007805D4" w:rsidRDefault="007805D4" w:rsidP="007805D4">
            <w:pPr>
              <w:numPr>
                <w:ilvl w:val="0"/>
                <w:numId w:val="25"/>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The root cause of the problem will be investigated and procedures updated so that the incident cannot recur.</w:t>
            </w:r>
          </w:p>
        </w:tc>
        <w:tc>
          <w:tcPr>
            <w:tcW w:w="1558" w:type="dxa"/>
          </w:tcPr>
          <w:p w14:paraId="1328CAD4"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Unlikely</w:t>
            </w:r>
          </w:p>
        </w:tc>
        <w:tc>
          <w:tcPr>
            <w:tcW w:w="1687" w:type="dxa"/>
          </w:tcPr>
          <w:p w14:paraId="1EF9E3EF"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Minor / negligible</w:t>
            </w:r>
          </w:p>
        </w:tc>
        <w:tc>
          <w:tcPr>
            <w:tcW w:w="1440" w:type="dxa"/>
            <w:gridSpan w:val="3"/>
          </w:tcPr>
          <w:p w14:paraId="73AA1526"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Negligible risk</w:t>
            </w:r>
          </w:p>
        </w:tc>
      </w:tr>
      <w:tr w:rsidR="00951799" w:rsidRPr="007805D4" w14:paraId="10C0AFC7" w14:textId="77777777" w:rsidTr="003345BC">
        <w:tc>
          <w:tcPr>
            <w:tcW w:w="1846" w:type="dxa"/>
            <w:gridSpan w:val="2"/>
          </w:tcPr>
          <w:p w14:paraId="412A69AF"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Sludge contamination leading to inhibition of microbial activity / process disruption and insufficient digestion</w:t>
            </w:r>
          </w:p>
        </w:tc>
        <w:tc>
          <w:tcPr>
            <w:tcW w:w="1700" w:type="dxa"/>
          </w:tcPr>
          <w:p w14:paraId="132541EF"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Ground</w:t>
            </w:r>
          </w:p>
        </w:tc>
        <w:tc>
          <w:tcPr>
            <w:tcW w:w="1416" w:type="dxa"/>
          </w:tcPr>
          <w:p w14:paraId="175F1BC2"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Spread to land as part of disposal</w:t>
            </w:r>
          </w:p>
        </w:tc>
        <w:tc>
          <w:tcPr>
            <w:tcW w:w="4818" w:type="dxa"/>
            <w:gridSpan w:val="2"/>
          </w:tcPr>
          <w:p w14:paraId="36B8A237"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6433EF6B" w14:textId="77777777" w:rsidR="007805D4" w:rsidRPr="007805D4" w:rsidRDefault="007805D4" w:rsidP="007805D4">
            <w:pPr>
              <w:numPr>
                <w:ilvl w:val="0"/>
                <w:numId w:val="21"/>
              </w:numPr>
              <w:spacing w:after="0" w:line="240" w:lineRule="auto"/>
              <w:contextualSpacing/>
              <w:rPr>
                <w:rFonts w:ascii="Poppins" w:eastAsia="SimSun" w:hAnsi="Poppins" w:cs="Poppins"/>
                <w:bCs/>
                <w:sz w:val="18"/>
                <w:szCs w:val="18"/>
                <w:lang w:eastAsia="zh-CN"/>
              </w:rPr>
            </w:pPr>
            <w:r w:rsidRPr="007805D4">
              <w:rPr>
                <w:rFonts w:ascii="Poppins" w:eastAsia="SimSun" w:hAnsi="Poppins" w:cs="Poppins"/>
                <w:bCs/>
                <w:sz w:val="18"/>
                <w:szCs w:val="18"/>
                <w:lang w:eastAsia="zh-CN"/>
              </w:rPr>
              <w:t>Management controls to identify potentially problematic sludges at source.</w:t>
            </w:r>
          </w:p>
          <w:p w14:paraId="3774DB1A" w14:textId="77777777" w:rsidR="007805D4" w:rsidRPr="007805D4" w:rsidRDefault="007805D4" w:rsidP="007805D4">
            <w:pPr>
              <w:numPr>
                <w:ilvl w:val="0"/>
                <w:numId w:val="21"/>
              </w:numPr>
              <w:spacing w:after="0" w:line="240" w:lineRule="auto"/>
              <w:contextualSpacing/>
              <w:rPr>
                <w:rFonts w:ascii="Poppins" w:eastAsia="SimSun" w:hAnsi="Poppins" w:cs="Poppins"/>
                <w:bCs/>
                <w:sz w:val="18"/>
                <w:szCs w:val="18"/>
                <w:lang w:eastAsia="zh-CN"/>
              </w:rPr>
            </w:pPr>
            <w:r w:rsidRPr="007805D4">
              <w:rPr>
                <w:rFonts w:ascii="Poppins" w:eastAsia="SimSun" w:hAnsi="Poppins" w:cs="Poppins"/>
                <w:bCs/>
                <w:sz w:val="18"/>
                <w:szCs w:val="18"/>
                <w:lang w:eastAsia="zh-CN"/>
              </w:rPr>
              <w:t>All sludge imports are from YW sites where sludge characteristics are very stable.</w:t>
            </w:r>
          </w:p>
          <w:p w14:paraId="19063842" w14:textId="5C8CB216" w:rsidR="007805D4" w:rsidRPr="007805D4" w:rsidRDefault="007805D4" w:rsidP="007805D4">
            <w:pPr>
              <w:numPr>
                <w:ilvl w:val="0"/>
                <w:numId w:val="21"/>
              </w:numPr>
              <w:spacing w:after="0" w:line="240" w:lineRule="auto"/>
              <w:contextualSpacing/>
              <w:rPr>
                <w:rFonts w:ascii="Poppins" w:eastAsia="SimSun" w:hAnsi="Poppins" w:cs="Poppins"/>
                <w:bCs/>
                <w:sz w:val="18"/>
                <w:szCs w:val="18"/>
                <w:lang w:eastAsia="zh-CN"/>
              </w:rPr>
            </w:pPr>
            <w:r w:rsidRPr="007805D4">
              <w:rPr>
                <w:rFonts w:ascii="Poppins" w:eastAsia="SimSun" w:hAnsi="Poppins" w:cs="Poppins"/>
                <w:bCs/>
                <w:sz w:val="18"/>
                <w:szCs w:val="18"/>
                <w:lang w:eastAsia="zh-CN"/>
              </w:rPr>
              <w:t>Contamination levels would need to be very severe to significantly impact digestion processes due to the very large digester volume.</w:t>
            </w:r>
          </w:p>
          <w:p w14:paraId="1EA8FE37"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542D4D56" w14:textId="77777777" w:rsidR="007805D4" w:rsidRPr="007805D4" w:rsidRDefault="007805D4" w:rsidP="007805D4">
            <w:pPr>
              <w:numPr>
                <w:ilvl w:val="0"/>
                <w:numId w:val="21"/>
              </w:numPr>
              <w:spacing w:after="0" w:line="240" w:lineRule="auto"/>
              <w:contextualSpacing/>
              <w:rPr>
                <w:rFonts w:ascii="Poppins" w:eastAsia="SimSun" w:hAnsi="Poppins" w:cs="Poppins"/>
                <w:bCs/>
                <w:sz w:val="18"/>
                <w:szCs w:val="18"/>
                <w:lang w:eastAsia="zh-CN"/>
              </w:rPr>
            </w:pPr>
            <w:r w:rsidRPr="007805D4">
              <w:rPr>
                <w:rFonts w:ascii="Poppins" w:eastAsia="SimSun" w:hAnsi="Poppins" w:cs="Poppins"/>
                <w:bCs/>
                <w:sz w:val="18"/>
                <w:szCs w:val="18"/>
                <w:lang w:eastAsia="zh-CN"/>
              </w:rPr>
              <w:t>Assess digester content to decide best route to normal digester health.</w:t>
            </w:r>
          </w:p>
          <w:p w14:paraId="68FCAF69" w14:textId="77777777" w:rsidR="007805D4" w:rsidRPr="007805D4" w:rsidRDefault="007805D4" w:rsidP="007805D4">
            <w:pPr>
              <w:numPr>
                <w:ilvl w:val="0"/>
                <w:numId w:val="21"/>
              </w:numPr>
              <w:spacing w:after="0" w:line="240" w:lineRule="auto"/>
              <w:contextualSpacing/>
              <w:rPr>
                <w:rFonts w:ascii="Poppins" w:eastAsia="SimSun" w:hAnsi="Poppins" w:cs="Poppins"/>
                <w:bCs/>
                <w:sz w:val="18"/>
                <w:szCs w:val="18"/>
                <w:lang w:eastAsia="zh-CN"/>
              </w:rPr>
            </w:pPr>
            <w:r w:rsidRPr="007805D4">
              <w:rPr>
                <w:rFonts w:ascii="Poppins" w:eastAsia="SimSun" w:hAnsi="Poppins" w:cs="Poppins"/>
                <w:bCs/>
                <w:sz w:val="18"/>
                <w:szCs w:val="18"/>
                <w:lang w:eastAsia="zh-CN"/>
              </w:rPr>
              <w:t>Sample cake prior to export from site to confirm it is safe to spread to land.</w:t>
            </w:r>
          </w:p>
          <w:p w14:paraId="40E240D0" w14:textId="77777777" w:rsidR="007805D4" w:rsidRPr="007805D4" w:rsidRDefault="007805D4" w:rsidP="007805D4">
            <w:pPr>
              <w:numPr>
                <w:ilvl w:val="0"/>
                <w:numId w:val="21"/>
              </w:numPr>
              <w:spacing w:after="0" w:line="240" w:lineRule="auto"/>
              <w:contextualSpacing/>
              <w:rPr>
                <w:rFonts w:ascii="Poppins" w:eastAsia="SimSun" w:hAnsi="Poppins" w:cs="Poppins"/>
                <w:bCs/>
                <w:sz w:val="18"/>
                <w:szCs w:val="18"/>
                <w:lang w:eastAsia="zh-CN"/>
              </w:rPr>
            </w:pPr>
            <w:r w:rsidRPr="007805D4">
              <w:rPr>
                <w:rFonts w:ascii="Poppins" w:eastAsia="SimSun" w:hAnsi="Poppins" w:cs="Poppins"/>
                <w:bCs/>
                <w:sz w:val="18"/>
                <w:szCs w:val="18"/>
                <w:lang w:eastAsia="zh-CN"/>
              </w:rPr>
              <w:t>Review acceptance procedures.</w:t>
            </w:r>
          </w:p>
        </w:tc>
        <w:tc>
          <w:tcPr>
            <w:tcW w:w="1558" w:type="dxa"/>
          </w:tcPr>
          <w:p w14:paraId="42DD3418"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Highly Unlikely</w:t>
            </w:r>
          </w:p>
        </w:tc>
        <w:tc>
          <w:tcPr>
            <w:tcW w:w="1687" w:type="dxa"/>
          </w:tcPr>
          <w:p w14:paraId="3B244FF7"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Medium</w:t>
            </w:r>
          </w:p>
        </w:tc>
        <w:tc>
          <w:tcPr>
            <w:tcW w:w="1440" w:type="dxa"/>
            <w:gridSpan w:val="3"/>
          </w:tcPr>
          <w:p w14:paraId="7B1C890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7C83BCB8" w14:textId="77777777" w:rsidTr="003345BC">
        <w:trPr>
          <w:cantSplit/>
        </w:trPr>
        <w:tc>
          <w:tcPr>
            <w:tcW w:w="1846" w:type="dxa"/>
            <w:gridSpan w:val="2"/>
          </w:tcPr>
          <w:p w14:paraId="4B2412A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Excessive feeding of digester leads to reduced retention time and failure to meet pathogen kill requirements</w:t>
            </w:r>
          </w:p>
        </w:tc>
        <w:tc>
          <w:tcPr>
            <w:tcW w:w="1700" w:type="dxa"/>
          </w:tcPr>
          <w:p w14:paraId="41EB59D8"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Ground / groundwater / surface waters</w:t>
            </w:r>
          </w:p>
        </w:tc>
        <w:tc>
          <w:tcPr>
            <w:tcW w:w="1416" w:type="dxa"/>
          </w:tcPr>
          <w:p w14:paraId="7CE28583"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Spread to land as part of disposal</w:t>
            </w:r>
          </w:p>
        </w:tc>
        <w:tc>
          <w:tcPr>
            <w:tcW w:w="4818" w:type="dxa"/>
            <w:gridSpan w:val="2"/>
          </w:tcPr>
          <w:p w14:paraId="1928EED3"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525ECE6C"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 xml:space="preserve">Staff training </w:t>
            </w:r>
          </w:p>
          <w:p w14:paraId="1A21E0CD"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Digesters have a maximum feed interlock ensuring that a set daily feed volume cannot be exceeded.  This limit has been calculated to ensure digester stability and environmental safety.</w:t>
            </w:r>
          </w:p>
          <w:p w14:paraId="20B9CA9A" w14:textId="3DE43EFB"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HACCP monitoring.</w:t>
            </w:r>
          </w:p>
          <w:p w14:paraId="129E3D48"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5BA1A3A2" w14:textId="77777777" w:rsidR="007805D4" w:rsidRPr="007805D4" w:rsidRDefault="007805D4" w:rsidP="007805D4">
            <w:pPr>
              <w:numPr>
                <w:ilvl w:val="0"/>
                <w:numId w:val="22"/>
              </w:numPr>
              <w:spacing w:after="0" w:line="240" w:lineRule="auto"/>
              <w:contextualSpacing/>
              <w:rPr>
                <w:rFonts w:ascii="Poppins" w:eastAsia="SimSun" w:hAnsi="Poppins" w:cs="Poppins"/>
                <w:b/>
                <w:bCs/>
                <w:sz w:val="18"/>
                <w:szCs w:val="18"/>
                <w:lang w:eastAsia="zh-CN"/>
              </w:rPr>
            </w:pPr>
            <w:r w:rsidRPr="007805D4">
              <w:rPr>
                <w:rFonts w:ascii="Poppins" w:eastAsia="SimSun" w:hAnsi="Poppins" w:cs="Poppins"/>
                <w:bCs/>
                <w:sz w:val="18"/>
                <w:szCs w:val="18"/>
                <w:lang w:eastAsia="zh-CN"/>
              </w:rPr>
              <w:t>Turn off digester feed.</w:t>
            </w:r>
          </w:p>
          <w:p w14:paraId="630F6BB2" w14:textId="77777777" w:rsidR="007805D4" w:rsidRPr="007805D4" w:rsidRDefault="007805D4" w:rsidP="007805D4">
            <w:pPr>
              <w:numPr>
                <w:ilvl w:val="0"/>
                <w:numId w:val="22"/>
              </w:numPr>
              <w:spacing w:after="0" w:line="240" w:lineRule="auto"/>
              <w:contextualSpacing/>
              <w:rPr>
                <w:rFonts w:ascii="Poppins" w:eastAsia="SimSun" w:hAnsi="Poppins" w:cs="Poppins"/>
                <w:bCs/>
                <w:sz w:val="18"/>
                <w:szCs w:val="18"/>
                <w:lang w:eastAsia="zh-CN"/>
              </w:rPr>
            </w:pPr>
            <w:r w:rsidRPr="007805D4">
              <w:rPr>
                <w:rFonts w:ascii="Poppins" w:eastAsia="SimSun" w:hAnsi="Poppins" w:cs="Poppins"/>
                <w:bCs/>
                <w:sz w:val="18"/>
                <w:szCs w:val="18"/>
                <w:lang w:eastAsia="zh-CN"/>
              </w:rPr>
              <w:t>Stop additional sludge imports until normal operational situation returns.</w:t>
            </w:r>
          </w:p>
        </w:tc>
        <w:tc>
          <w:tcPr>
            <w:tcW w:w="1558" w:type="dxa"/>
          </w:tcPr>
          <w:p w14:paraId="61A3707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Highly Unlikely</w:t>
            </w:r>
          </w:p>
        </w:tc>
        <w:tc>
          <w:tcPr>
            <w:tcW w:w="1687" w:type="dxa"/>
          </w:tcPr>
          <w:p w14:paraId="561D84A7"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Medium</w:t>
            </w:r>
          </w:p>
        </w:tc>
        <w:tc>
          <w:tcPr>
            <w:tcW w:w="1440" w:type="dxa"/>
            <w:gridSpan w:val="3"/>
          </w:tcPr>
          <w:p w14:paraId="4576E032"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2307E8B6" w14:textId="77777777" w:rsidTr="003345BC">
        <w:trPr>
          <w:cantSplit/>
        </w:trPr>
        <w:tc>
          <w:tcPr>
            <w:tcW w:w="1846" w:type="dxa"/>
            <w:gridSpan w:val="2"/>
          </w:tcPr>
          <w:p w14:paraId="64EBE7E3"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Failure of dewatering process leading to discharge to cake pad of cake with high water content</w:t>
            </w:r>
          </w:p>
        </w:tc>
        <w:tc>
          <w:tcPr>
            <w:tcW w:w="1700" w:type="dxa"/>
          </w:tcPr>
          <w:p w14:paraId="492BD1D8"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Ground / groundwater / surface waters</w:t>
            </w:r>
          </w:p>
        </w:tc>
        <w:tc>
          <w:tcPr>
            <w:tcW w:w="1416" w:type="dxa"/>
          </w:tcPr>
          <w:p w14:paraId="311E3844"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Overland runoff / infiltration / drainage systems</w:t>
            </w:r>
          </w:p>
          <w:p w14:paraId="6F6158A6" w14:textId="77777777" w:rsidR="007805D4" w:rsidRPr="007805D4" w:rsidRDefault="007805D4" w:rsidP="007805D4">
            <w:pPr>
              <w:spacing w:after="0" w:line="240" w:lineRule="auto"/>
              <w:rPr>
                <w:rFonts w:ascii="Poppins" w:eastAsia="SimSun" w:hAnsi="Poppins" w:cs="Poppins"/>
                <w:sz w:val="18"/>
                <w:szCs w:val="18"/>
                <w:lang w:eastAsia="zh-CN"/>
              </w:rPr>
            </w:pPr>
          </w:p>
        </w:tc>
        <w:tc>
          <w:tcPr>
            <w:tcW w:w="4818" w:type="dxa"/>
            <w:gridSpan w:val="2"/>
          </w:tcPr>
          <w:p w14:paraId="0492D13E"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0F71F199" w14:textId="7850EB69"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Liquid runoff from sludge cake pad collected and directed to WwTW for treatment.  System has large storage and handling capacity.</w:t>
            </w:r>
          </w:p>
          <w:p w14:paraId="214E254B"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4DF97640" w14:textId="77777777" w:rsidR="007805D4" w:rsidRPr="007805D4" w:rsidRDefault="007805D4" w:rsidP="007805D4">
            <w:pPr>
              <w:numPr>
                <w:ilvl w:val="0"/>
                <w:numId w:val="21"/>
              </w:numPr>
              <w:spacing w:after="0" w:line="240" w:lineRule="auto"/>
              <w:contextualSpacing/>
              <w:rPr>
                <w:rFonts w:ascii="Poppins" w:eastAsia="SimSun" w:hAnsi="Poppins" w:cs="Poppins"/>
                <w:bCs/>
                <w:sz w:val="18"/>
                <w:szCs w:val="18"/>
                <w:lang w:eastAsia="zh-CN"/>
              </w:rPr>
            </w:pPr>
            <w:r w:rsidRPr="007805D4">
              <w:rPr>
                <w:rFonts w:ascii="Poppins" w:eastAsia="SimSun" w:hAnsi="Poppins" w:cs="Poppins"/>
                <w:bCs/>
                <w:sz w:val="18"/>
                <w:szCs w:val="18"/>
                <w:lang w:eastAsia="zh-CN"/>
              </w:rPr>
              <w:t>Switch off centrifuge and identify cause of problem.</w:t>
            </w:r>
          </w:p>
        </w:tc>
        <w:tc>
          <w:tcPr>
            <w:tcW w:w="1558" w:type="dxa"/>
          </w:tcPr>
          <w:p w14:paraId="763A647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 xml:space="preserve">Unlikely </w:t>
            </w:r>
          </w:p>
        </w:tc>
        <w:tc>
          <w:tcPr>
            <w:tcW w:w="1687" w:type="dxa"/>
          </w:tcPr>
          <w:p w14:paraId="392C322C"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Minor/negligible</w:t>
            </w:r>
          </w:p>
        </w:tc>
        <w:tc>
          <w:tcPr>
            <w:tcW w:w="1440" w:type="dxa"/>
            <w:gridSpan w:val="3"/>
          </w:tcPr>
          <w:p w14:paraId="6F8D83D8"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Negligible risk</w:t>
            </w:r>
          </w:p>
        </w:tc>
      </w:tr>
      <w:tr w:rsidR="00951799" w:rsidRPr="007805D4" w14:paraId="522F77BA" w14:textId="77777777" w:rsidTr="003345BC">
        <w:tc>
          <w:tcPr>
            <w:tcW w:w="1846" w:type="dxa"/>
            <w:gridSpan w:val="2"/>
          </w:tcPr>
          <w:p w14:paraId="01774FAF"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 xml:space="preserve">Temporary cessation of land spreading e.g. due to extreme weather conditions, leading to build </w:t>
            </w:r>
            <w:r w:rsidRPr="007805D4">
              <w:rPr>
                <w:rFonts w:ascii="Poppins" w:eastAsia="SimSun" w:hAnsi="Poppins" w:cs="Poppins"/>
                <w:sz w:val="18"/>
                <w:szCs w:val="18"/>
                <w:lang w:eastAsia="zh-CN"/>
              </w:rPr>
              <w:lastRenderedPageBreak/>
              <w:t>up of digested sludge cake</w:t>
            </w:r>
          </w:p>
        </w:tc>
        <w:tc>
          <w:tcPr>
            <w:tcW w:w="1700" w:type="dxa"/>
          </w:tcPr>
          <w:p w14:paraId="59389D93"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Local air quality and global climate impacts</w:t>
            </w:r>
          </w:p>
        </w:tc>
        <w:tc>
          <w:tcPr>
            <w:tcW w:w="1416" w:type="dxa"/>
          </w:tcPr>
          <w:p w14:paraId="6C0208A9"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Air</w:t>
            </w:r>
          </w:p>
        </w:tc>
        <w:tc>
          <w:tcPr>
            <w:tcW w:w="4818" w:type="dxa"/>
            <w:gridSpan w:val="2"/>
          </w:tcPr>
          <w:p w14:paraId="25133528"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6CEAF973"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 xml:space="preserve">Cake storage is on a pad, which under normal circumstances, has spare capacity. </w:t>
            </w:r>
          </w:p>
          <w:p w14:paraId="0D709A48" w14:textId="53641F3E"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Additional storage is available at nearby YW sites.</w:t>
            </w:r>
          </w:p>
          <w:p w14:paraId="33DB660B"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02E67C15" w14:textId="77777777" w:rsidR="007805D4" w:rsidRPr="007805D4" w:rsidRDefault="007805D4" w:rsidP="007805D4">
            <w:pPr>
              <w:pStyle w:val="ListParagraph"/>
              <w:numPr>
                <w:ilvl w:val="0"/>
                <w:numId w:val="27"/>
              </w:numPr>
              <w:spacing w:after="0" w:line="240" w:lineRule="auto"/>
              <w:ind w:left="316" w:hanging="316"/>
              <w:jc w:val="both"/>
              <w:rPr>
                <w:rFonts w:eastAsia="SimSun" w:cs="Poppins"/>
                <w:bCs/>
                <w:lang w:eastAsia="zh-CN"/>
              </w:rPr>
            </w:pPr>
            <w:r w:rsidRPr="007805D4">
              <w:rPr>
                <w:rFonts w:eastAsia="SimSun" w:cs="Poppins"/>
                <w:bCs/>
                <w:lang w:eastAsia="zh-CN"/>
              </w:rPr>
              <w:t>Monitor available storage on cake pad and reduce/stop sludge imports as required.</w:t>
            </w:r>
          </w:p>
          <w:p w14:paraId="5F32DB10" w14:textId="77777777" w:rsidR="007805D4" w:rsidRPr="007805D4" w:rsidRDefault="007805D4" w:rsidP="007805D4">
            <w:pPr>
              <w:pStyle w:val="ListParagraph"/>
              <w:numPr>
                <w:ilvl w:val="0"/>
                <w:numId w:val="27"/>
              </w:numPr>
              <w:spacing w:after="0" w:line="240" w:lineRule="auto"/>
              <w:ind w:left="316" w:hanging="316"/>
              <w:jc w:val="both"/>
              <w:rPr>
                <w:rFonts w:eastAsia="SimSun" w:cs="Poppins"/>
                <w:bCs/>
                <w:lang w:eastAsia="zh-CN"/>
              </w:rPr>
            </w:pPr>
            <w:r w:rsidRPr="007805D4">
              <w:rPr>
                <w:rFonts w:eastAsia="SimSun" w:cs="Poppins"/>
                <w:bCs/>
                <w:lang w:eastAsia="zh-CN"/>
              </w:rPr>
              <w:lastRenderedPageBreak/>
              <w:t>Divert sludge imports to alternative YW sites for storage.</w:t>
            </w:r>
          </w:p>
        </w:tc>
        <w:tc>
          <w:tcPr>
            <w:tcW w:w="1558" w:type="dxa"/>
          </w:tcPr>
          <w:p w14:paraId="3D0ADFD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Likely</w:t>
            </w:r>
          </w:p>
        </w:tc>
        <w:tc>
          <w:tcPr>
            <w:tcW w:w="1687" w:type="dxa"/>
          </w:tcPr>
          <w:p w14:paraId="653907BA"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Minor/negligible</w:t>
            </w:r>
          </w:p>
        </w:tc>
        <w:tc>
          <w:tcPr>
            <w:tcW w:w="1440" w:type="dxa"/>
            <w:gridSpan w:val="3"/>
          </w:tcPr>
          <w:p w14:paraId="57EA4A4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5A837971" w14:textId="77777777" w:rsidTr="003345BC">
        <w:trPr>
          <w:cantSplit/>
        </w:trPr>
        <w:tc>
          <w:tcPr>
            <w:tcW w:w="1846" w:type="dxa"/>
            <w:gridSpan w:val="2"/>
          </w:tcPr>
          <w:p w14:paraId="02110BCB"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 xml:space="preserve">Very warm weather leading to increase in odour generation from sludge cake </w:t>
            </w:r>
          </w:p>
        </w:tc>
        <w:tc>
          <w:tcPr>
            <w:tcW w:w="1700" w:type="dxa"/>
          </w:tcPr>
          <w:p w14:paraId="62FE0977"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 xml:space="preserve">Local air quality </w:t>
            </w:r>
          </w:p>
        </w:tc>
        <w:tc>
          <w:tcPr>
            <w:tcW w:w="1416" w:type="dxa"/>
          </w:tcPr>
          <w:p w14:paraId="46BE0634"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Air</w:t>
            </w:r>
          </w:p>
        </w:tc>
        <w:tc>
          <w:tcPr>
            <w:tcW w:w="4818" w:type="dxa"/>
            <w:gridSpan w:val="2"/>
          </w:tcPr>
          <w:p w14:paraId="0300DFEC"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539B0AD8"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Only digested sludge is stored on cake pad.  This has less odour potential than untreated sludge.</w:t>
            </w:r>
          </w:p>
          <w:p w14:paraId="7DFBDD74"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t>Only likely to happen during a prolonged of extreme weather event.</w:t>
            </w:r>
          </w:p>
          <w:p w14:paraId="37B01FAF" w14:textId="0EFEB214" w:rsidR="007805D4" w:rsidRPr="004D7E21" w:rsidRDefault="007805D4" w:rsidP="00A60003">
            <w:pPr>
              <w:numPr>
                <w:ilvl w:val="0"/>
                <w:numId w:val="21"/>
              </w:numPr>
              <w:spacing w:after="0" w:line="240" w:lineRule="auto"/>
              <w:contextualSpacing/>
              <w:rPr>
                <w:rFonts w:ascii="Poppins" w:eastAsia="SimSun" w:hAnsi="Poppins" w:cs="Poppins"/>
                <w:sz w:val="18"/>
                <w:szCs w:val="18"/>
                <w:lang w:eastAsia="zh-CN"/>
              </w:rPr>
            </w:pPr>
            <w:r w:rsidRPr="004D7E21">
              <w:rPr>
                <w:rFonts w:ascii="Poppins" w:eastAsia="SimSun" w:hAnsi="Poppins" w:cs="Poppins"/>
                <w:sz w:val="18"/>
                <w:szCs w:val="18"/>
                <w:lang w:eastAsia="zh-CN"/>
              </w:rPr>
              <w:t xml:space="preserve">Sensitive receptors not located within close proximity to the cake pad.  </w:t>
            </w:r>
          </w:p>
          <w:p w14:paraId="7ABC3BF6"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22553FD5" w14:textId="77777777" w:rsidR="007805D4" w:rsidRPr="007805D4" w:rsidRDefault="007805D4" w:rsidP="007805D4">
            <w:pPr>
              <w:numPr>
                <w:ilvl w:val="0"/>
                <w:numId w:val="21"/>
              </w:numPr>
              <w:spacing w:after="0" w:line="240" w:lineRule="auto"/>
              <w:contextualSpacing/>
              <w:rPr>
                <w:rFonts w:ascii="Poppins" w:eastAsia="SimSun" w:hAnsi="Poppins" w:cs="Poppins"/>
                <w:b/>
                <w:bCs/>
                <w:sz w:val="18"/>
                <w:szCs w:val="18"/>
                <w:lang w:eastAsia="zh-CN"/>
              </w:rPr>
            </w:pPr>
            <w:r w:rsidRPr="007805D4">
              <w:rPr>
                <w:rFonts w:ascii="Poppins" w:eastAsia="SimSun" w:hAnsi="Poppins" w:cs="Poppins"/>
                <w:sz w:val="18"/>
                <w:szCs w:val="18"/>
                <w:lang w:eastAsia="zh-CN"/>
              </w:rPr>
              <w:t xml:space="preserve">Initial response would be to review operating times and avoid cake generation during problematic weather events, considering both temperature and wind. </w:t>
            </w:r>
          </w:p>
          <w:p w14:paraId="0969BA35" w14:textId="77777777" w:rsidR="004D7E21" w:rsidRPr="00951799" w:rsidRDefault="007805D4" w:rsidP="00951799">
            <w:pPr>
              <w:numPr>
                <w:ilvl w:val="0"/>
                <w:numId w:val="21"/>
              </w:numPr>
              <w:spacing w:after="0" w:line="240" w:lineRule="auto"/>
              <w:contextualSpacing/>
              <w:rPr>
                <w:rFonts w:ascii="Poppins" w:eastAsia="SimSun" w:hAnsi="Poppins" w:cs="Poppins"/>
                <w:b/>
                <w:bCs/>
                <w:sz w:val="18"/>
                <w:szCs w:val="18"/>
                <w:lang w:eastAsia="zh-CN"/>
              </w:rPr>
            </w:pPr>
            <w:r w:rsidRPr="007805D4">
              <w:rPr>
                <w:rFonts w:ascii="Poppins" w:eastAsia="SimSun" w:hAnsi="Poppins" w:cs="Poppins"/>
                <w:sz w:val="18"/>
                <w:szCs w:val="18"/>
                <w:lang w:eastAsia="zh-CN"/>
              </w:rPr>
              <w:t>If this was not sufficient, YW would look to remove cake from site and store elsewhere.</w:t>
            </w:r>
          </w:p>
          <w:p w14:paraId="3B7EA4C6" w14:textId="7D36E6D3" w:rsidR="00951799" w:rsidRPr="007805D4" w:rsidRDefault="00951799" w:rsidP="00951799">
            <w:pPr>
              <w:spacing w:after="0" w:line="240" w:lineRule="auto"/>
              <w:ind w:left="360"/>
              <w:contextualSpacing/>
              <w:rPr>
                <w:rFonts w:ascii="Poppins" w:eastAsia="SimSun" w:hAnsi="Poppins" w:cs="Poppins"/>
                <w:b/>
                <w:bCs/>
                <w:sz w:val="18"/>
                <w:szCs w:val="18"/>
                <w:lang w:eastAsia="zh-CN"/>
              </w:rPr>
            </w:pPr>
          </w:p>
        </w:tc>
        <w:tc>
          <w:tcPr>
            <w:tcW w:w="1558" w:type="dxa"/>
          </w:tcPr>
          <w:p w14:paraId="048403F8"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Likely</w:t>
            </w:r>
          </w:p>
        </w:tc>
        <w:tc>
          <w:tcPr>
            <w:tcW w:w="1687" w:type="dxa"/>
          </w:tcPr>
          <w:p w14:paraId="5798F1DF"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Minor/negligible</w:t>
            </w:r>
          </w:p>
        </w:tc>
        <w:tc>
          <w:tcPr>
            <w:tcW w:w="1440" w:type="dxa"/>
            <w:gridSpan w:val="3"/>
          </w:tcPr>
          <w:p w14:paraId="2183DB5E"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7805D4" w:rsidRPr="007805D4" w14:paraId="4B3C6E9C" w14:textId="77777777" w:rsidTr="00951799">
        <w:trPr>
          <w:cantSplit/>
        </w:trPr>
        <w:tc>
          <w:tcPr>
            <w:tcW w:w="14465" w:type="dxa"/>
            <w:gridSpan w:val="11"/>
            <w:shd w:val="clear" w:color="auto" w:fill="F2F2F2"/>
          </w:tcPr>
          <w:p w14:paraId="00D6CB28"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Odour control unit</w:t>
            </w:r>
          </w:p>
        </w:tc>
      </w:tr>
      <w:tr w:rsidR="00951799" w:rsidRPr="007805D4" w14:paraId="57BE1A19" w14:textId="77777777" w:rsidTr="003345BC">
        <w:tc>
          <w:tcPr>
            <w:tcW w:w="1846" w:type="dxa"/>
            <w:gridSpan w:val="2"/>
          </w:tcPr>
          <w:p w14:paraId="686C2F89"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 xml:space="preserve">Failure of components within odour extraction and treatment systems leading to reduced dispersion of </w:t>
            </w:r>
            <w:r w:rsidRPr="007805D4">
              <w:rPr>
                <w:rFonts w:ascii="Poppins" w:eastAsia="SimSun" w:hAnsi="Poppins" w:cs="Poppins"/>
                <w:sz w:val="18"/>
                <w:szCs w:val="18"/>
                <w:lang w:eastAsia="zh-CN"/>
              </w:rPr>
              <w:lastRenderedPageBreak/>
              <w:t>odorous emissions to air</w:t>
            </w:r>
          </w:p>
        </w:tc>
        <w:tc>
          <w:tcPr>
            <w:tcW w:w="1700" w:type="dxa"/>
          </w:tcPr>
          <w:p w14:paraId="19689069"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Nearby human receptors</w:t>
            </w:r>
          </w:p>
          <w:p w14:paraId="5B78C65D"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Local air quality and global climate impacts</w:t>
            </w:r>
          </w:p>
          <w:p w14:paraId="435EBCCB" w14:textId="77777777" w:rsidR="007805D4" w:rsidRPr="007805D4" w:rsidRDefault="007805D4" w:rsidP="007805D4">
            <w:pPr>
              <w:spacing w:after="0" w:line="240" w:lineRule="auto"/>
              <w:rPr>
                <w:rFonts w:ascii="Poppins" w:eastAsia="SimSun" w:hAnsi="Poppins" w:cs="Poppins"/>
                <w:sz w:val="18"/>
                <w:szCs w:val="18"/>
                <w:lang w:eastAsia="zh-CN"/>
              </w:rPr>
            </w:pPr>
          </w:p>
        </w:tc>
        <w:tc>
          <w:tcPr>
            <w:tcW w:w="1416" w:type="dxa"/>
          </w:tcPr>
          <w:p w14:paraId="247D9DE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Air</w:t>
            </w:r>
          </w:p>
          <w:p w14:paraId="021E63F5" w14:textId="77777777" w:rsidR="007805D4" w:rsidRPr="007805D4" w:rsidRDefault="007805D4" w:rsidP="007805D4">
            <w:pPr>
              <w:spacing w:after="0" w:line="240" w:lineRule="auto"/>
              <w:rPr>
                <w:rFonts w:ascii="Poppins" w:eastAsia="SimSun" w:hAnsi="Poppins" w:cs="Poppins"/>
                <w:sz w:val="18"/>
                <w:szCs w:val="18"/>
                <w:lang w:eastAsia="zh-CN"/>
              </w:rPr>
            </w:pPr>
          </w:p>
          <w:p w14:paraId="62ED6FB7"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br/>
            </w:r>
            <w:r w:rsidRPr="007805D4">
              <w:rPr>
                <w:rFonts w:ascii="Poppins" w:eastAsia="SimSun" w:hAnsi="Poppins" w:cs="Poppins"/>
                <w:sz w:val="18"/>
                <w:szCs w:val="18"/>
                <w:lang w:eastAsia="zh-CN"/>
              </w:rPr>
              <w:br/>
            </w:r>
          </w:p>
        </w:tc>
        <w:tc>
          <w:tcPr>
            <w:tcW w:w="4818" w:type="dxa"/>
            <w:gridSpan w:val="2"/>
          </w:tcPr>
          <w:p w14:paraId="49E3A4C9"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3D3593AD"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Regular operational checks on systems (e.g. fan operation).</w:t>
            </w:r>
          </w:p>
          <w:p w14:paraId="4B6F39D3"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Inspection and maintenance schedule to ensure reliability of extraction system.</w:t>
            </w:r>
          </w:p>
          <w:p w14:paraId="73B95E59" w14:textId="5554F4C7" w:rsidR="007805D4" w:rsidRPr="004D7E21" w:rsidRDefault="007805D4" w:rsidP="00ED44AE">
            <w:pPr>
              <w:numPr>
                <w:ilvl w:val="0"/>
                <w:numId w:val="21"/>
              </w:numPr>
              <w:spacing w:after="0" w:line="240" w:lineRule="auto"/>
              <w:contextualSpacing/>
              <w:jc w:val="both"/>
              <w:rPr>
                <w:rFonts w:ascii="Poppins" w:eastAsia="SimSun" w:hAnsi="Poppins" w:cs="Poppins"/>
                <w:sz w:val="18"/>
                <w:szCs w:val="18"/>
                <w:lang w:eastAsia="zh-CN"/>
              </w:rPr>
            </w:pPr>
            <w:r w:rsidRPr="004D7E21">
              <w:rPr>
                <w:rFonts w:ascii="Poppins" w:eastAsia="SimSun" w:hAnsi="Poppins" w:cs="Poppins"/>
                <w:sz w:val="18"/>
                <w:szCs w:val="18"/>
                <w:lang w:eastAsia="zh-CN"/>
              </w:rPr>
              <w:t xml:space="preserve">Sensitive receptors not located within close proximity to the OCU.  </w:t>
            </w:r>
          </w:p>
          <w:p w14:paraId="296560E3"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3142B550" w14:textId="77777777" w:rsidR="007805D4" w:rsidRPr="007805D4" w:rsidRDefault="007805D4" w:rsidP="007805D4">
            <w:pPr>
              <w:numPr>
                <w:ilvl w:val="0"/>
                <w:numId w:val="21"/>
              </w:numPr>
              <w:spacing w:after="0" w:line="240" w:lineRule="auto"/>
              <w:contextualSpacing/>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Follow operational procedures to minimise generation of emissions until system is repaired.</w:t>
            </w:r>
          </w:p>
        </w:tc>
        <w:tc>
          <w:tcPr>
            <w:tcW w:w="1558" w:type="dxa"/>
          </w:tcPr>
          <w:p w14:paraId="67329786"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lastRenderedPageBreak/>
              <w:t>Unlikely</w:t>
            </w:r>
          </w:p>
        </w:tc>
        <w:tc>
          <w:tcPr>
            <w:tcW w:w="1687" w:type="dxa"/>
          </w:tcPr>
          <w:p w14:paraId="1AEBEB3D"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Mild</w:t>
            </w:r>
          </w:p>
        </w:tc>
        <w:tc>
          <w:tcPr>
            <w:tcW w:w="1440" w:type="dxa"/>
            <w:gridSpan w:val="3"/>
          </w:tcPr>
          <w:p w14:paraId="67AC4ACA"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48466EAC" w14:textId="77777777" w:rsidTr="003345BC">
        <w:trPr>
          <w:cantSplit/>
        </w:trPr>
        <w:tc>
          <w:tcPr>
            <w:tcW w:w="1846" w:type="dxa"/>
            <w:gridSpan w:val="2"/>
          </w:tcPr>
          <w:p w14:paraId="32FC0E72"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Failure of media within odour treatment system leading to release of partially treated or untreated, odorous emissions to air</w:t>
            </w:r>
          </w:p>
        </w:tc>
        <w:tc>
          <w:tcPr>
            <w:tcW w:w="1700" w:type="dxa"/>
          </w:tcPr>
          <w:p w14:paraId="0AC2EB55"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Nearby human receptors</w:t>
            </w:r>
          </w:p>
          <w:p w14:paraId="72CACD07" w14:textId="77777777" w:rsidR="007805D4" w:rsidRPr="007805D4" w:rsidRDefault="007805D4" w:rsidP="007805D4">
            <w:pPr>
              <w:spacing w:after="0" w:line="240" w:lineRule="auto"/>
              <w:rPr>
                <w:rFonts w:ascii="Poppins" w:eastAsia="SimSun" w:hAnsi="Poppins" w:cs="Poppins"/>
                <w:sz w:val="18"/>
                <w:szCs w:val="18"/>
                <w:lang w:eastAsia="zh-CN"/>
              </w:rPr>
            </w:pPr>
          </w:p>
          <w:p w14:paraId="69288BBD"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Local air quality and global climate impacts</w:t>
            </w:r>
          </w:p>
          <w:p w14:paraId="5385B7C9" w14:textId="77777777" w:rsidR="007805D4" w:rsidRPr="007805D4" w:rsidRDefault="007805D4" w:rsidP="007805D4">
            <w:pPr>
              <w:spacing w:after="0" w:line="240" w:lineRule="auto"/>
              <w:rPr>
                <w:rFonts w:ascii="Poppins" w:eastAsia="SimSun" w:hAnsi="Poppins" w:cs="Poppins"/>
                <w:sz w:val="18"/>
                <w:szCs w:val="18"/>
                <w:lang w:eastAsia="zh-CN"/>
              </w:rPr>
            </w:pPr>
          </w:p>
        </w:tc>
        <w:tc>
          <w:tcPr>
            <w:tcW w:w="1416" w:type="dxa"/>
          </w:tcPr>
          <w:p w14:paraId="4BE889F6"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Air</w:t>
            </w:r>
          </w:p>
          <w:p w14:paraId="33018A72" w14:textId="77777777" w:rsidR="007805D4" w:rsidRPr="007805D4" w:rsidRDefault="007805D4" w:rsidP="007805D4">
            <w:pPr>
              <w:spacing w:after="0" w:line="240" w:lineRule="auto"/>
              <w:rPr>
                <w:rFonts w:ascii="Poppins" w:eastAsia="SimSun" w:hAnsi="Poppins" w:cs="Poppins"/>
                <w:sz w:val="18"/>
                <w:szCs w:val="18"/>
                <w:lang w:eastAsia="zh-CN"/>
              </w:rPr>
            </w:pPr>
          </w:p>
        </w:tc>
        <w:tc>
          <w:tcPr>
            <w:tcW w:w="4818" w:type="dxa"/>
            <w:gridSpan w:val="2"/>
          </w:tcPr>
          <w:p w14:paraId="5D28F65A"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077FCAB8"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Regular operational checks and process monitoring at OCU.</w:t>
            </w:r>
          </w:p>
          <w:p w14:paraId="6203E113" w14:textId="6B052704" w:rsidR="007805D4" w:rsidRPr="00951799" w:rsidRDefault="007805D4" w:rsidP="00F41E0C">
            <w:pPr>
              <w:numPr>
                <w:ilvl w:val="0"/>
                <w:numId w:val="21"/>
              </w:numPr>
              <w:spacing w:after="0" w:line="240" w:lineRule="auto"/>
              <w:contextualSpacing/>
              <w:jc w:val="both"/>
              <w:rPr>
                <w:rFonts w:ascii="Poppins" w:eastAsia="SimSun" w:hAnsi="Poppins" w:cs="Poppins"/>
                <w:sz w:val="18"/>
                <w:szCs w:val="18"/>
                <w:lang w:eastAsia="zh-CN"/>
              </w:rPr>
            </w:pPr>
            <w:r w:rsidRPr="00951799">
              <w:rPr>
                <w:rFonts w:ascii="Poppins" w:eastAsia="SimSun" w:hAnsi="Poppins" w:cs="Poppins"/>
                <w:sz w:val="18"/>
                <w:szCs w:val="18"/>
                <w:lang w:eastAsia="zh-CN"/>
              </w:rPr>
              <w:t>Inspection and maintenance schedule to ensure reliability of extraction and treatment system.</w:t>
            </w:r>
          </w:p>
          <w:p w14:paraId="49DE864B"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78D2D6C4" w14:textId="77777777" w:rsidR="007805D4" w:rsidRPr="007805D4" w:rsidRDefault="007805D4" w:rsidP="007805D4">
            <w:pPr>
              <w:pStyle w:val="ListParagraph"/>
              <w:numPr>
                <w:ilvl w:val="0"/>
                <w:numId w:val="28"/>
              </w:numPr>
              <w:spacing w:after="0" w:line="240" w:lineRule="auto"/>
              <w:ind w:left="286" w:hanging="283"/>
              <w:jc w:val="both"/>
              <w:rPr>
                <w:rFonts w:eastAsia="SimSun" w:cs="Poppins"/>
                <w:b/>
                <w:lang w:eastAsia="zh-CN"/>
              </w:rPr>
            </w:pPr>
            <w:r w:rsidRPr="007805D4">
              <w:rPr>
                <w:rFonts w:eastAsia="SimSun" w:cs="Poppins"/>
                <w:lang w:eastAsia="zh-CN"/>
              </w:rPr>
              <w:t>Follow operational procedures to minimise generation of emissions until system is repaired.</w:t>
            </w:r>
          </w:p>
        </w:tc>
        <w:tc>
          <w:tcPr>
            <w:tcW w:w="1558" w:type="dxa"/>
          </w:tcPr>
          <w:p w14:paraId="4B861025"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Unlikely</w:t>
            </w:r>
          </w:p>
        </w:tc>
        <w:tc>
          <w:tcPr>
            <w:tcW w:w="1699" w:type="dxa"/>
            <w:gridSpan w:val="2"/>
          </w:tcPr>
          <w:p w14:paraId="7126277E"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Mild</w:t>
            </w:r>
          </w:p>
        </w:tc>
        <w:tc>
          <w:tcPr>
            <w:tcW w:w="1428" w:type="dxa"/>
            <w:gridSpan w:val="2"/>
          </w:tcPr>
          <w:p w14:paraId="5FC5F49F"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r w:rsidR="00951799" w:rsidRPr="007805D4" w14:paraId="22A86090" w14:textId="77777777" w:rsidTr="003345BC">
        <w:tc>
          <w:tcPr>
            <w:tcW w:w="1846" w:type="dxa"/>
            <w:gridSpan w:val="2"/>
            <w:tcBorders>
              <w:bottom w:val="single" w:sz="4" w:space="0" w:color="666666"/>
            </w:tcBorders>
          </w:tcPr>
          <w:p w14:paraId="5110A07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Contamination of ground/groundwater following accidental spillage of exhausted odour control media</w:t>
            </w:r>
          </w:p>
        </w:tc>
        <w:tc>
          <w:tcPr>
            <w:tcW w:w="1700" w:type="dxa"/>
            <w:tcBorders>
              <w:bottom w:val="single" w:sz="4" w:space="0" w:color="666666"/>
            </w:tcBorders>
          </w:tcPr>
          <w:p w14:paraId="05E7CE5E"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 xml:space="preserve">Ground / groundwater / surface waters </w:t>
            </w:r>
          </w:p>
        </w:tc>
        <w:tc>
          <w:tcPr>
            <w:tcW w:w="1416" w:type="dxa"/>
            <w:tcBorders>
              <w:bottom w:val="single" w:sz="4" w:space="0" w:color="666666"/>
            </w:tcBorders>
          </w:tcPr>
          <w:p w14:paraId="28E4B248"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Overland runoff / infiltration / drainage systems</w:t>
            </w:r>
          </w:p>
        </w:tc>
        <w:tc>
          <w:tcPr>
            <w:tcW w:w="4818" w:type="dxa"/>
            <w:gridSpan w:val="2"/>
            <w:tcBorders>
              <w:bottom w:val="single" w:sz="4" w:space="0" w:color="666666"/>
            </w:tcBorders>
          </w:tcPr>
          <w:p w14:paraId="68984E98"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360C0046"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Operational controls in place for removal and disposal of exhausted media.</w:t>
            </w:r>
          </w:p>
          <w:p w14:paraId="05735C38"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Area surrounding odour control unit, including areas where maintenance activities are undertaken are covered by hardstanding and surface water drainage is connected to the head of the works.</w:t>
            </w:r>
          </w:p>
          <w:p w14:paraId="28744FD6" w14:textId="74F0BE22" w:rsidR="007805D4" w:rsidRPr="00951799" w:rsidRDefault="007805D4" w:rsidP="004C6858">
            <w:pPr>
              <w:numPr>
                <w:ilvl w:val="0"/>
                <w:numId w:val="21"/>
              </w:numPr>
              <w:spacing w:after="0" w:line="240" w:lineRule="auto"/>
              <w:contextualSpacing/>
              <w:jc w:val="both"/>
              <w:rPr>
                <w:rFonts w:ascii="Poppins" w:eastAsia="SimSun" w:hAnsi="Poppins" w:cs="Poppins"/>
                <w:sz w:val="18"/>
                <w:szCs w:val="18"/>
                <w:lang w:eastAsia="zh-CN"/>
              </w:rPr>
            </w:pPr>
            <w:r w:rsidRPr="00951799">
              <w:rPr>
                <w:rFonts w:ascii="Poppins" w:eastAsia="SimSun" w:hAnsi="Poppins" w:cs="Poppins"/>
                <w:sz w:val="18"/>
                <w:szCs w:val="18"/>
                <w:lang w:eastAsia="zh-CN"/>
              </w:rPr>
              <w:t>Only appropriately licenced operators used to remove waste from site.</w:t>
            </w:r>
          </w:p>
          <w:p w14:paraId="11278555"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3432D762" w14:textId="77777777" w:rsidR="007805D4" w:rsidRPr="007805D4" w:rsidRDefault="007805D4" w:rsidP="007805D4">
            <w:pPr>
              <w:numPr>
                <w:ilvl w:val="0"/>
                <w:numId w:val="21"/>
              </w:numPr>
              <w:spacing w:after="0" w:line="240" w:lineRule="auto"/>
              <w:contextualSpacing/>
              <w:jc w:val="both"/>
              <w:rPr>
                <w:rFonts w:ascii="Poppins" w:eastAsia="SimSun" w:hAnsi="Poppins" w:cs="Poppins"/>
                <w:b/>
                <w:sz w:val="18"/>
                <w:szCs w:val="18"/>
                <w:lang w:eastAsia="zh-CN"/>
              </w:rPr>
            </w:pPr>
            <w:r w:rsidRPr="007805D4">
              <w:rPr>
                <w:rFonts w:ascii="Poppins" w:eastAsia="SimSun" w:hAnsi="Poppins" w:cs="Poppins"/>
                <w:sz w:val="18"/>
                <w:szCs w:val="18"/>
                <w:lang w:eastAsia="zh-CN"/>
              </w:rPr>
              <w:t>Contain media to prevent pollution.</w:t>
            </w:r>
          </w:p>
          <w:p w14:paraId="394542E4" w14:textId="77777777" w:rsidR="00951799" w:rsidRPr="00951799" w:rsidRDefault="007805D4" w:rsidP="00951799">
            <w:pPr>
              <w:numPr>
                <w:ilvl w:val="0"/>
                <w:numId w:val="21"/>
              </w:numPr>
              <w:spacing w:after="0" w:line="240" w:lineRule="auto"/>
              <w:contextualSpacing/>
              <w:jc w:val="both"/>
              <w:rPr>
                <w:rFonts w:ascii="Poppins" w:eastAsia="SimSun" w:hAnsi="Poppins" w:cs="Poppins"/>
                <w:b/>
                <w:sz w:val="18"/>
                <w:szCs w:val="18"/>
                <w:lang w:eastAsia="zh-CN"/>
              </w:rPr>
            </w:pPr>
            <w:r w:rsidRPr="007805D4">
              <w:rPr>
                <w:rFonts w:ascii="Poppins" w:eastAsia="SimSun" w:hAnsi="Poppins" w:cs="Poppins"/>
                <w:sz w:val="18"/>
                <w:szCs w:val="18"/>
                <w:lang w:eastAsia="zh-CN"/>
              </w:rPr>
              <w:t>Arrange clean up and safe disposal of media as soon as is practicable.</w:t>
            </w:r>
          </w:p>
          <w:p w14:paraId="1D7DABB6" w14:textId="2658B5F4" w:rsidR="00951799" w:rsidRPr="00951799" w:rsidRDefault="00951799" w:rsidP="00123FF8">
            <w:pPr>
              <w:spacing w:after="0" w:line="240" w:lineRule="auto"/>
              <w:ind w:left="360"/>
              <w:contextualSpacing/>
              <w:jc w:val="both"/>
              <w:rPr>
                <w:rFonts w:ascii="Poppins" w:eastAsia="SimSun" w:hAnsi="Poppins" w:cs="Poppins"/>
                <w:b/>
                <w:sz w:val="18"/>
                <w:szCs w:val="18"/>
                <w:lang w:eastAsia="zh-CN"/>
              </w:rPr>
            </w:pPr>
          </w:p>
        </w:tc>
        <w:tc>
          <w:tcPr>
            <w:tcW w:w="1558" w:type="dxa"/>
            <w:tcBorders>
              <w:bottom w:val="single" w:sz="4" w:space="0" w:color="666666"/>
            </w:tcBorders>
          </w:tcPr>
          <w:p w14:paraId="7931282D"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Unlikely</w:t>
            </w:r>
          </w:p>
        </w:tc>
        <w:tc>
          <w:tcPr>
            <w:tcW w:w="1699" w:type="dxa"/>
            <w:gridSpan w:val="2"/>
            <w:tcBorders>
              <w:bottom w:val="single" w:sz="4" w:space="0" w:color="666666"/>
            </w:tcBorders>
          </w:tcPr>
          <w:p w14:paraId="6DDF35FD"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Minor/negligible</w:t>
            </w:r>
          </w:p>
        </w:tc>
        <w:tc>
          <w:tcPr>
            <w:tcW w:w="1428" w:type="dxa"/>
            <w:gridSpan w:val="2"/>
            <w:tcBorders>
              <w:bottom w:val="single" w:sz="4" w:space="0" w:color="666666"/>
            </w:tcBorders>
          </w:tcPr>
          <w:p w14:paraId="27271DA1"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Negligible risk</w:t>
            </w:r>
          </w:p>
        </w:tc>
      </w:tr>
      <w:tr w:rsidR="007805D4" w:rsidRPr="007805D4" w14:paraId="3524C08F" w14:textId="77777777" w:rsidTr="00951799">
        <w:trPr>
          <w:cantSplit/>
        </w:trPr>
        <w:tc>
          <w:tcPr>
            <w:tcW w:w="14465" w:type="dxa"/>
            <w:gridSpan w:val="11"/>
            <w:tcBorders>
              <w:top w:val="nil"/>
            </w:tcBorders>
            <w:shd w:val="clear" w:color="auto" w:fill="F2F2F2"/>
          </w:tcPr>
          <w:p w14:paraId="308D3B32"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lastRenderedPageBreak/>
              <w:t xml:space="preserve">CHPs, Boiler and other gas consumers </w:t>
            </w:r>
          </w:p>
        </w:tc>
      </w:tr>
      <w:tr w:rsidR="00951799" w:rsidRPr="007805D4" w14:paraId="5ABCB0EF" w14:textId="77777777" w:rsidTr="003345BC">
        <w:tc>
          <w:tcPr>
            <w:tcW w:w="1846" w:type="dxa"/>
            <w:gridSpan w:val="2"/>
          </w:tcPr>
          <w:p w14:paraId="5DFC0E28"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Excessive emissions to air from boilers and CHP e.g., due to equipment failure, poor performance or malfunction leading to incomplete or inefficient combustion</w:t>
            </w:r>
          </w:p>
        </w:tc>
        <w:tc>
          <w:tcPr>
            <w:tcW w:w="1700" w:type="dxa"/>
          </w:tcPr>
          <w:p w14:paraId="29B7F710"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Nearby human receptors</w:t>
            </w:r>
          </w:p>
          <w:p w14:paraId="118DF52F"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Local air quality and global climate impacts</w:t>
            </w:r>
          </w:p>
        </w:tc>
        <w:tc>
          <w:tcPr>
            <w:tcW w:w="1416" w:type="dxa"/>
          </w:tcPr>
          <w:p w14:paraId="0E03D3C9"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Air</w:t>
            </w:r>
          </w:p>
        </w:tc>
        <w:tc>
          <w:tcPr>
            <w:tcW w:w="4818" w:type="dxa"/>
            <w:gridSpan w:val="2"/>
          </w:tcPr>
          <w:p w14:paraId="43E072FA"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Preventative controls</w:t>
            </w:r>
          </w:p>
          <w:p w14:paraId="14A7BA10"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Planned preventative maintenance in place for equipment to ensure assets continue to meet original specification on emissions.</w:t>
            </w:r>
          </w:p>
          <w:p w14:paraId="0199B81B"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Site operational knowledge supported through contracts with specialist providers.</w:t>
            </w:r>
          </w:p>
          <w:p w14:paraId="72306747" w14:textId="1086C893" w:rsidR="007805D4" w:rsidRPr="00951799" w:rsidRDefault="007805D4" w:rsidP="00FB2346">
            <w:pPr>
              <w:numPr>
                <w:ilvl w:val="0"/>
                <w:numId w:val="21"/>
              </w:numPr>
              <w:spacing w:after="0" w:line="240" w:lineRule="auto"/>
              <w:contextualSpacing/>
              <w:jc w:val="both"/>
              <w:rPr>
                <w:rFonts w:ascii="Poppins" w:eastAsia="SimSun" w:hAnsi="Poppins" w:cs="Poppins"/>
                <w:sz w:val="18"/>
                <w:szCs w:val="18"/>
                <w:lang w:eastAsia="zh-CN"/>
              </w:rPr>
            </w:pPr>
            <w:r w:rsidRPr="00951799">
              <w:rPr>
                <w:rFonts w:ascii="Poppins" w:eastAsia="SimSun" w:hAnsi="Poppins" w:cs="Poppins"/>
                <w:sz w:val="18"/>
                <w:szCs w:val="18"/>
                <w:lang w:eastAsia="zh-CN"/>
              </w:rPr>
              <w:t>Regular emissions monitoring timetable in operation to confirm required performance level is maintained</w:t>
            </w:r>
            <w:r w:rsidR="00951799" w:rsidRPr="00951799">
              <w:rPr>
                <w:rFonts w:ascii="Poppins" w:eastAsia="SimSun" w:hAnsi="Poppins" w:cs="Poppins"/>
                <w:sz w:val="18"/>
                <w:szCs w:val="18"/>
                <w:lang w:eastAsia="zh-CN"/>
              </w:rPr>
              <w:t>.</w:t>
            </w:r>
          </w:p>
          <w:p w14:paraId="45F70238" w14:textId="77777777" w:rsidR="007805D4" w:rsidRPr="007805D4" w:rsidRDefault="007805D4" w:rsidP="007805D4">
            <w:pPr>
              <w:spacing w:after="0" w:line="240" w:lineRule="auto"/>
              <w:rPr>
                <w:rFonts w:ascii="Poppins" w:eastAsia="SimSun" w:hAnsi="Poppins" w:cs="Poppins"/>
                <w:b/>
                <w:sz w:val="18"/>
                <w:szCs w:val="18"/>
                <w:lang w:eastAsia="zh-CN"/>
              </w:rPr>
            </w:pPr>
            <w:r w:rsidRPr="007805D4">
              <w:rPr>
                <w:rFonts w:ascii="Poppins" w:eastAsia="SimSun" w:hAnsi="Poppins" w:cs="Poppins"/>
                <w:b/>
                <w:sz w:val="18"/>
                <w:szCs w:val="18"/>
                <w:lang w:eastAsia="zh-CN"/>
              </w:rPr>
              <w:t>In the event of an incident/accident</w:t>
            </w:r>
          </w:p>
          <w:p w14:paraId="301CED65" w14:textId="77777777" w:rsidR="007805D4" w:rsidRPr="007805D4" w:rsidRDefault="007805D4" w:rsidP="007805D4">
            <w:pPr>
              <w:numPr>
                <w:ilvl w:val="0"/>
                <w:numId w:val="21"/>
              </w:numPr>
              <w:spacing w:after="0" w:line="240" w:lineRule="auto"/>
              <w:contextualSpacing/>
              <w:jc w:val="both"/>
              <w:rPr>
                <w:rFonts w:ascii="Poppins" w:eastAsia="SimSun" w:hAnsi="Poppins" w:cs="Poppins"/>
                <w:sz w:val="18"/>
                <w:szCs w:val="18"/>
                <w:lang w:eastAsia="zh-CN"/>
              </w:rPr>
            </w:pPr>
            <w:r w:rsidRPr="007805D4">
              <w:rPr>
                <w:rFonts w:ascii="Poppins" w:eastAsia="SimSun" w:hAnsi="Poppins" w:cs="Poppins"/>
                <w:sz w:val="18"/>
                <w:szCs w:val="18"/>
                <w:lang w:eastAsia="zh-CN"/>
              </w:rPr>
              <w:t>Investigate cause and implement preventive measures, which may include system maintenance interventions.</w:t>
            </w:r>
          </w:p>
        </w:tc>
        <w:tc>
          <w:tcPr>
            <w:tcW w:w="1558" w:type="dxa"/>
          </w:tcPr>
          <w:p w14:paraId="60CC075E"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Unlikely</w:t>
            </w:r>
          </w:p>
        </w:tc>
        <w:tc>
          <w:tcPr>
            <w:tcW w:w="1687" w:type="dxa"/>
          </w:tcPr>
          <w:p w14:paraId="0E438C86"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Mild</w:t>
            </w:r>
          </w:p>
        </w:tc>
        <w:tc>
          <w:tcPr>
            <w:tcW w:w="1440" w:type="dxa"/>
            <w:gridSpan w:val="3"/>
          </w:tcPr>
          <w:p w14:paraId="5072AF52" w14:textId="77777777" w:rsidR="007805D4" w:rsidRPr="007805D4" w:rsidRDefault="007805D4" w:rsidP="007805D4">
            <w:pPr>
              <w:spacing w:after="0" w:line="240" w:lineRule="auto"/>
              <w:rPr>
                <w:rFonts w:ascii="Poppins" w:eastAsia="SimSun" w:hAnsi="Poppins" w:cs="Poppins"/>
                <w:sz w:val="18"/>
                <w:szCs w:val="18"/>
                <w:lang w:eastAsia="zh-CN"/>
              </w:rPr>
            </w:pPr>
            <w:r w:rsidRPr="007805D4">
              <w:rPr>
                <w:rFonts w:ascii="Poppins" w:eastAsia="SimSun" w:hAnsi="Poppins" w:cs="Poppins"/>
                <w:sz w:val="18"/>
                <w:szCs w:val="18"/>
                <w:lang w:eastAsia="zh-CN"/>
              </w:rPr>
              <w:t>Low risk</w:t>
            </w:r>
          </w:p>
        </w:tc>
      </w:tr>
    </w:tbl>
    <w:p w14:paraId="13DC99FE" w14:textId="77777777" w:rsidR="007805D4" w:rsidRPr="007805D4" w:rsidRDefault="007805D4" w:rsidP="007805D4">
      <w:pPr>
        <w:spacing w:after="0" w:line="240" w:lineRule="auto"/>
        <w:rPr>
          <w:rFonts w:ascii="Poppins" w:hAnsi="Poppins" w:cs="Poppins"/>
          <w:sz w:val="18"/>
          <w:szCs w:val="18"/>
        </w:rPr>
      </w:pPr>
    </w:p>
    <w:p w14:paraId="110C5E99" w14:textId="77777777" w:rsidR="007805D4" w:rsidRPr="007805D4" w:rsidRDefault="007805D4" w:rsidP="007805D4">
      <w:pPr>
        <w:spacing w:after="0" w:line="240" w:lineRule="auto"/>
        <w:rPr>
          <w:rFonts w:ascii="Poppins" w:hAnsi="Poppins" w:cs="Poppins"/>
          <w:sz w:val="18"/>
          <w:szCs w:val="18"/>
        </w:rPr>
        <w:sectPr w:rsidR="007805D4" w:rsidRPr="007805D4" w:rsidSect="007805D4">
          <w:footerReference w:type="default" r:id="rId16"/>
          <w:pgSz w:w="16838" w:h="11906" w:orient="landscape"/>
          <w:pgMar w:top="1440" w:right="1440" w:bottom="1440" w:left="1440" w:header="708" w:footer="708" w:gutter="0"/>
          <w:cols w:space="708"/>
          <w:docGrid w:linePitch="360"/>
        </w:sectPr>
      </w:pPr>
    </w:p>
    <w:p w14:paraId="5FE11300" w14:textId="4D27C2ED" w:rsidR="004A5585" w:rsidRPr="004A5585" w:rsidRDefault="004A5585" w:rsidP="004A5585">
      <w:pPr>
        <w:jc w:val="both"/>
        <w:rPr>
          <w:rFonts w:ascii="Poppins" w:hAnsi="Poppins" w:cs="Poppins"/>
          <w:b/>
          <w:bCs/>
          <w:sz w:val="20"/>
          <w:szCs w:val="20"/>
        </w:rPr>
      </w:pPr>
      <w:r w:rsidRPr="004A5585">
        <w:rPr>
          <w:rFonts w:ascii="Poppins" w:hAnsi="Poppins" w:cs="Poppins"/>
          <w:b/>
          <w:bCs/>
          <w:sz w:val="20"/>
          <w:szCs w:val="20"/>
        </w:rPr>
        <w:lastRenderedPageBreak/>
        <w:t>Risk Assessment Methodology</w:t>
      </w:r>
    </w:p>
    <w:p w14:paraId="3E5F564D" w14:textId="3B204418" w:rsidR="004A5585" w:rsidRPr="007805D4" w:rsidRDefault="004A5585" w:rsidP="004A5585">
      <w:pPr>
        <w:jc w:val="both"/>
        <w:rPr>
          <w:rFonts w:ascii="Poppins" w:hAnsi="Poppins" w:cs="Poppins"/>
          <w:sz w:val="20"/>
          <w:szCs w:val="20"/>
        </w:rPr>
      </w:pPr>
      <w:r w:rsidRPr="007805D4">
        <w:rPr>
          <w:rFonts w:ascii="Poppins" w:hAnsi="Poppins" w:cs="Poppins"/>
          <w:sz w:val="20"/>
          <w:szCs w:val="20"/>
        </w:rPr>
        <w:t>The risk assessment methodology employed for the accident management plan is summarised in Tables A to D below.</w:t>
      </w:r>
    </w:p>
    <w:p w14:paraId="6A7EA8A1" w14:textId="77777777" w:rsidR="004A5585" w:rsidRPr="007805D4" w:rsidRDefault="004A5585" w:rsidP="004A5585">
      <w:pPr>
        <w:jc w:val="both"/>
        <w:rPr>
          <w:rFonts w:ascii="Poppins" w:hAnsi="Poppins" w:cs="Poppins"/>
          <w:sz w:val="20"/>
          <w:szCs w:val="20"/>
        </w:rPr>
      </w:pPr>
      <w:r w:rsidRPr="007805D4">
        <w:rPr>
          <w:rFonts w:ascii="Poppins" w:hAnsi="Poppins" w:cs="Poppins"/>
          <w:sz w:val="20"/>
          <w:szCs w:val="20"/>
        </w:rPr>
        <w:t>The overall risk rating for each of the identified risk scenarios is determined on the basis of the probability of the scenario occurring (the probability/likelihood score) and the environmental consequence(s) if the scenario were to occur (the consequence score).  The probability and consequence categories used in this methodology are provided in Tables A and B below.</w:t>
      </w:r>
    </w:p>
    <w:p w14:paraId="18180E78" w14:textId="77777777" w:rsidR="004A5585" w:rsidRPr="007805D4" w:rsidRDefault="004A5585" w:rsidP="004A5585">
      <w:pPr>
        <w:spacing w:after="0" w:line="240" w:lineRule="auto"/>
        <w:jc w:val="both"/>
        <w:rPr>
          <w:rFonts w:ascii="Poppins" w:eastAsia="Times New Roman" w:hAnsi="Poppins" w:cs="Poppins"/>
          <w:b/>
          <w:sz w:val="20"/>
          <w:szCs w:val="20"/>
        </w:rPr>
      </w:pPr>
      <w:r w:rsidRPr="007805D4">
        <w:rPr>
          <w:rFonts w:ascii="Poppins" w:hAnsi="Poppins" w:cs="Poppins"/>
          <w:b/>
          <w:sz w:val="20"/>
          <w:szCs w:val="20"/>
        </w:rPr>
        <w:t xml:space="preserve">Table A: </w:t>
      </w:r>
      <w:r w:rsidRPr="007805D4">
        <w:rPr>
          <w:rFonts w:ascii="Poppins" w:eastAsia="Times New Roman" w:hAnsi="Poppins" w:cs="Poppins"/>
          <w:b/>
          <w:sz w:val="20"/>
          <w:szCs w:val="20"/>
        </w:rPr>
        <w:t>Classification of Consequences</w:t>
      </w:r>
    </w:p>
    <w:tbl>
      <w:tblPr>
        <w:tblW w:w="0" w:type="auto"/>
        <w:tblInd w:w="10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855"/>
        <w:gridCol w:w="6688"/>
      </w:tblGrid>
      <w:tr w:rsidR="004A5585" w:rsidRPr="007805D4" w14:paraId="01FDA82B" w14:textId="77777777" w:rsidTr="00476553">
        <w:tc>
          <w:tcPr>
            <w:tcW w:w="1507" w:type="dxa"/>
            <w:shd w:val="clear" w:color="auto" w:fill="004C6C"/>
            <w:hideMark/>
          </w:tcPr>
          <w:p w14:paraId="6DEFCD3C" w14:textId="77777777" w:rsidR="004A5585" w:rsidRPr="007805D4" w:rsidRDefault="004A5585" w:rsidP="00476553">
            <w:pPr>
              <w:spacing w:after="0" w:line="240" w:lineRule="auto"/>
              <w:jc w:val="both"/>
              <w:rPr>
                <w:rFonts w:ascii="Poppins" w:eastAsia="Times New Roman" w:hAnsi="Poppins" w:cs="Poppins"/>
                <w:b/>
                <w:color w:val="FFFFFF"/>
                <w:sz w:val="20"/>
                <w:szCs w:val="20"/>
              </w:rPr>
            </w:pPr>
            <w:r w:rsidRPr="007805D4">
              <w:rPr>
                <w:rFonts w:ascii="Poppins" w:eastAsia="Times New Roman" w:hAnsi="Poppins" w:cs="Poppins"/>
                <w:b/>
                <w:color w:val="FFFFFF"/>
                <w:sz w:val="20"/>
                <w:szCs w:val="20"/>
              </w:rPr>
              <w:t xml:space="preserve">Classification </w:t>
            </w:r>
          </w:p>
        </w:tc>
        <w:tc>
          <w:tcPr>
            <w:tcW w:w="6688" w:type="dxa"/>
            <w:shd w:val="clear" w:color="auto" w:fill="004C6C"/>
            <w:hideMark/>
          </w:tcPr>
          <w:p w14:paraId="23A1671E" w14:textId="77777777" w:rsidR="004A5585" w:rsidRPr="007805D4" w:rsidRDefault="004A5585" w:rsidP="00476553">
            <w:pPr>
              <w:spacing w:after="0" w:line="240" w:lineRule="auto"/>
              <w:jc w:val="both"/>
              <w:rPr>
                <w:rFonts w:ascii="Poppins" w:eastAsia="Times New Roman" w:hAnsi="Poppins" w:cs="Poppins"/>
                <w:b/>
                <w:color w:val="FFFFFF"/>
                <w:sz w:val="20"/>
                <w:szCs w:val="20"/>
              </w:rPr>
            </w:pPr>
            <w:r w:rsidRPr="007805D4">
              <w:rPr>
                <w:rFonts w:ascii="Poppins" w:eastAsia="Times New Roman" w:hAnsi="Poppins" w:cs="Poppins"/>
                <w:b/>
                <w:color w:val="FFFFFF"/>
                <w:sz w:val="20"/>
                <w:szCs w:val="20"/>
              </w:rPr>
              <w:t>Definition</w:t>
            </w:r>
          </w:p>
        </w:tc>
      </w:tr>
      <w:tr w:rsidR="004A5585" w:rsidRPr="007805D4" w14:paraId="064E91B2" w14:textId="77777777" w:rsidTr="00476553">
        <w:tc>
          <w:tcPr>
            <w:tcW w:w="1507" w:type="dxa"/>
            <w:vAlign w:val="center"/>
            <w:hideMark/>
          </w:tcPr>
          <w:p w14:paraId="7B292AEC" w14:textId="77777777" w:rsidR="004A5585" w:rsidRPr="007805D4" w:rsidRDefault="004A5585" w:rsidP="00476553">
            <w:pPr>
              <w:spacing w:after="0" w:line="240" w:lineRule="auto"/>
              <w:rPr>
                <w:rFonts w:ascii="Poppins" w:eastAsia="Times New Roman" w:hAnsi="Poppins" w:cs="Poppins"/>
                <w:sz w:val="20"/>
                <w:szCs w:val="20"/>
              </w:rPr>
            </w:pPr>
            <w:r w:rsidRPr="007805D4">
              <w:rPr>
                <w:rFonts w:ascii="Poppins" w:eastAsia="Times New Roman" w:hAnsi="Poppins" w:cs="Poppins"/>
                <w:sz w:val="20"/>
                <w:szCs w:val="20"/>
              </w:rPr>
              <w:t>Severe</w:t>
            </w:r>
          </w:p>
        </w:tc>
        <w:tc>
          <w:tcPr>
            <w:tcW w:w="6688" w:type="dxa"/>
            <w:hideMark/>
          </w:tcPr>
          <w:p w14:paraId="75608D81"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Acute risks to human health</w:t>
            </w:r>
          </w:p>
          <w:p w14:paraId="142182AE"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Short-term risk of pollution of sensitive water resource (e.g. major spillage into controlled waters)</w:t>
            </w:r>
          </w:p>
          <w:p w14:paraId="649F0794"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Impact on controlled waters e.g. large-scale pollution or very high levels of contamination</w:t>
            </w:r>
          </w:p>
          <w:p w14:paraId="43F2A5B6"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Catastrophic damage to buildings or property (e.g. explosion causing building collapse)</w:t>
            </w:r>
          </w:p>
          <w:p w14:paraId="4ECC1500"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Ecological system effects – irreversible adverse changes to a protected location.  Immediate risks</w:t>
            </w:r>
          </w:p>
        </w:tc>
      </w:tr>
      <w:tr w:rsidR="004A5585" w:rsidRPr="007805D4" w14:paraId="44FE103E" w14:textId="77777777" w:rsidTr="00476553">
        <w:tc>
          <w:tcPr>
            <w:tcW w:w="1507" w:type="dxa"/>
            <w:vAlign w:val="center"/>
            <w:hideMark/>
          </w:tcPr>
          <w:p w14:paraId="0F381456" w14:textId="77777777" w:rsidR="004A5585" w:rsidRPr="007805D4" w:rsidRDefault="004A5585" w:rsidP="00476553">
            <w:pPr>
              <w:spacing w:after="0" w:line="240" w:lineRule="auto"/>
              <w:rPr>
                <w:rFonts w:ascii="Poppins" w:eastAsia="Times New Roman" w:hAnsi="Poppins" w:cs="Poppins"/>
                <w:sz w:val="20"/>
                <w:szCs w:val="20"/>
              </w:rPr>
            </w:pPr>
            <w:r w:rsidRPr="007805D4">
              <w:rPr>
                <w:rFonts w:ascii="Poppins" w:eastAsia="Times New Roman" w:hAnsi="Poppins" w:cs="Poppins"/>
                <w:sz w:val="20"/>
                <w:szCs w:val="20"/>
              </w:rPr>
              <w:t>Medium</w:t>
            </w:r>
          </w:p>
        </w:tc>
        <w:tc>
          <w:tcPr>
            <w:tcW w:w="6688" w:type="dxa"/>
            <w:hideMark/>
          </w:tcPr>
          <w:p w14:paraId="7570E355"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Chronic risks to human health</w:t>
            </w:r>
          </w:p>
          <w:p w14:paraId="06CE27A6"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Pollution of sensitive water resources (e.g. leaching of contaminants into controlled waters)</w:t>
            </w:r>
          </w:p>
          <w:p w14:paraId="2DD3B0D8"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Ecological system effects – substantial adverse changes to a protected location</w:t>
            </w:r>
          </w:p>
          <w:p w14:paraId="2D342862"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Significant damage to buildings, structures and services (e.g. damage rendering a building unsafe to occupy, such as foundation damage)</w:t>
            </w:r>
          </w:p>
        </w:tc>
      </w:tr>
      <w:tr w:rsidR="004A5585" w:rsidRPr="007805D4" w14:paraId="413789CF" w14:textId="77777777" w:rsidTr="00476553">
        <w:tc>
          <w:tcPr>
            <w:tcW w:w="1507" w:type="dxa"/>
            <w:vAlign w:val="center"/>
            <w:hideMark/>
          </w:tcPr>
          <w:p w14:paraId="61C1EFCA" w14:textId="77777777" w:rsidR="004A5585" w:rsidRPr="007805D4" w:rsidRDefault="004A5585" w:rsidP="00476553">
            <w:pPr>
              <w:spacing w:after="0" w:line="240" w:lineRule="auto"/>
              <w:rPr>
                <w:rFonts w:ascii="Poppins" w:eastAsia="Times New Roman" w:hAnsi="Poppins" w:cs="Poppins"/>
                <w:sz w:val="20"/>
                <w:szCs w:val="20"/>
              </w:rPr>
            </w:pPr>
            <w:r w:rsidRPr="007805D4">
              <w:rPr>
                <w:rFonts w:ascii="Poppins" w:eastAsia="Times New Roman" w:hAnsi="Poppins" w:cs="Poppins"/>
                <w:sz w:val="20"/>
                <w:szCs w:val="20"/>
              </w:rPr>
              <w:t>Mild</w:t>
            </w:r>
          </w:p>
        </w:tc>
        <w:tc>
          <w:tcPr>
            <w:tcW w:w="6688" w:type="dxa"/>
            <w:hideMark/>
          </w:tcPr>
          <w:p w14:paraId="68190D58"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Non-permanent health effects to human health</w:t>
            </w:r>
          </w:p>
          <w:p w14:paraId="2421D791"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Pollution of non-sensitive water resources (e.g. pollution of non-classified groundwater)</w:t>
            </w:r>
          </w:p>
          <w:p w14:paraId="41578D0C"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Damage to buildings, structures and services (e.g. damage rendering a building unsafe to occupy, such as foundation damage)</w:t>
            </w:r>
          </w:p>
          <w:p w14:paraId="56CAE81D"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Substantial damage to non-sensitive environments (unprotected ecosystems e.g. crops)</w:t>
            </w:r>
          </w:p>
        </w:tc>
      </w:tr>
      <w:tr w:rsidR="004A5585" w:rsidRPr="007805D4" w14:paraId="3C417B50" w14:textId="77777777" w:rsidTr="00476553">
        <w:tc>
          <w:tcPr>
            <w:tcW w:w="1507" w:type="dxa"/>
            <w:vAlign w:val="center"/>
            <w:hideMark/>
          </w:tcPr>
          <w:p w14:paraId="0AAEABE9" w14:textId="77777777" w:rsidR="004A5585" w:rsidRPr="007805D4" w:rsidRDefault="004A5585" w:rsidP="00476553">
            <w:pPr>
              <w:spacing w:after="0" w:line="240" w:lineRule="auto"/>
              <w:rPr>
                <w:rFonts w:ascii="Poppins" w:eastAsia="Times New Roman" w:hAnsi="Poppins" w:cs="Poppins"/>
                <w:sz w:val="20"/>
                <w:szCs w:val="20"/>
              </w:rPr>
            </w:pPr>
            <w:r w:rsidRPr="007805D4">
              <w:rPr>
                <w:rFonts w:ascii="Poppins" w:eastAsia="Times New Roman" w:hAnsi="Poppins" w:cs="Poppins"/>
                <w:sz w:val="20"/>
                <w:szCs w:val="20"/>
              </w:rPr>
              <w:t>Minor/Negligible</w:t>
            </w:r>
          </w:p>
        </w:tc>
        <w:tc>
          <w:tcPr>
            <w:tcW w:w="6688" w:type="dxa"/>
            <w:hideMark/>
          </w:tcPr>
          <w:p w14:paraId="6A05B7B9"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Non-permanent health effects to human health (easily prevented by appropriate use of PPE)</w:t>
            </w:r>
          </w:p>
          <w:p w14:paraId="7866293E"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Minor pollution to non-sensitive water resources</w:t>
            </w:r>
          </w:p>
          <w:p w14:paraId="02492517"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Minor damage to non-sensitive environments (unprotected ecosystems e.g. crops)</w:t>
            </w:r>
          </w:p>
          <w:p w14:paraId="4B2096AE" w14:textId="77777777" w:rsidR="004A5585" w:rsidRPr="007805D4" w:rsidRDefault="004A5585" w:rsidP="00476553">
            <w:pPr>
              <w:numPr>
                <w:ilvl w:val="0"/>
                <w:numId w:val="29"/>
              </w:numPr>
              <w:spacing w:after="0" w:line="240" w:lineRule="auto"/>
              <w:ind w:left="357" w:hanging="357"/>
              <w:rPr>
                <w:rFonts w:ascii="Poppins" w:eastAsia="Times New Roman" w:hAnsi="Poppins" w:cs="Poppins"/>
                <w:sz w:val="20"/>
                <w:szCs w:val="20"/>
              </w:rPr>
            </w:pPr>
            <w:r w:rsidRPr="007805D4">
              <w:rPr>
                <w:rFonts w:ascii="Poppins" w:eastAsia="Times New Roman" w:hAnsi="Poppins" w:cs="Poppins"/>
                <w:sz w:val="20"/>
                <w:szCs w:val="20"/>
              </w:rPr>
              <w:t>Easily repairable effects of damage to buildings, structures, services or the environment (e.g. discoloration of concrete, loss of plants in a landscaping scene)</w:t>
            </w:r>
          </w:p>
        </w:tc>
      </w:tr>
    </w:tbl>
    <w:p w14:paraId="37247E56" w14:textId="77777777" w:rsidR="004A5585" w:rsidRPr="007805D4" w:rsidRDefault="004A5585" w:rsidP="004A5585">
      <w:pPr>
        <w:spacing w:after="0" w:line="240" w:lineRule="auto"/>
        <w:jc w:val="both"/>
        <w:rPr>
          <w:rFonts w:ascii="Poppins" w:hAnsi="Poppins" w:cs="Poppins"/>
          <w:b/>
          <w:sz w:val="20"/>
          <w:szCs w:val="20"/>
        </w:rPr>
      </w:pPr>
    </w:p>
    <w:p w14:paraId="0E0F6DA8" w14:textId="77777777" w:rsidR="004A5585" w:rsidRPr="007805D4" w:rsidRDefault="004A5585" w:rsidP="004A5585">
      <w:pPr>
        <w:spacing w:after="0" w:line="240" w:lineRule="auto"/>
        <w:jc w:val="both"/>
        <w:rPr>
          <w:rFonts w:ascii="Poppins" w:hAnsi="Poppins" w:cs="Poppins"/>
          <w:b/>
          <w:sz w:val="20"/>
          <w:szCs w:val="20"/>
        </w:rPr>
      </w:pPr>
      <w:r w:rsidRPr="007805D4">
        <w:rPr>
          <w:rFonts w:ascii="Poppins" w:hAnsi="Poppins" w:cs="Poppins"/>
          <w:b/>
          <w:sz w:val="20"/>
          <w:szCs w:val="20"/>
        </w:rPr>
        <w:lastRenderedPageBreak/>
        <w:t>Table B: Classification of probability / Likelihood</w:t>
      </w:r>
    </w:p>
    <w:tbl>
      <w:tblPr>
        <w:tblW w:w="0" w:type="auto"/>
        <w:tblInd w:w="10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636"/>
        <w:gridCol w:w="6741"/>
      </w:tblGrid>
      <w:tr w:rsidR="004A5585" w:rsidRPr="007805D4" w14:paraId="11F09906" w14:textId="77777777" w:rsidTr="00476553">
        <w:tc>
          <w:tcPr>
            <w:tcW w:w="1447" w:type="dxa"/>
            <w:shd w:val="clear" w:color="auto" w:fill="004C6C"/>
            <w:hideMark/>
          </w:tcPr>
          <w:p w14:paraId="00EE734B" w14:textId="77777777" w:rsidR="004A5585" w:rsidRPr="007805D4" w:rsidRDefault="004A5585" w:rsidP="00476553">
            <w:pPr>
              <w:spacing w:before="60" w:after="60" w:line="240" w:lineRule="auto"/>
              <w:jc w:val="both"/>
              <w:rPr>
                <w:rFonts w:ascii="Poppins" w:eastAsia="Times New Roman" w:hAnsi="Poppins" w:cs="Poppins"/>
                <w:b/>
                <w:color w:val="FFFFFF"/>
                <w:sz w:val="20"/>
                <w:szCs w:val="20"/>
              </w:rPr>
            </w:pPr>
            <w:r w:rsidRPr="007805D4">
              <w:rPr>
                <w:rFonts w:ascii="Poppins" w:eastAsia="Times New Roman" w:hAnsi="Poppins" w:cs="Poppins"/>
                <w:b/>
                <w:color w:val="FFFFFF"/>
                <w:sz w:val="20"/>
                <w:szCs w:val="20"/>
              </w:rPr>
              <w:t xml:space="preserve">Classification </w:t>
            </w:r>
          </w:p>
        </w:tc>
        <w:tc>
          <w:tcPr>
            <w:tcW w:w="6741" w:type="dxa"/>
            <w:shd w:val="clear" w:color="auto" w:fill="004C6C"/>
            <w:hideMark/>
          </w:tcPr>
          <w:p w14:paraId="56C9ACA2" w14:textId="77777777" w:rsidR="004A5585" w:rsidRPr="007805D4" w:rsidRDefault="004A5585" w:rsidP="00476553">
            <w:pPr>
              <w:spacing w:before="60" w:after="60" w:line="240" w:lineRule="auto"/>
              <w:jc w:val="both"/>
              <w:rPr>
                <w:rFonts w:ascii="Poppins" w:eastAsia="Times New Roman" w:hAnsi="Poppins" w:cs="Poppins"/>
                <w:b/>
                <w:color w:val="FFFFFF"/>
                <w:sz w:val="20"/>
                <w:szCs w:val="20"/>
              </w:rPr>
            </w:pPr>
            <w:r w:rsidRPr="007805D4">
              <w:rPr>
                <w:rFonts w:ascii="Poppins" w:eastAsia="Times New Roman" w:hAnsi="Poppins" w:cs="Poppins"/>
                <w:b/>
                <w:color w:val="FFFFFF"/>
                <w:sz w:val="20"/>
                <w:szCs w:val="20"/>
              </w:rPr>
              <w:t>Definition</w:t>
            </w:r>
          </w:p>
        </w:tc>
      </w:tr>
      <w:tr w:rsidR="004A5585" w:rsidRPr="007805D4" w14:paraId="62A78264" w14:textId="77777777" w:rsidTr="00476553">
        <w:tc>
          <w:tcPr>
            <w:tcW w:w="1447" w:type="dxa"/>
            <w:vAlign w:val="center"/>
            <w:hideMark/>
          </w:tcPr>
          <w:p w14:paraId="562B35C6" w14:textId="77777777" w:rsidR="004A5585" w:rsidRPr="007805D4" w:rsidRDefault="004A5585" w:rsidP="00476553">
            <w:pPr>
              <w:spacing w:before="60" w:after="60" w:line="240" w:lineRule="auto"/>
              <w:rPr>
                <w:rFonts w:ascii="Poppins" w:eastAsia="Times New Roman" w:hAnsi="Poppins" w:cs="Poppins"/>
                <w:sz w:val="20"/>
                <w:szCs w:val="20"/>
              </w:rPr>
            </w:pPr>
            <w:r w:rsidRPr="007805D4">
              <w:rPr>
                <w:rFonts w:ascii="Poppins" w:eastAsia="Times New Roman" w:hAnsi="Poppins" w:cs="Poppins"/>
                <w:sz w:val="20"/>
                <w:szCs w:val="20"/>
              </w:rPr>
              <w:t>High Likelihood</w:t>
            </w:r>
          </w:p>
        </w:tc>
        <w:tc>
          <w:tcPr>
            <w:tcW w:w="6741" w:type="dxa"/>
            <w:vAlign w:val="center"/>
            <w:hideMark/>
          </w:tcPr>
          <w:p w14:paraId="52BAC86B" w14:textId="77777777" w:rsidR="004A5585" w:rsidRPr="007805D4" w:rsidRDefault="004A5585" w:rsidP="00476553">
            <w:pPr>
              <w:spacing w:before="60" w:after="60" w:line="240" w:lineRule="auto"/>
              <w:rPr>
                <w:rFonts w:ascii="Poppins" w:eastAsia="Times New Roman" w:hAnsi="Poppins" w:cs="Poppins"/>
                <w:sz w:val="20"/>
                <w:szCs w:val="20"/>
              </w:rPr>
            </w:pPr>
            <w:r w:rsidRPr="007805D4">
              <w:rPr>
                <w:rFonts w:ascii="Poppins" w:eastAsia="Times New Roman" w:hAnsi="Poppins" w:cs="Poppins"/>
                <w:sz w:val="20"/>
                <w:szCs w:val="20"/>
              </w:rPr>
              <w:t>An event is very likely to occur in the short term, and is almost inevitable over the long term OR there is evidence at the receptor of harm or pollution</w:t>
            </w:r>
          </w:p>
        </w:tc>
      </w:tr>
      <w:tr w:rsidR="004A5585" w:rsidRPr="007805D4" w14:paraId="15BC5AA7" w14:textId="77777777" w:rsidTr="00476553">
        <w:tc>
          <w:tcPr>
            <w:tcW w:w="1447" w:type="dxa"/>
            <w:vAlign w:val="center"/>
            <w:hideMark/>
          </w:tcPr>
          <w:p w14:paraId="4F422825" w14:textId="77777777" w:rsidR="004A5585" w:rsidRPr="007805D4" w:rsidRDefault="004A5585" w:rsidP="00476553">
            <w:pPr>
              <w:spacing w:before="60" w:after="60" w:line="240" w:lineRule="auto"/>
              <w:rPr>
                <w:rFonts w:ascii="Poppins" w:eastAsia="Times New Roman" w:hAnsi="Poppins" w:cs="Poppins"/>
                <w:sz w:val="20"/>
                <w:szCs w:val="20"/>
              </w:rPr>
            </w:pPr>
            <w:r w:rsidRPr="007805D4">
              <w:rPr>
                <w:rFonts w:ascii="Poppins" w:eastAsia="Times New Roman" w:hAnsi="Poppins" w:cs="Poppins"/>
                <w:sz w:val="20"/>
                <w:szCs w:val="20"/>
              </w:rPr>
              <w:t>Likely</w:t>
            </w:r>
          </w:p>
        </w:tc>
        <w:tc>
          <w:tcPr>
            <w:tcW w:w="6741" w:type="dxa"/>
            <w:vAlign w:val="center"/>
            <w:hideMark/>
          </w:tcPr>
          <w:p w14:paraId="380AE9E9" w14:textId="77777777" w:rsidR="004A5585" w:rsidRPr="007805D4" w:rsidRDefault="004A5585" w:rsidP="00476553">
            <w:pPr>
              <w:spacing w:before="60" w:after="60" w:line="240" w:lineRule="auto"/>
              <w:rPr>
                <w:rFonts w:ascii="Poppins" w:eastAsia="Times New Roman" w:hAnsi="Poppins" w:cs="Poppins"/>
                <w:sz w:val="20"/>
                <w:szCs w:val="20"/>
              </w:rPr>
            </w:pPr>
            <w:r w:rsidRPr="007805D4">
              <w:rPr>
                <w:rFonts w:ascii="Poppins" w:eastAsia="Times New Roman" w:hAnsi="Poppins" w:cs="Poppins"/>
                <w:sz w:val="20"/>
                <w:szCs w:val="20"/>
              </w:rPr>
              <w:t>It is probable that an event will occur.  It is not inevitable, but possible in the short term and likely over the long term</w:t>
            </w:r>
          </w:p>
        </w:tc>
      </w:tr>
      <w:tr w:rsidR="004A5585" w:rsidRPr="007805D4" w14:paraId="297222F3" w14:textId="77777777" w:rsidTr="00476553">
        <w:tc>
          <w:tcPr>
            <w:tcW w:w="1447" w:type="dxa"/>
            <w:vAlign w:val="center"/>
            <w:hideMark/>
          </w:tcPr>
          <w:p w14:paraId="75EE6553" w14:textId="77777777" w:rsidR="004A5585" w:rsidRPr="007805D4" w:rsidRDefault="004A5585" w:rsidP="00476553">
            <w:pPr>
              <w:spacing w:before="60" w:after="60" w:line="240" w:lineRule="auto"/>
              <w:rPr>
                <w:rFonts w:ascii="Poppins" w:eastAsia="Times New Roman" w:hAnsi="Poppins" w:cs="Poppins"/>
                <w:sz w:val="20"/>
                <w:szCs w:val="20"/>
              </w:rPr>
            </w:pPr>
            <w:r w:rsidRPr="007805D4">
              <w:rPr>
                <w:rFonts w:ascii="Poppins" w:eastAsia="Times New Roman" w:hAnsi="Poppins" w:cs="Poppins"/>
                <w:sz w:val="20"/>
                <w:szCs w:val="20"/>
              </w:rPr>
              <w:t>Unlikely</w:t>
            </w:r>
          </w:p>
        </w:tc>
        <w:tc>
          <w:tcPr>
            <w:tcW w:w="6741" w:type="dxa"/>
            <w:vAlign w:val="center"/>
            <w:hideMark/>
          </w:tcPr>
          <w:p w14:paraId="55B204E2" w14:textId="77777777" w:rsidR="004A5585" w:rsidRPr="007805D4" w:rsidRDefault="004A5585" w:rsidP="00476553">
            <w:pPr>
              <w:spacing w:before="60" w:after="60" w:line="240" w:lineRule="auto"/>
              <w:rPr>
                <w:rFonts w:ascii="Poppins" w:eastAsia="Times New Roman" w:hAnsi="Poppins" w:cs="Poppins"/>
                <w:sz w:val="20"/>
                <w:szCs w:val="20"/>
              </w:rPr>
            </w:pPr>
            <w:r w:rsidRPr="007805D4">
              <w:rPr>
                <w:rFonts w:ascii="Poppins" w:eastAsia="Times New Roman" w:hAnsi="Poppins" w:cs="Poppins"/>
                <w:sz w:val="20"/>
                <w:szCs w:val="20"/>
              </w:rPr>
              <w:t>Circumstances are possible under which an event could occur.  It is by no means certain that even over a longer period such an event would take place, and less likely in the short term</w:t>
            </w:r>
          </w:p>
        </w:tc>
      </w:tr>
      <w:tr w:rsidR="004A5585" w:rsidRPr="007805D4" w14:paraId="4F99C6F9" w14:textId="77777777" w:rsidTr="00476553">
        <w:tc>
          <w:tcPr>
            <w:tcW w:w="1447" w:type="dxa"/>
            <w:vAlign w:val="center"/>
            <w:hideMark/>
          </w:tcPr>
          <w:p w14:paraId="1AB39DBF" w14:textId="77777777" w:rsidR="004A5585" w:rsidRPr="007805D4" w:rsidRDefault="004A5585" w:rsidP="00476553">
            <w:pPr>
              <w:spacing w:before="60" w:after="60" w:line="240" w:lineRule="auto"/>
              <w:rPr>
                <w:rFonts w:ascii="Poppins" w:eastAsia="Times New Roman" w:hAnsi="Poppins" w:cs="Poppins"/>
                <w:sz w:val="20"/>
                <w:szCs w:val="20"/>
              </w:rPr>
            </w:pPr>
            <w:r w:rsidRPr="007805D4">
              <w:rPr>
                <w:rFonts w:ascii="Poppins" w:eastAsia="Times New Roman" w:hAnsi="Poppins" w:cs="Poppins"/>
                <w:sz w:val="20"/>
                <w:szCs w:val="20"/>
              </w:rPr>
              <w:t>Highly Unlikely</w:t>
            </w:r>
          </w:p>
        </w:tc>
        <w:tc>
          <w:tcPr>
            <w:tcW w:w="6741" w:type="dxa"/>
            <w:vAlign w:val="center"/>
            <w:hideMark/>
          </w:tcPr>
          <w:p w14:paraId="77B75737" w14:textId="77777777" w:rsidR="004A5585" w:rsidRPr="007805D4" w:rsidRDefault="004A5585" w:rsidP="00476553">
            <w:pPr>
              <w:spacing w:before="60" w:after="60" w:line="240" w:lineRule="auto"/>
              <w:rPr>
                <w:rFonts w:ascii="Poppins" w:eastAsia="Times New Roman" w:hAnsi="Poppins" w:cs="Poppins"/>
                <w:sz w:val="20"/>
                <w:szCs w:val="20"/>
              </w:rPr>
            </w:pPr>
            <w:r w:rsidRPr="007805D4">
              <w:rPr>
                <w:rFonts w:ascii="Poppins" w:eastAsia="Times New Roman" w:hAnsi="Poppins" w:cs="Poppins"/>
                <w:sz w:val="20"/>
                <w:szCs w:val="20"/>
              </w:rPr>
              <w:t>Probability is so low that it is close to zero; It is improbable that an event would occur even in the very long term</w:t>
            </w:r>
          </w:p>
        </w:tc>
      </w:tr>
    </w:tbl>
    <w:p w14:paraId="5973312C" w14:textId="77777777" w:rsidR="004A5585" w:rsidRPr="007805D4" w:rsidRDefault="004A5585" w:rsidP="004A5585">
      <w:pPr>
        <w:jc w:val="right"/>
        <w:rPr>
          <w:rFonts w:ascii="Poppins" w:hAnsi="Poppins" w:cs="Poppins"/>
          <w:sz w:val="20"/>
          <w:szCs w:val="20"/>
        </w:rPr>
      </w:pPr>
    </w:p>
    <w:p w14:paraId="2A28103F" w14:textId="77777777" w:rsidR="004A5585" w:rsidRPr="007805D4" w:rsidRDefault="004A5585" w:rsidP="004A5585">
      <w:pPr>
        <w:jc w:val="both"/>
        <w:rPr>
          <w:rFonts w:ascii="Poppins" w:hAnsi="Poppins" w:cs="Poppins"/>
          <w:sz w:val="20"/>
          <w:szCs w:val="20"/>
        </w:rPr>
      </w:pPr>
      <w:r w:rsidRPr="007805D4">
        <w:rPr>
          <w:rFonts w:ascii="Poppins" w:hAnsi="Poppins" w:cs="Poppins"/>
          <w:sz w:val="20"/>
          <w:szCs w:val="20"/>
        </w:rPr>
        <w:t>Table C below provides the matrix used to identify the overall risk category using these consequence and probability categories.</w:t>
      </w:r>
    </w:p>
    <w:p w14:paraId="5E041867" w14:textId="77777777" w:rsidR="004A5585" w:rsidRPr="007805D4" w:rsidRDefault="004A5585" w:rsidP="004A5585">
      <w:pPr>
        <w:spacing w:after="60"/>
        <w:rPr>
          <w:rFonts w:ascii="Poppins" w:eastAsia="Times New Roman" w:hAnsi="Poppins" w:cs="Poppins"/>
          <w:b/>
          <w:sz w:val="20"/>
          <w:szCs w:val="20"/>
        </w:rPr>
      </w:pPr>
      <w:r w:rsidRPr="007805D4">
        <w:rPr>
          <w:rFonts w:ascii="Poppins" w:hAnsi="Poppins" w:cs="Poppins"/>
          <w:b/>
          <w:sz w:val="20"/>
          <w:szCs w:val="20"/>
        </w:rPr>
        <w:t xml:space="preserve">Table C: </w:t>
      </w:r>
      <w:r w:rsidRPr="007805D4">
        <w:rPr>
          <w:rFonts w:ascii="Poppins" w:eastAsia="Times New Roman" w:hAnsi="Poppins" w:cs="Poppins"/>
          <w:b/>
          <w:sz w:val="20"/>
          <w:szCs w:val="20"/>
        </w:rPr>
        <w:t>Risk Matrix and Terminology Used for Risk Assessments</w:t>
      </w:r>
    </w:p>
    <w:tbl>
      <w:tblPr>
        <w:tblW w:w="8790" w:type="dxa"/>
        <w:tblInd w:w="10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567"/>
        <w:gridCol w:w="1268"/>
        <w:gridCol w:w="1722"/>
        <w:gridCol w:w="1862"/>
        <w:gridCol w:w="1735"/>
        <w:gridCol w:w="1636"/>
      </w:tblGrid>
      <w:tr w:rsidR="004A5585" w:rsidRPr="007805D4" w14:paraId="5F34E21C" w14:textId="77777777" w:rsidTr="00476553">
        <w:tc>
          <w:tcPr>
            <w:tcW w:w="567" w:type="dxa"/>
            <w:tcBorders>
              <w:top w:val="nil"/>
              <w:left w:val="nil"/>
              <w:bottom w:val="nil"/>
              <w:right w:val="nil"/>
            </w:tcBorders>
            <w:textDirection w:val="tbRl"/>
            <w:vAlign w:val="center"/>
          </w:tcPr>
          <w:p w14:paraId="5E290740" w14:textId="77777777" w:rsidR="004A5585" w:rsidRPr="007805D4" w:rsidRDefault="004A5585" w:rsidP="00476553">
            <w:pPr>
              <w:tabs>
                <w:tab w:val="left" w:pos="1418"/>
              </w:tabs>
              <w:spacing w:before="60" w:after="60" w:line="240" w:lineRule="auto"/>
              <w:ind w:left="113" w:right="113"/>
              <w:jc w:val="center"/>
              <w:rPr>
                <w:rFonts w:ascii="Poppins" w:eastAsia="Times New Roman" w:hAnsi="Poppins" w:cs="Poppins"/>
                <w:b/>
                <w:sz w:val="20"/>
                <w:szCs w:val="20"/>
              </w:rPr>
            </w:pPr>
          </w:p>
        </w:tc>
        <w:tc>
          <w:tcPr>
            <w:tcW w:w="1268" w:type="dxa"/>
            <w:tcBorders>
              <w:top w:val="nil"/>
              <w:left w:val="nil"/>
              <w:bottom w:val="nil"/>
            </w:tcBorders>
          </w:tcPr>
          <w:p w14:paraId="6708084D" w14:textId="77777777" w:rsidR="004A5585" w:rsidRPr="007805D4" w:rsidRDefault="004A5585" w:rsidP="00476553">
            <w:pPr>
              <w:tabs>
                <w:tab w:val="left" w:pos="1418"/>
              </w:tabs>
              <w:spacing w:before="60" w:after="60" w:line="240" w:lineRule="auto"/>
              <w:jc w:val="both"/>
              <w:rPr>
                <w:rFonts w:ascii="Poppins" w:eastAsia="Times New Roman" w:hAnsi="Poppins" w:cs="Poppins"/>
                <w:b/>
                <w:sz w:val="20"/>
                <w:szCs w:val="20"/>
              </w:rPr>
            </w:pPr>
          </w:p>
        </w:tc>
        <w:tc>
          <w:tcPr>
            <w:tcW w:w="6955" w:type="dxa"/>
            <w:gridSpan w:val="4"/>
            <w:shd w:val="clear" w:color="auto" w:fill="004C6C"/>
            <w:vAlign w:val="center"/>
            <w:hideMark/>
          </w:tcPr>
          <w:p w14:paraId="3A335AF3" w14:textId="77777777" w:rsidR="004A5585" w:rsidRPr="007805D4" w:rsidRDefault="004A5585" w:rsidP="00476553">
            <w:pPr>
              <w:spacing w:before="60" w:after="60" w:line="240" w:lineRule="auto"/>
              <w:jc w:val="center"/>
              <w:rPr>
                <w:rFonts w:ascii="Poppins" w:eastAsia="Times New Roman" w:hAnsi="Poppins" w:cs="Poppins"/>
                <w:color w:val="FFFFFF"/>
                <w:sz w:val="20"/>
                <w:szCs w:val="20"/>
              </w:rPr>
            </w:pPr>
            <w:r w:rsidRPr="007805D4">
              <w:rPr>
                <w:rFonts w:ascii="Poppins" w:eastAsia="Times New Roman" w:hAnsi="Poppins" w:cs="Poppins"/>
                <w:b/>
                <w:color w:val="FFFFFF"/>
                <w:sz w:val="20"/>
                <w:szCs w:val="20"/>
              </w:rPr>
              <w:t>Consequence</w:t>
            </w:r>
          </w:p>
        </w:tc>
      </w:tr>
      <w:tr w:rsidR="004A5585" w:rsidRPr="007805D4" w14:paraId="14E24567" w14:textId="77777777" w:rsidTr="00476553">
        <w:tc>
          <w:tcPr>
            <w:tcW w:w="567" w:type="dxa"/>
            <w:tcBorders>
              <w:top w:val="nil"/>
              <w:left w:val="nil"/>
              <w:right w:val="nil"/>
            </w:tcBorders>
          </w:tcPr>
          <w:p w14:paraId="0AD3311B" w14:textId="77777777" w:rsidR="004A5585" w:rsidRPr="007805D4" w:rsidRDefault="004A5585" w:rsidP="00476553">
            <w:pPr>
              <w:tabs>
                <w:tab w:val="left" w:pos="1418"/>
              </w:tabs>
              <w:spacing w:before="60" w:after="60" w:line="240" w:lineRule="auto"/>
              <w:jc w:val="both"/>
              <w:rPr>
                <w:rFonts w:ascii="Poppins" w:eastAsia="Times New Roman" w:hAnsi="Poppins" w:cs="Poppins"/>
                <w:sz w:val="20"/>
                <w:szCs w:val="20"/>
              </w:rPr>
            </w:pPr>
          </w:p>
        </w:tc>
        <w:tc>
          <w:tcPr>
            <w:tcW w:w="1268" w:type="dxa"/>
            <w:tcBorders>
              <w:top w:val="nil"/>
              <w:left w:val="nil"/>
            </w:tcBorders>
          </w:tcPr>
          <w:p w14:paraId="630F7F9F" w14:textId="77777777" w:rsidR="004A5585" w:rsidRPr="007805D4" w:rsidRDefault="004A5585" w:rsidP="00476553">
            <w:pPr>
              <w:tabs>
                <w:tab w:val="left" w:pos="1418"/>
              </w:tabs>
              <w:spacing w:before="60" w:after="60" w:line="240" w:lineRule="auto"/>
              <w:jc w:val="both"/>
              <w:rPr>
                <w:rFonts w:ascii="Poppins" w:eastAsia="Times New Roman" w:hAnsi="Poppins" w:cs="Poppins"/>
                <w:b/>
                <w:sz w:val="20"/>
                <w:szCs w:val="20"/>
              </w:rPr>
            </w:pPr>
          </w:p>
        </w:tc>
        <w:tc>
          <w:tcPr>
            <w:tcW w:w="1722" w:type="dxa"/>
            <w:shd w:val="clear" w:color="auto" w:fill="D9D9D9" w:themeFill="background1" w:themeFillShade="D9"/>
            <w:vAlign w:val="center"/>
            <w:hideMark/>
          </w:tcPr>
          <w:p w14:paraId="649FD40C" w14:textId="77777777" w:rsidR="004A5585" w:rsidRPr="007805D4" w:rsidRDefault="004A5585" w:rsidP="00476553">
            <w:pPr>
              <w:tabs>
                <w:tab w:val="left" w:pos="1418"/>
              </w:tabs>
              <w:spacing w:before="60" w:after="60" w:line="240" w:lineRule="auto"/>
              <w:jc w:val="center"/>
              <w:rPr>
                <w:rFonts w:ascii="Poppins" w:eastAsia="Times New Roman" w:hAnsi="Poppins" w:cs="Poppins"/>
                <w:b/>
                <w:sz w:val="20"/>
                <w:szCs w:val="20"/>
              </w:rPr>
            </w:pPr>
            <w:r w:rsidRPr="007805D4">
              <w:rPr>
                <w:rFonts w:ascii="Poppins" w:eastAsia="Times New Roman" w:hAnsi="Poppins" w:cs="Poppins"/>
                <w:b/>
                <w:sz w:val="20"/>
                <w:szCs w:val="20"/>
              </w:rPr>
              <w:t>Severe</w:t>
            </w:r>
          </w:p>
        </w:tc>
        <w:tc>
          <w:tcPr>
            <w:tcW w:w="1862" w:type="dxa"/>
            <w:shd w:val="clear" w:color="auto" w:fill="D9D9D9" w:themeFill="background1" w:themeFillShade="D9"/>
            <w:vAlign w:val="center"/>
            <w:hideMark/>
          </w:tcPr>
          <w:p w14:paraId="6296AFAB" w14:textId="77777777" w:rsidR="004A5585" w:rsidRPr="007805D4" w:rsidRDefault="004A5585" w:rsidP="00476553">
            <w:pPr>
              <w:tabs>
                <w:tab w:val="left" w:pos="1418"/>
              </w:tabs>
              <w:spacing w:before="60" w:after="60" w:line="240" w:lineRule="auto"/>
              <w:jc w:val="center"/>
              <w:rPr>
                <w:rFonts w:ascii="Poppins" w:eastAsia="Times New Roman" w:hAnsi="Poppins" w:cs="Poppins"/>
                <w:b/>
                <w:sz w:val="20"/>
                <w:szCs w:val="20"/>
              </w:rPr>
            </w:pPr>
            <w:r w:rsidRPr="007805D4">
              <w:rPr>
                <w:rFonts w:ascii="Poppins" w:eastAsia="Times New Roman" w:hAnsi="Poppins" w:cs="Poppins"/>
                <w:b/>
                <w:sz w:val="20"/>
                <w:szCs w:val="20"/>
              </w:rPr>
              <w:t>Medium</w:t>
            </w:r>
          </w:p>
        </w:tc>
        <w:tc>
          <w:tcPr>
            <w:tcW w:w="1735" w:type="dxa"/>
            <w:shd w:val="clear" w:color="auto" w:fill="D9D9D9" w:themeFill="background1" w:themeFillShade="D9"/>
            <w:vAlign w:val="center"/>
            <w:hideMark/>
          </w:tcPr>
          <w:p w14:paraId="49DE0EC2" w14:textId="77777777" w:rsidR="004A5585" w:rsidRPr="007805D4" w:rsidRDefault="004A5585" w:rsidP="00476553">
            <w:pPr>
              <w:tabs>
                <w:tab w:val="left" w:pos="1418"/>
              </w:tabs>
              <w:spacing w:before="60" w:after="60" w:line="240" w:lineRule="auto"/>
              <w:jc w:val="center"/>
              <w:rPr>
                <w:rFonts w:ascii="Poppins" w:eastAsia="Times New Roman" w:hAnsi="Poppins" w:cs="Poppins"/>
                <w:b/>
                <w:sz w:val="20"/>
                <w:szCs w:val="20"/>
              </w:rPr>
            </w:pPr>
            <w:r w:rsidRPr="007805D4">
              <w:rPr>
                <w:rFonts w:ascii="Poppins" w:eastAsia="Times New Roman" w:hAnsi="Poppins" w:cs="Poppins"/>
                <w:b/>
                <w:sz w:val="20"/>
                <w:szCs w:val="20"/>
              </w:rPr>
              <w:t>Mild</w:t>
            </w:r>
          </w:p>
        </w:tc>
        <w:tc>
          <w:tcPr>
            <w:tcW w:w="1636" w:type="dxa"/>
            <w:shd w:val="clear" w:color="auto" w:fill="D9D9D9" w:themeFill="background1" w:themeFillShade="D9"/>
            <w:vAlign w:val="center"/>
            <w:hideMark/>
          </w:tcPr>
          <w:p w14:paraId="66E907EF" w14:textId="77777777" w:rsidR="004A5585" w:rsidRPr="007805D4" w:rsidRDefault="004A5585" w:rsidP="00476553">
            <w:pPr>
              <w:tabs>
                <w:tab w:val="left" w:pos="1418"/>
              </w:tabs>
              <w:spacing w:before="60" w:after="60" w:line="240" w:lineRule="auto"/>
              <w:jc w:val="center"/>
              <w:rPr>
                <w:rFonts w:ascii="Poppins" w:eastAsia="Times New Roman" w:hAnsi="Poppins" w:cs="Poppins"/>
                <w:b/>
                <w:sz w:val="20"/>
                <w:szCs w:val="20"/>
              </w:rPr>
            </w:pPr>
            <w:r w:rsidRPr="007805D4">
              <w:rPr>
                <w:rFonts w:ascii="Poppins" w:eastAsia="Times New Roman" w:hAnsi="Poppins" w:cs="Poppins"/>
                <w:b/>
                <w:sz w:val="20"/>
                <w:szCs w:val="20"/>
              </w:rPr>
              <w:t>Minor/Negligible</w:t>
            </w:r>
          </w:p>
        </w:tc>
      </w:tr>
      <w:tr w:rsidR="004A5585" w:rsidRPr="007805D4" w14:paraId="00E9E435" w14:textId="77777777" w:rsidTr="00476553">
        <w:tc>
          <w:tcPr>
            <w:tcW w:w="567" w:type="dxa"/>
            <w:vMerge w:val="restart"/>
            <w:shd w:val="clear" w:color="auto" w:fill="004C6C"/>
            <w:textDirection w:val="btLr"/>
            <w:vAlign w:val="center"/>
            <w:hideMark/>
          </w:tcPr>
          <w:p w14:paraId="478D3145" w14:textId="77777777" w:rsidR="004A5585" w:rsidRPr="007805D4" w:rsidRDefault="004A5585" w:rsidP="00476553">
            <w:pPr>
              <w:tabs>
                <w:tab w:val="left" w:pos="1418"/>
              </w:tabs>
              <w:spacing w:before="60" w:after="60" w:line="240" w:lineRule="auto"/>
              <w:ind w:left="113" w:right="113"/>
              <w:jc w:val="center"/>
              <w:rPr>
                <w:rFonts w:ascii="Poppins" w:eastAsia="Times New Roman" w:hAnsi="Poppins" w:cs="Poppins"/>
                <w:b/>
                <w:color w:val="FFFFFF"/>
                <w:sz w:val="20"/>
                <w:szCs w:val="20"/>
              </w:rPr>
            </w:pPr>
            <w:r w:rsidRPr="007805D4">
              <w:rPr>
                <w:rFonts w:ascii="Poppins" w:eastAsia="Times New Roman" w:hAnsi="Poppins" w:cs="Poppins"/>
                <w:b/>
                <w:color w:val="FFFFFF"/>
                <w:sz w:val="20"/>
                <w:szCs w:val="20"/>
              </w:rPr>
              <w:t>Probability (Likelihood)</w:t>
            </w:r>
          </w:p>
        </w:tc>
        <w:tc>
          <w:tcPr>
            <w:tcW w:w="1268" w:type="dxa"/>
            <w:shd w:val="clear" w:color="auto" w:fill="D9D9D9" w:themeFill="background1" w:themeFillShade="D9"/>
            <w:vAlign w:val="center"/>
            <w:hideMark/>
          </w:tcPr>
          <w:p w14:paraId="0EA80E65" w14:textId="77777777" w:rsidR="004A5585" w:rsidRPr="007805D4" w:rsidRDefault="004A5585" w:rsidP="00476553">
            <w:pPr>
              <w:tabs>
                <w:tab w:val="left" w:pos="1418"/>
              </w:tabs>
              <w:spacing w:before="60" w:after="60" w:line="240" w:lineRule="auto"/>
              <w:jc w:val="center"/>
              <w:rPr>
                <w:rFonts w:ascii="Poppins" w:eastAsia="Times New Roman" w:hAnsi="Poppins" w:cs="Poppins"/>
                <w:b/>
                <w:sz w:val="20"/>
                <w:szCs w:val="20"/>
              </w:rPr>
            </w:pPr>
            <w:r w:rsidRPr="007805D4">
              <w:rPr>
                <w:rFonts w:ascii="Poppins" w:eastAsia="Times New Roman" w:hAnsi="Poppins" w:cs="Poppins"/>
                <w:b/>
                <w:sz w:val="20"/>
                <w:szCs w:val="20"/>
              </w:rPr>
              <w:t>High Likelihood</w:t>
            </w:r>
          </w:p>
        </w:tc>
        <w:tc>
          <w:tcPr>
            <w:tcW w:w="1722" w:type="dxa"/>
            <w:vAlign w:val="center"/>
            <w:hideMark/>
          </w:tcPr>
          <w:p w14:paraId="603CE280"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Very high risk</w:t>
            </w:r>
          </w:p>
        </w:tc>
        <w:tc>
          <w:tcPr>
            <w:tcW w:w="1862" w:type="dxa"/>
            <w:vAlign w:val="center"/>
            <w:hideMark/>
          </w:tcPr>
          <w:p w14:paraId="1ACA2FFB"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High risk</w:t>
            </w:r>
          </w:p>
        </w:tc>
        <w:tc>
          <w:tcPr>
            <w:tcW w:w="1735" w:type="dxa"/>
            <w:vAlign w:val="center"/>
            <w:hideMark/>
          </w:tcPr>
          <w:p w14:paraId="599F5DBD"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Moderate risk</w:t>
            </w:r>
          </w:p>
        </w:tc>
        <w:tc>
          <w:tcPr>
            <w:tcW w:w="1636" w:type="dxa"/>
            <w:vAlign w:val="center"/>
            <w:hideMark/>
          </w:tcPr>
          <w:p w14:paraId="51DC0648"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Moderate/Low risk</w:t>
            </w:r>
          </w:p>
        </w:tc>
      </w:tr>
      <w:tr w:rsidR="004A5585" w:rsidRPr="007805D4" w14:paraId="632DEC46" w14:textId="77777777" w:rsidTr="00476553">
        <w:tc>
          <w:tcPr>
            <w:tcW w:w="567" w:type="dxa"/>
            <w:vMerge/>
            <w:shd w:val="clear" w:color="auto" w:fill="004C6C"/>
            <w:vAlign w:val="center"/>
            <w:hideMark/>
          </w:tcPr>
          <w:p w14:paraId="27E475E2" w14:textId="77777777" w:rsidR="004A5585" w:rsidRPr="007805D4" w:rsidRDefault="004A5585" w:rsidP="00476553">
            <w:pPr>
              <w:spacing w:after="0" w:line="240" w:lineRule="auto"/>
              <w:rPr>
                <w:rFonts w:ascii="Poppins" w:eastAsia="Times New Roman" w:hAnsi="Poppins" w:cs="Poppins"/>
                <w:b/>
                <w:color w:val="FFFFFF"/>
                <w:sz w:val="20"/>
                <w:szCs w:val="20"/>
              </w:rPr>
            </w:pPr>
          </w:p>
        </w:tc>
        <w:tc>
          <w:tcPr>
            <w:tcW w:w="1268" w:type="dxa"/>
            <w:shd w:val="clear" w:color="auto" w:fill="D9D9D9" w:themeFill="background1" w:themeFillShade="D9"/>
            <w:vAlign w:val="center"/>
            <w:hideMark/>
          </w:tcPr>
          <w:p w14:paraId="028B3486" w14:textId="77777777" w:rsidR="004A5585" w:rsidRPr="007805D4" w:rsidRDefault="004A5585" w:rsidP="00476553">
            <w:pPr>
              <w:tabs>
                <w:tab w:val="left" w:pos="1418"/>
              </w:tabs>
              <w:spacing w:before="60" w:after="60" w:line="240" w:lineRule="auto"/>
              <w:jc w:val="center"/>
              <w:rPr>
                <w:rFonts w:ascii="Poppins" w:eastAsia="Times New Roman" w:hAnsi="Poppins" w:cs="Poppins"/>
                <w:b/>
                <w:sz w:val="20"/>
                <w:szCs w:val="20"/>
              </w:rPr>
            </w:pPr>
            <w:r w:rsidRPr="007805D4">
              <w:rPr>
                <w:rFonts w:ascii="Poppins" w:eastAsia="Times New Roman" w:hAnsi="Poppins" w:cs="Poppins"/>
                <w:b/>
                <w:sz w:val="20"/>
                <w:szCs w:val="20"/>
              </w:rPr>
              <w:t>Likely</w:t>
            </w:r>
          </w:p>
        </w:tc>
        <w:tc>
          <w:tcPr>
            <w:tcW w:w="1722" w:type="dxa"/>
            <w:vAlign w:val="center"/>
            <w:hideMark/>
          </w:tcPr>
          <w:p w14:paraId="316ABA5B"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High risk</w:t>
            </w:r>
          </w:p>
        </w:tc>
        <w:tc>
          <w:tcPr>
            <w:tcW w:w="1862" w:type="dxa"/>
            <w:vAlign w:val="center"/>
            <w:hideMark/>
          </w:tcPr>
          <w:p w14:paraId="667C03B2"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Moderate risk</w:t>
            </w:r>
          </w:p>
        </w:tc>
        <w:tc>
          <w:tcPr>
            <w:tcW w:w="1735" w:type="dxa"/>
            <w:vAlign w:val="center"/>
            <w:hideMark/>
          </w:tcPr>
          <w:p w14:paraId="3EA6B990"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Moderate/Low risk</w:t>
            </w:r>
          </w:p>
        </w:tc>
        <w:tc>
          <w:tcPr>
            <w:tcW w:w="1636" w:type="dxa"/>
            <w:vAlign w:val="center"/>
            <w:hideMark/>
          </w:tcPr>
          <w:p w14:paraId="1D29AF11"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Low risk</w:t>
            </w:r>
          </w:p>
        </w:tc>
      </w:tr>
      <w:tr w:rsidR="004A5585" w:rsidRPr="007805D4" w14:paraId="5D52ACF5" w14:textId="77777777" w:rsidTr="00476553">
        <w:tc>
          <w:tcPr>
            <w:tcW w:w="567" w:type="dxa"/>
            <w:vMerge/>
            <w:shd w:val="clear" w:color="auto" w:fill="004C6C"/>
            <w:vAlign w:val="center"/>
            <w:hideMark/>
          </w:tcPr>
          <w:p w14:paraId="73CE361C" w14:textId="77777777" w:rsidR="004A5585" w:rsidRPr="007805D4" w:rsidRDefault="004A5585" w:rsidP="00476553">
            <w:pPr>
              <w:spacing w:after="0" w:line="240" w:lineRule="auto"/>
              <w:rPr>
                <w:rFonts w:ascii="Poppins" w:eastAsia="Times New Roman" w:hAnsi="Poppins" w:cs="Poppins"/>
                <w:b/>
                <w:color w:val="FFFFFF"/>
                <w:sz w:val="20"/>
                <w:szCs w:val="20"/>
              </w:rPr>
            </w:pPr>
          </w:p>
        </w:tc>
        <w:tc>
          <w:tcPr>
            <w:tcW w:w="1268" w:type="dxa"/>
            <w:shd w:val="clear" w:color="auto" w:fill="D9D9D9" w:themeFill="background1" w:themeFillShade="D9"/>
            <w:vAlign w:val="center"/>
            <w:hideMark/>
          </w:tcPr>
          <w:p w14:paraId="48FEB39A" w14:textId="77777777" w:rsidR="004A5585" w:rsidRPr="007805D4" w:rsidRDefault="004A5585" w:rsidP="00476553">
            <w:pPr>
              <w:tabs>
                <w:tab w:val="left" w:pos="1418"/>
              </w:tabs>
              <w:spacing w:before="60" w:after="60" w:line="240" w:lineRule="auto"/>
              <w:jc w:val="center"/>
              <w:rPr>
                <w:rFonts w:ascii="Poppins" w:eastAsia="Times New Roman" w:hAnsi="Poppins" w:cs="Poppins"/>
                <w:b/>
                <w:sz w:val="20"/>
                <w:szCs w:val="20"/>
              </w:rPr>
            </w:pPr>
            <w:r w:rsidRPr="007805D4">
              <w:rPr>
                <w:rFonts w:ascii="Poppins" w:eastAsia="Times New Roman" w:hAnsi="Poppins" w:cs="Poppins"/>
                <w:b/>
                <w:sz w:val="20"/>
                <w:szCs w:val="20"/>
              </w:rPr>
              <w:t>Unlikely</w:t>
            </w:r>
          </w:p>
        </w:tc>
        <w:tc>
          <w:tcPr>
            <w:tcW w:w="1722" w:type="dxa"/>
            <w:vAlign w:val="center"/>
            <w:hideMark/>
          </w:tcPr>
          <w:p w14:paraId="6E3CF648"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Moderate risk</w:t>
            </w:r>
          </w:p>
        </w:tc>
        <w:tc>
          <w:tcPr>
            <w:tcW w:w="1862" w:type="dxa"/>
            <w:vAlign w:val="center"/>
            <w:hideMark/>
          </w:tcPr>
          <w:p w14:paraId="33C1121B"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Moderate/Low risk</w:t>
            </w:r>
          </w:p>
        </w:tc>
        <w:tc>
          <w:tcPr>
            <w:tcW w:w="1735" w:type="dxa"/>
            <w:vAlign w:val="center"/>
            <w:hideMark/>
          </w:tcPr>
          <w:p w14:paraId="10E069A8"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Low risk</w:t>
            </w:r>
          </w:p>
        </w:tc>
        <w:tc>
          <w:tcPr>
            <w:tcW w:w="1636" w:type="dxa"/>
            <w:vAlign w:val="center"/>
            <w:hideMark/>
          </w:tcPr>
          <w:p w14:paraId="0C420F53" w14:textId="77777777" w:rsidR="004A5585" w:rsidRPr="007805D4" w:rsidRDefault="004A5585" w:rsidP="00476553">
            <w:pPr>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Negligible risk</w:t>
            </w:r>
          </w:p>
        </w:tc>
      </w:tr>
      <w:tr w:rsidR="004A5585" w:rsidRPr="007805D4" w14:paraId="7E8FE2EA" w14:textId="77777777" w:rsidTr="00476553">
        <w:tc>
          <w:tcPr>
            <w:tcW w:w="567" w:type="dxa"/>
            <w:vMerge/>
            <w:shd w:val="clear" w:color="auto" w:fill="004C6C"/>
            <w:vAlign w:val="center"/>
            <w:hideMark/>
          </w:tcPr>
          <w:p w14:paraId="47C2099F" w14:textId="77777777" w:rsidR="004A5585" w:rsidRPr="007805D4" w:rsidRDefault="004A5585" w:rsidP="00476553">
            <w:pPr>
              <w:spacing w:after="0" w:line="240" w:lineRule="auto"/>
              <w:rPr>
                <w:rFonts w:ascii="Poppins" w:eastAsia="Times New Roman" w:hAnsi="Poppins" w:cs="Poppins"/>
                <w:b/>
                <w:color w:val="FFFFFF"/>
                <w:sz w:val="20"/>
                <w:szCs w:val="20"/>
              </w:rPr>
            </w:pPr>
          </w:p>
        </w:tc>
        <w:tc>
          <w:tcPr>
            <w:tcW w:w="1268" w:type="dxa"/>
            <w:shd w:val="clear" w:color="auto" w:fill="D9D9D9" w:themeFill="background1" w:themeFillShade="D9"/>
            <w:vAlign w:val="center"/>
            <w:hideMark/>
          </w:tcPr>
          <w:p w14:paraId="79F7F1B3" w14:textId="77777777" w:rsidR="004A5585" w:rsidRPr="007805D4" w:rsidRDefault="004A5585" w:rsidP="00476553">
            <w:pPr>
              <w:tabs>
                <w:tab w:val="left" w:pos="1418"/>
              </w:tabs>
              <w:spacing w:before="60" w:after="60" w:line="240" w:lineRule="auto"/>
              <w:jc w:val="center"/>
              <w:rPr>
                <w:rFonts w:ascii="Poppins" w:eastAsia="Times New Roman" w:hAnsi="Poppins" w:cs="Poppins"/>
                <w:b/>
                <w:sz w:val="20"/>
                <w:szCs w:val="20"/>
              </w:rPr>
            </w:pPr>
            <w:r w:rsidRPr="007805D4">
              <w:rPr>
                <w:rFonts w:ascii="Poppins" w:eastAsia="Times New Roman" w:hAnsi="Poppins" w:cs="Poppins"/>
                <w:b/>
                <w:sz w:val="20"/>
                <w:szCs w:val="20"/>
              </w:rPr>
              <w:t>Highly Unlikely</w:t>
            </w:r>
          </w:p>
        </w:tc>
        <w:tc>
          <w:tcPr>
            <w:tcW w:w="1722" w:type="dxa"/>
            <w:vAlign w:val="center"/>
            <w:hideMark/>
          </w:tcPr>
          <w:p w14:paraId="3800512B"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Moderate/Low risk</w:t>
            </w:r>
          </w:p>
        </w:tc>
        <w:tc>
          <w:tcPr>
            <w:tcW w:w="1862" w:type="dxa"/>
            <w:vAlign w:val="center"/>
            <w:hideMark/>
          </w:tcPr>
          <w:p w14:paraId="7F36C33F"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Low risk</w:t>
            </w:r>
          </w:p>
        </w:tc>
        <w:tc>
          <w:tcPr>
            <w:tcW w:w="1735" w:type="dxa"/>
            <w:vAlign w:val="center"/>
            <w:hideMark/>
          </w:tcPr>
          <w:p w14:paraId="72ED45EA" w14:textId="77777777" w:rsidR="004A5585" w:rsidRPr="007805D4" w:rsidRDefault="004A5585" w:rsidP="00476553">
            <w:pPr>
              <w:tabs>
                <w:tab w:val="left" w:pos="1418"/>
              </w:tabs>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Negligible risk</w:t>
            </w:r>
          </w:p>
        </w:tc>
        <w:tc>
          <w:tcPr>
            <w:tcW w:w="1636" w:type="dxa"/>
            <w:vAlign w:val="center"/>
            <w:hideMark/>
          </w:tcPr>
          <w:p w14:paraId="13A00FEE" w14:textId="77777777" w:rsidR="004A5585" w:rsidRPr="007805D4" w:rsidRDefault="004A5585" w:rsidP="00476553">
            <w:pPr>
              <w:spacing w:before="60" w:after="60" w:line="240" w:lineRule="auto"/>
              <w:jc w:val="center"/>
              <w:rPr>
                <w:rFonts w:ascii="Poppins" w:eastAsia="Times New Roman" w:hAnsi="Poppins" w:cs="Poppins"/>
                <w:sz w:val="20"/>
                <w:szCs w:val="20"/>
              </w:rPr>
            </w:pPr>
            <w:r w:rsidRPr="007805D4">
              <w:rPr>
                <w:rFonts w:ascii="Poppins" w:eastAsia="Times New Roman" w:hAnsi="Poppins" w:cs="Poppins"/>
                <w:sz w:val="20"/>
                <w:szCs w:val="20"/>
              </w:rPr>
              <w:t>Negligible risk</w:t>
            </w:r>
          </w:p>
        </w:tc>
      </w:tr>
    </w:tbl>
    <w:p w14:paraId="710139D2" w14:textId="77777777" w:rsidR="004A5585" w:rsidRPr="007805D4" w:rsidRDefault="004A5585" w:rsidP="004A5585">
      <w:pPr>
        <w:spacing w:after="120"/>
        <w:jc w:val="both"/>
        <w:rPr>
          <w:rFonts w:ascii="Poppins" w:hAnsi="Poppins" w:cs="Poppins"/>
          <w:sz w:val="20"/>
          <w:szCs w:val="20"/>
        </w:rPr>
      </w:pPr>
    </w:p>
    <w:p w14:paraId="57140F38" w14:textId="77777777" w:rsidR="004A5585" w:rsidRPr="007805D4" w:rsidRDefault="004A5585" w:rsidP="004A5585">
      <w:pPr>
        <w:jc w:val="both"/>
        <w:rPr>
          <w:rFonts w:ascii="Poppins" w:hAnsi="Poppins" w:cs="Poppins"/>
          <w:sz w:val="20"/>
          <w:szCs w:val="20"/>
        </w:rPr>
      </w:pPr>
      <w:r w:rsidRPr="007805D4">
        <w:rPr>
          <w:rFonts w:ascii="Poppins" w:hAnsi="Poppins" w:cs="Poppins"/>
          <w:sz w:val="20"/>
          <w:szCs w:val="20"/>
        </w:rPr>
        <w:t>The overall risk categories are described in Table D below.</w:t>
      </w:r>
    </w:p>
    <w:p w14:paraId="3798C0C5" w14:textId="77777777" w:rsidR="004A5585" w:rsidRPr="007805D4" w:rsidRDefault="004A5585" w:rsidP="004A5585">
      <w:pPr>
        <w:spacing w:after="60"/>
        <w:rPr>
          <w:rFonts w:ascii="Poppins" w:eastAsia="SimSun" w:hAnsi="Poppins" w:cs="Poppins"/>
          <w:sz w:val="20"/>
          <w:szCs w:val="20"/>
          <w:lang w:eastAsia="zh-CN"/>
        </w:rPr>
      </w:pPr>
      <w:r w:rsidRPr="007805D4">
        <w:rPr>
          <w:rFonts w:ascii="Poppins" w:hAnsi="Poppins" w:cs="Poppins"/>
          <w:b/>
          <w:sz w:val="20"/>
          <w:szCs w:val="20"/>
        </w:rPr>
        <w:t>Table D: Description of Risk Categories</w:t>
      </w:r>
    </w:p>
    <w:tbl>
      <w:tblPr>
        <w:tblW w:w="8790" w:type="dxa"/>
        <w:tblInd w:w="10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548"/>
        <w:gridCol w:w="7242"/>
      </w:tblGrid>
      <w:tr w:rsidR="004A5585" w:rsidRPr="007805D4" w14:paraId="225393C5" w14:textId="77777777" w:rsidTr="00476553">
        <w:tc>
          <w:tcPr>
            <w:tcW w:w="1548" w:type="dxa"/>
            <w:shd w:val="clear" w:color="auto" w:fill="004C6C"/>
            <w:hideMark/>
          </w:tcPr>
          <w:p w14:paraId="7A280ED8" w14:textId="77777777" w:rsidR="004A5585" w:rsidRPr="007805D4" w:rsidRDefault="004A5585" w:rsidP="00476553">
            <w:pPr>
              <w:spacing w:before="40" w:after="40" w:line="240" w:lineRule="auto"/>
              <w:rPr>
                <w:rFonts w:ascii="Poppins" w:eastAsia="Times New Roman" w:hAnsi="Poppins" w:cs="Poppins"/>
                <w:b/>
                <w:color w:val="FFFFFF"/>
                <w:sz w:val="20"/>
                <w:szCs w:val="20"/>
              </w:rPr>
            </w:pPr>
            <w:r w:rsidRPr="007805D4">
              <w:rPr>
                <w:rFonts w:ascii="Poppins" w:eastAsia="Times New Roman" w:hAnsi="Poppins" w:cs="Poppins"/>
                <w:b/>
                <w:color w:val="FFFFFF"/>
                <w:sz w:val="20"/>
                <w:szCs w:val="20"/>
              </w:rPr>
              <w:t>Term</w:t>
            </w:r>
          </w:p>
        </w:tc>
        <w:tc>
          <w:tcPr>
            <w:tcW w:w="7241" w:type="dxa"/>
            <w:shd w:val="clear" w:color="auto" w:fill="004C6C"/>
            <w:hideMark/>
          </w:tcPr>
          <w:p w14:paraId="6DCE6708" w14:textId="77777777" w:rsidR="004A5585" w:rsidRPr="007805D4" w:rsidRDefault="004A5585" w:rsidP="00476553">
            <w:pPr>
              <w:spacing w:before="40" w:after="40" w:line="240" w:lineRule="auto"/>
              <w:rPr>
                <w:rFonts w:ascii="Poppins" w:eastAsia="Times New Roman" w:hAnsi="Poppins" w:cs="Poppins"/>
                <w:b/>
                <w:color w:val="FFFFFF"/>
                <w:sz w:val="20"/>
                <w:szCs w:val="20"/>
              </w:rPr>
            </w:pPr>
            <w:r w:rsidRPr="007805D4">
              <w:rPr>
                <w:rFonts w:ascii="Poppins" w:eastAsia="Times New Roman" w:hAnsi="Poppins" w:cs="Poppins"/>
                <w:b/>
                <w:color w:val="FFFFFF"/>
                <w:sz w:val="20"/>
                <w:szCs w:val="20"/>
              </w:rPr>
              <w:t>Description</w:t>
            </w:r>
          </w:p>
        </w:tc>
      </w:tr>
      <w:tr w:rsidR="004A5585" w:rsidRPr="007805D4" w14:paraId="1D8C600F" w14:textId="77777777" w:rsidTr="00476553">
        <w:tc>
          <w:tcPr>
            <w:tcW w:w="1548" w:type="dxa"/>
            <w:vAlign w:val="center"/>
            <w:hideMark/>
          </w:tcPr>
          <w:p w14:paraId="7B58BBC3"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Very high risk</w:t>
            </w:r>
          </w:p>
        </w:tc>
        <w:tc>
          <w:tcPr>
            <w:tcW w:w="7241" w:type="dxa"/>
            <w:vAlign w:val="center"/>
            <w:hideMark/>
          </w:tcPr>
          <w:p w14:paraId="162827D2"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Severe harm to a receptor may already be occurring OR a high likelihood that severe harm will arise to a receptor, unless immediate remedial action works / mitigation measures are undertaken.</w:t>
            </w:r>
          </w:p>
        </w:tc>
      </w:tr>
      <w:tr w:rsidR="004A5585" w:rsidRPr="007805D4" w14:paraId="5A36E692" w14:textId="77777777" w:rsidTr="00476553">
        <w:tc>
          <w:tcPr>
            <w:tcW w:w="1548" w:type="dxa"/>
            <w:vAlign w:val="center"/>
            <w:hideMark/>
          </w:tcPr>
          <w:p w14:paraId="2D4DDED7"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High risk</w:t>
            </w:r>
          </w:p>
        </w:tc>
        <w:tc>
          <w:tcPr>
            <w:tcW w:w="7241" w:type="dxa"/>
            <w:vAlign w:val="center"/>
            <w:hideMark/>
          </w:tcPr>
          <w:p w14:paraId="1F6AAB36"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 xml:space="preserve">Harm is likely to arise to a receptor, and is likely to be severe, unless appropriate remedial actions / mitigation measures are undertaken. </w:t>
            </w:r>
            <w:r w:rsidRPr="007805D4">
              <w:rPr>
                <w:rFonts w:ascii="Poppins" w:eastAsia="Times New Roman" w:hAnsi="Poppins" w:cs="Poppins"/>
                <w:sz w:val="20"/>
                <w:szCs w:val="20"/>
              </w:rPr>
              <w:lastRenderedPageBreak/>
              <w:t>Remedial works may be required in the short term, but likely to be required over the long term.</w:t>
            </w:r>
          </w:p>
        </w:tc>
      </w:tr>
      <w:tr w:rsidR="004A5585" w:rsidRPr="007805D4" w14:paraId="76E7D489" w14:textId="77777777" w:rsidTr="00476553">
        <w:tc>
          <w:tcPr>
            <w:tcW w:w="1548" w:type="dxa"/>
            <w:vAlign w:val="center"/>
            <w:hideMark/>
          </w:tcPr>
          <w:p w14:paraId="07385279"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lastRenderedPageBreak/>
              <w:t>Moderate risk</w:t>
            </w:r>
          </w:p>
        </w:tc>
        <w:tc>
          <w:tcPr>
            <w:tcW w:w="7241" w:type="dxa"/>
            <w:vAlign w:val="center"/>
            <w:hideMark/>
          </w:tcPr>
          <w:p w14:paraId="16C0A0DC"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 xml:space="preserve">Possible that harm could arise to a receptor but low likelihood that such harm would be severe. Harm is likely to be medium. Some remedial works may be required in the long term. </w:t>
            </w:r>
          </w:p>
        </w:tc>
      </w:tr>
      <w:tr w:rsidR="004A5585" w:rsidRPr="007805D4" w14:paraId="3F0C1D55" w14:textId="77777777" w:rsidTr="00476553">
        <w:tc>
          <w:tcPr>
            <w:tcW w:w="1548" w:type="dxa"/>
            <w:vAlign w:val="center"/>
            <w:hideMark/>
          </w:tcPr>
          <w:p w14:paraId="36D189F3"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Moderate / low risk</w:t>
            </w:r>
          </w:p>
        </w:tc>
        <w:tc>
          <w:tcPr>
            <w:tcW w:w="7241" w:type="dxa"/>
            <w:vAlign w:val="center"/>
            <w:hideMark/>
          </w:tcPr>
          <w:p w14:paraId="1FA6049F"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Possible that harm could arise to a receptor, but where a combination of likelihood and consequence results in a risk that is above low, but is not of sufficient concern to be classified as medium.  It can be driven by cases where there is an acute risk which carries a severe consequence, but where the exposure is unlikely.</w:t>
            </w:r>
          </w:p>
        </w:tc>
      </w:tr>
      <w:tr w:rsidR="004A5585" w:rsidRPr="007805D4" w14:paraId="399A580D" w14:textId="77777777" w:rsidTr="00476553">
        <w:tc>
          <w:tcPr>
            <w:tcW w:w="1548" w:type="dxa"/>
            <w:vAlign w:val="center"/>
            <w:hideMark/>
          </w:tcPr>
          <w:p w14:paraId="4ECE09FD"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Low risk</w:t>
            </w:r>
          </w:p>
        </w:tc>
        <w:tc>
          <w:tcPr>
            <w:tcW w:w="7241" w:type="dxa"/>
            <w:vAlign w:val="center"/>
            <w:hideMark/>
          </w:tcPr>
          <w:p w14:paraId="51620D05"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Possible that harm could arise to a receptor. Such harm would at worse normally be mild.</w:t>
            </w:r>
          </w:p>
        </w:tc>
      </w:tr>
      <w:tr w:rsidR="004A5585" w:rsidRPr="007805D4" w14:paraId="74B2A78D" w14:textId="77777777" w:rsidTr="00476553">
        <w:tc>
          <w:tcPr>
            <w:tcW w:w="1548" w:type="dxa"/>
            <w:vAlign w:val="center"/>
            <w:hideMark/>
          </w:tcPr>
          <w:p w14:paraId="7130BF64"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Negligible risk</w:t>
            </w:r>
          </w:p>
        </w:tc>
        <w:tc>
          <w:tcPr>
            <w:tcW w:w="7241" w:type="dxa"/>
            <w:vAlign w:val="center"/>
            <w:hideMark/>
          </w:tcPr>
          <w:p w14:paraId="762B42E8" w14:textId="77777777" w:rsidR="004A5585" w:rsidRPr="007805D4" w:rsidRDefault="004A5585" w:rsidP="00476553">
            <w:pPr>
              <w:spacing w:before="40" w:after="40" w:line="240" w:lineRule="auto"/>
              <w:rPr>
                <w:rFonts w:ascii="Poppins" w:eastAsia="Times New Roman" w:hAnsi="Poppins" w:cs="Poppins"/>
                <w:sz w:val="20"/>
                <w:szCs w:val="20"/>
              </w:rPr>
            </w:pPr>
            <w:r w:rsidRPr="007805D4">
              <w:rPr>
                <w:rFonts w:ascii="Poppins" w:eastAsia="Times New Roman" w:hAnsi="Poppins" w:cs="Poppins"/>
                <w:sz w:val="20"/>
                <w:szCs w:val="20"/>
              </w:rPr>
              <w:t>Low likelihood that harm could arise to a receptor. Such harm unlikely to be any worse than mild.</w:t>
            </w:r>
          </w:p>
        </w:tc>
      </w:tr>
    </w:tbl>
    <w:p w14:paraId="04D2D45F" w14:textId="77777777" w:rsidR="004A5585" w:rsidRDefault="004A5585" w:rsidP="004A5585">
      <w:pPr>
        <w:rPr>
          <w:rFonts w:ascii="Poppins" w:hAnsi="Poppins" w:cs="Poppins"/>
          <w:sz w:val="20"/>
          <w:szCs w:val="20"/>
        </w:rPr>
      </w:pPr>
    </w:p>
    <w:p w14:paraId="320D72EF" w14:textId="7B05A022" w:rsidR="0069541A" w:rsidRPr="00274CD4" w:rsidRDefault="0069541A" w:rsidP="0069541A">
      <w:pPr>
        <w:pStyle w:val="Heading1"/>
        <w:numPr>
          <w:ilvl w:val="0"/>
          <w:numId w:val="5"/>
        </w:numPr>
        <w:ind w:left="0" w:firstLine="0"/>
        <w:jc w:val="both"/>
        <w:rPr>
          <w:sz w:val="20"/>
          <w:szCs w:val="20"/>
        </w:rPr>
      </w:pPr>
      <w:r>
        <w:rPr>
          <w:sz w:val="20"/>
          <w:szCs w:val="20"/>
        </w:rPr>
        <w:t>Accident and Incident Response</w:t>
      </w:r>
    </w:p>
    <w:p w14:paraId="6CDA76FB" w14:textId="77777777" w:rsidR="003345BC" w:rsidRDefault="003345BC" w:rsidP="004A5585">
      <w:pPr>
        <w:rPr>
          <w:rFonts w:ascii="Poppins" w:hAnsi="Poppins" w:cs="Poppins"/>
          <w:sz w:val="18"/>
          <w:szCs w:val="18"/>
        </w:rPr>
      </w:pPr>
      <w:r>
        <w:rPr>
          <w:rFonts w:ascii="Poppins" w:hAnsi="Poppins" w:cs="Poppins"/>
          <w:sz w:val="18"/>
          <w:szCs w:val="18"/>
        </w:rPr>
        <w:t>Accidents and</w:t>
      </w:r>
      <w:r w:rsidR="0069541A" w:rsidRPr="004A5585">
        <w:rPr>
          <w:rFonts w:ascii="Poppins" w:hAnsi="Poppins" w:cs="Poppins"/>
          <w:sz w:val="18"/>
          <w:szCs w:val="18"/>
        </w:rPr>
        <w:t xml:space="preserve"> Incidents are managed in accordance with the Incident Management policy and procedures and Emergency Planning manual.  </w:t>
      </w:r>
    </w:p>
    <w:p w14:paraId="7199461F" w14:textId="1D16A9F5" w:rsidR="003345BC" w:rsidRDefault="003345BC" w:rsidP="004A5585">
      <w:pPr>
        <w:rPr>
          <w:rFonts w:ascii="Poppins" w:hAnsi="Poppins" w:cs="Poppins"/>
          <w:sz w:val="18"/>
          <w:szCs w:val="18"/>
        </w:rPr>
      </w:pPr>
      <w:r>
        <w:rPr>
          <w:rFonts w:ascii="Poppins" w:hAnsi="Poppins" w:cs="Poppins"/>
          <w:sz w:val="18"/>
          <w:szCs w:val="18"/>
        </w:rPr>
        <w:t>YW utilises the Nintex app to report, record, manage and assess incidents and accidents.  This is available on phones and handheld devices of YW staff and provides an auditable record for every incident.</w:t>
      </w:r>
      <w:r w:rsidR="00840F3A">
        <w:rPr>
          <w:rFonts w:ascii="Poppins" w:hAnsi="Poppins" w:cs="Poppins"/>
          <w:sz w:val="18"/>
          <w:szCs w:val="18"/>
        </w:rPr>
        <w:t xml:space="preserve">  Relevant forms used to record accidents are available electronically via this system.</w:t>
      </w:r>
    </w:p>
    <w:p w14:paraId="1AA8941F" w14:textId="20240408" w:rsidR="0069541A" w:rsidRPr="004A5585" w:rsidRDefault="0069541A" w:rsidP="004A5585">
      <w:pPr>
        <w:rPr>
          <w:rFonts w:ascii="Poppins" w:hAnsi="Poppins" w:cs="Poppins"/>
          <w:sz w:val="18"/>
          <w:szCs w:val="18"/>
        </w:rPr>
      </w:pPr>
      <w:r w:rsidRPr="004A5585">
        <w:rPr>
          <w:rFonts w:ascii="Poppins" w:hAnsi="Poppins" w:cs="Poppins"/>
          <w:sz w:val="18"/>
          <w:szCs w:val="18"/>
        </w:rPr>
        <w:t>In the event of a significant incident a root cause analysis is conducted.  Actions are identified, reported, recorded and communicated to prevent reoccurrence.</w:t>
      </w:r>
    </w:p>
    <w:p w14:paraId="5047298D" w14:textId="77777777" w:rsidR="0069541A" w:rsidRPr="004A5585" w:rsidRDefault="0069541A" w:rsidP="004A5585">
      <w:pPr>
        <w:rPr>
          <w:rFonts w:ascii="Poppins" w:hAnsi="Poppins" w:cs="Poppins"/>
          <w:sz w:val="18"/>
          <w:szCs w:val="18"/>
        </w:rPr>
      </w:pPr>
      <w:r w:rsidRPr="004A5585">
        <w:rPr>
          <w:rFonts w:ascii="Poppins" w:hAnsi="Poppins" w:cs="Poppins"/>
          <w:sz w:val="18"/>
          <w:szCs w:val="18"/>
        </w:rPr>
        <w:t xml:space="preserve">Complaints are typically received by YW central Customer Services team, where all complaints are logged on the ICE system.  Complaints relevant to Woodhouse Mill STF are passed on to the Site Manager for further investigation.  The Site Manager is responsible for ensuring that any complaint is investigated and, if found to be justified, that work is undertaken to resolve the issue, including liaising with the relevant regulatory bodies where appropriate. The Customer Service Team ensure an appropriate response to the complainant in a timely manner including, if and as appropriate, detailing the reason behind the issue and the actions taken to resolve the matter. </w:t>
      </w:r>
    </w:p>
    <w:p w14:paraId="5511DA37" w14:textId="77777777" w:rsidR="0069541A" w:rsidRPr="004A5585" w:rsidRDefault="0069541A" w:rsidP="004A5585">
      <w:pPr>
        <w:rPr>
          <w:rFonts w:ascii="Poppins" w:hAnsi="Poppins" w:cs="Poppins"/>
          <w:sz w:val="18"/>
          <w:szCs w:val="18"/>
        </w:rPr>
      </w:pPr>
      <w:r w:rsidRPr="004A5585">
        <w:rPr>
          <w:rFonts w:ascii="Poppins" w:hAnsi="Poppins" w:cs="Poppins"/>
          <w:sz w:val="18"/>
          <w:szCs w:val="18"/>
        </w:rPr>
        <w:t>All complaints information is recorded on the ICE system in order that this can be monitored, reviewed and analysed.</w:t>
      </w:r>
    </w:p>
    <w:p w14:paraId="49F8DA1D" w14:textId="68C2E987" w:rsidR="004A5585" w:rsidRPr="004A5585" w:rsidRDefault="004A5585" w:rsidP="004A5585">
      <w:pPr>
        <w:rPr>
          <w:rFonts w:ascii="Poppins" w:hAnsi="Poppins" w:cs="Poppins"/>
          <w:sz w:val="18"/>
          <w:szCs w:val="18"/>
        </w:rPr>
      </w:pPr>
      <w:r w:rsidRPr="004A5585">
        <w:rPr>
          <w:rFonts w:ascii="Poppins" w:hAnsi="Poppins" w:cs="Poppins"/>
          <w:sz w:val="18"/>
          <w:szCs w:val="18"/>
        </w:rPr>
        <w:t xml:space="preserve">If an incident with potentially significant environmental consequences occurs, YW will notify the Environment Agency without delay, and in accordance with the procedures and requirements specified in the site environmental permit. </w:t>
      </w:r>
    </w:p>
    <w:p w14:paraId="6C982A41" w14:textId="49A0ACD0" w:rsidR="00840F3A" w:rsidRDefault="00840F3A">
      <w:pPr>
        <w:rPr>
          <w:rFonts w:ascii="Poppins" w:hAnsi="Poppins" w:cs="Poppins"/>
          <w:sz w:val="20"/>
          <w:szCs w:val="20"/>
        </w:rPr>
      </w:pPr>
      <w:r>
        <w:rPr>
          <w:rFonts w:ascii="Poppins" w:hAnsi="Poppins" w:cs="Poppins"/>
          <w:sz w:val="20"/>
          <w:szCs w:val="20"/>
        </w:rPr>
        <w:br w:type="page"/>
      </w:r>
    </w:p>
    <w:p w14:paraId="2499EF69" w14:textId="77777777" w:rsidR="0069541A" w:rsidRPr="00274CD4" w:rsidRDefault="0069541A" w:rsidP="0069541A">
      <w:pPr>
        <w:pStyle w:val="Heading1"/>
        <w:numPr>
          <w:ilvl w:val="0"/>
          <w:numId w:val="5"/>
        </w:numPr>
        <w:ind w:left="0" w:firstLine="0"/>
        <w:jc w:val="both"/>
        <w:rPr>
          <w:sz w:val="20"/>
          <w:szCs w:val="20"/>
        </w:rPr>
      </w:pPr>
      <w:r>
        <w:rPr>
          <w:sz w:val="20"/>
          <w:szCs w:val="20"/>
        </w:rPr>
        <w:lastRenderedPageBreak/>
        <w:t>Emergency contacts</w:t>
      </w:r>
    </w:p>
    <w:tbl>
      <w:tblPr>
        <w:tblStyle w:val="TableStyle"/>
        <w:tblW w:w="5000" w:type="pct"/>
        <w:tblInd w:w="0" w:type="dxa"/>
        <w:tblLook w:val="04A0" w:firstRow="1" w:lastRow="0" w:firstColumn="1" w:lastColumn="0" w:noHBand="0" w:noVBand="1"/>
      </w:tblPr>
      <w:tblGrid>
        <w:gridCol w:w="4111"/>
        <w:gridCol w:w="4905"/>
      </w:tblGrid>
      <w:tr w:rsidR="004A5585" w:rsidRPr="004A5585" w14:paraId="651F230A" w14:textId="77777777" w:rsidTr="00476553">
        <w:trPr>
          <w:cnfStyle w:val="100000000000" w:firstRow="1" w:lastRow="0" w:firstColumn="0" w:lastColumn="0" w:oddVBand="0" w:evenVBand="0" w:oddHBand="0" w:evenHBand="0" w:firstRowFirstColumn="0" w:firstRowLastColumn="0" w:lastRowFirstColumn="0" w:lastRowLastColumn="0"/>
        </w:trPr>
        <w:tc>
          <w:tcPr>
            <w:tcW w:w="2280" w:type="pct"/>
          </w:tcPr>
          <w:p w14:paraId="08C88E4A" w14:textId="77777777" w:rsidR="004A5585" w:rsidRPr="004A5585" w:rsidRDefault="004A5585" w:rsidP="00476553">
            <w:pPr>
              <w:pStyle w:val="TableHeaderText"/>
              <w:jc w:val="center"/>
              <w:rPr>
                <w:rFonts w:ascii="Poppins" w:hAnsi="Poppins" w:cs="Poppins"/>
                <w:b/>
                <w:bCs/>
                <w:sz w:val="18"/>
                <w:szCs w:val="18"/>
              </w:rPr>
            </w:pPr>
            <w:r w:rsidRPr="004A5585">
              <w:rPr>
                <w:rFonts w:ascii="Poppins" w:hAnsi="Poppins" w:cs="Poppins"/>
                <w:b/>
                <w:bCs/>
                <w:sz w:val="18"/>
                <w:szCs w:val="18"/>
              </w:rPr>
              <w:t>Area</w:t>
            </w:r>
          </w:p>
        </w:tc>
        <w:tc>
          <w:tcPr>
            <w:tcW w:w="2720" w:type="pct"/>
          </w:tcPr>
          <w:p w14:paraId="11076E4C" w14:textId="77777777" w:rsidR="004A5585" w:rsidRPr="004A5585" w:rsidRDefault="004A5585" w:rsidP="00476553">
            <w:pPr>
              <w:pStyle w:val="TableHeaderText"/>
              <w:jc w:val="center"/>
              <w:rPr>
                <w:rFonts w:ascii="Poppins" w:hAnsi="Poppins" w:cs="Poppins"/>
                <w:b/>
                <w:bCs/>
                <w:sz w:val="18"/>
                <w:szCs w:val="18"/>
              </w:rPr>
            </w:pPr>
            <w:r w:rsidRPr="004A5585">
              <w:rPr>
                <w:rFonts w:ascii="Poppins" w:hAnsi="Poppins" w:cs="Poppins"/>
                <w:b/>
                <w:bCs/>
                <w:sz w:val="18"/>
                <w:szCs w:val="18"/>
              </w:rPr>
              <w:t xml:space="preserve">Contact </w:t>
            </w:r>
          </w:p>
        </w:tc>
      </w:tr>
      <w:tr w:rsidR="004A5585" w:rsidRPr="004A5585" w14:paraId="23B2FED8" w14:textId="77777777" w:rsidTr="00476553">
        <w:tc>
          <w:tcPr>
            <w:tcW w:w="2280" w:type="pct"/>
          </w:tcPr>
          <w:p w14:paraId="2C8B4814" w14:textId="77777777" w:rsidR="004A5585" w:rsidRPr="004A5585" w:rsidRDefault="004A5585" w:rsidP="00476553">
            <w:pPr>
              <w:pStyle w:val="TableBodyText"/>
              <w:rPr>
                <w:rFonts w:ascii="Poppins" w:hAnsi="Poppins" w:cs="Poppins"/>
                <w:sz w:val="18"/>
                <w:szCs w:val="18"/>
              </w:rPr>
            </w:pPr>
            <w:r w:rsidRPr="004A5585">
              <w:rPr>
                <w:rFonts w:ascii="Poppins" w:hAnsi="Poppins" w:cs="Poppins"/>
                <w:sz w:val="18"/>
                <w:szCs w:val="18"/>
              </w:rPr>
              <w:t xml:space="preserve">Woodhouse Mill STF Contacts </w:t>
            </w:r>
          </w:p>
        </w:tc>
        <w:tc>
          <w:tcPr>
            <w:tcW w:w="2720" w:type="pct"/>
          </w:tcPr>
          <w:p w14:paraId="7658DFD5" w14:textId="77777777" w:rsidR="004A5585" w:rsidRPr="004A5585" w:rsidRDefault="004A5585" w:rsidP="00476553">
            <w:pPr>
              <w:pStyle w:val="TableBodyText"/>
              <w:rPr>
                <w:rFonts w:ascii="Poppins" w:hAnsi="Poppins" w:cs="Poppins"/>
                <w:sz w:val="18"/>
                <w:szCs w:val="18"/>
              </w:rPr>
            </w:pPr>
            <w:r w:rsidRPr="004A5585">
              <w:rPr>
                <w:rFonts w:ascii="Poppins" w:hAnsi="Poppins" w:cs="Poppins"/>
                <w:sz w:val="18"/>
                <w:szCs w:val="18"/>
              </w:rPr>
              <w:t>Site Manager: Mick Flanagan – 07790 617673</w:t>
            </w:r>
          </w:p>
          <w:p w14:paraId="4A8FF3E7" w14:textId="77777777" w:rsidR="004A5585" w:rsidRPr="004A5585" w:rsidRDefault="004A5585" w:rsidP="00476553">
            <w:pPr>
              <w:pStyle w:val="TableBodyText"/>
              <w:rPr>
                <w:rFonts w:ascii="Poppins" w:hAnsi="Poppins" w:cs="Poppins"/>
                <w:sz w:val="18"/>
                <w:szCs w:val="18"/>
              </w:rPr>
            </w:pPr>
          </w:p>
          <w:p w14:paraId="0F8CB2C6" w14:textId="77777777" w:rsidR="004A5585" w:rsidRPr="004A5585" w:rsidRDefault="004A5585" w:rsidP="00476553">
            <w:pPr>
              <w:pStyle w:val="TableBodyText"/>
              <w:rPr>
                <w:rFonts w:ascii="Poppins" w:hAnsi="Poppins" w:cs="Poppins"/>
                <w:sz w:val="18"/>
                <w:szCs w:val="18"/>
              </w:rPr>
            </w:pPr>
            <w:r w:rsidRPr="004A5585">
              <w:rPr>
                <w:rFonts w:ascii="Poppins" w:hAnsi="Poppins" w:cs="Poppins"/>
                <w:sz w:val="18"/>
                <w:szCs w:val="18"/>
              </w:rPr>
              <w:t>Site Optimiser: Matt Ashford – 07790 617970</w:t>
            </w:r>
          </w:p>
        </w:tc>
      </w:tr>
      <w:tr w:rsidR="004A5585" w:rsidRPr="004A5585" w14:paraId="297B7898" w14:textId="77777777" w:rsidTr="00476553">
        <w:tc>
          <w:tcPr>
            <w:tcW w:w="2280" w:type="pct"/>
          </w:tcPr>
          <w:p w14:paraId="769010C5" w14:textId="77777777" w:rsidR="004A5585" w:rsidRPr="004A5585" w:rsidRDefault="004A5585" w:rsidP="00476553">
            <w:pPr>
              <w:pStyle w:val="TableBodyText"/>
              <w:rPr>
                <w:rFonts w:ascii="Poppins" w:hAnsi="Poppins" w:cs="Poppins"/>
                <w:sz w:val="18"/>
                <w:szCs w:val="18"/>
              </w:rPr>
            </w:pPr>
            <w:r w:rsidRPr="004A5585">
              <w:rPr>
                <w:rFonts w:ascii="Poppins" w:hAnsi="Poppins" w:cs="Poppins"/>
                <w:sz w:val="18"/>
                <w:szCs w:val="18"/>
              </w:rPr>
              <w:t xml:space="preserve">Sheffield Council </w:t>
            </w:r>
          </w:p>
        </w:tc>
        <w:tc>
          <w:tcPr>
            <w:tcW w:w="2720" w:type="pct"/>
          </w:tcPr>
          <w:p w14:paraId="0FE0431D" w14:textId="77777777" w:rsidR="004A5585" w:rsidRPr="004A5585" w:rsidRDefault="004A5585" w:rsidP="00476553">
            <w:pPr>
              <w:pStyle w:val="TableBodyText"/>
              <w:rPr>
                <w:rFonts w:ascii="Poppins" w:hAnsi="Poppins" w:cs="Poppins"/>
                <w:sz w:val="18"/>
                <w:szCs w:val="18"/>
              </w:rPr>
            </w:pPr>
            <w:r w:rsidRPr="004A5585">
              <w:rPr>
                <w:rFonts w:ascii="Poppins" w:hAnsi="Poppins" w:cs="Poppins"/>
                <w:sz w:val="18"/>
                <w:szCs w:val="18"/>
              </w:rPr>
              <w:t>0114 273 4567</w:t>
            </w:r>
          </w:p>
        </w:tc>
      </w:tr>
      <w:tr w:rsidR="004A5585" w:rsidRPr="004A5585" w14:paraId="0043BD10" w14:textId="77777777" w:rsidTr="00476553">
        <w:tc>
          <w:tcPr>
            <w:tcW w:w="2280" w:type="pct"/>
          </w:tcPr>
          <w:p w14:paraId="00CE1685" w14:textId="08E7243A" w:rsidR="004A5585" w:rsidRPr="004A5585" w:rsidRDefault="004A5585" w:rsidP="00476553">
            <w:pPr>
              <w:pStyle w:val="TableBodyText"/>
              <w:rPr>
                <w:rFonts w:ascii="Poppins" w:hAnsi="Poppins" w:cs="Poppins"/>
                <w:sz w:val="18"/>
                <w:szCs w:val="18"/>
              </w:rPr>
            </w:pPr>
            <w:r>
              <w:rPr>
                <w:rFonts w:ascii="Poppins" w:hAnsi="Poppins" w:cs="Poppins"/>
                <w:sz w:val="18"/>
                <w:szCs w:val="18"/>
              </w:rPr>
              <w:t>Environment Agency</w:t>
            </w:r>
            <w:r w:rsidRPr="004A5585">
              <w:rPr>
                <w:rFonts w:ascii="Poppins" w:hAnsi="Poppins" w:cs="Poppins"/>
                <w:sz w:val="18"/>
                <w:szCs w:val="18"/>
              </w:rPr>
              <w:t xml:space="preserve"> </w:t>
            </w:r>
          </w:p>
        </w:tc>
        <w:tc>
          <w:tcPr>
            <w:tcW w:w="2720" w:type="pct"/>
          </w:tcPr>
          <w:p w14:paraId="7D42A1BD" w14:textId="15023020" w:rsidR="004A5585" w:rsidRPr="004A5585" w:rsidRDefault="004A5585" w:rsidP="00476553">
            <w:pPr>
              <w:pStyle w:val="TableBodyText"/>
              <w:rPr>
                <w:rFonts w:ascii="Poppins" w:hAnsi="Poppins" w:cs="Poppins"/>
                <w:sz w:val="18"/>
                <w:szCs w:val="18"/>
              </w:rPr>
            </w:pPr>
            <w:r>
              <w:rPr>
                <w:rFonts w:ascii="Poppins" w:hAnsi="Poppins" w:cs="Poppins"/>
                <w:sz w:val="18"/>
                <w:szCs w:val="18"/>
              </w:rPr>
              <w:t>0800 807060</w:t>
            </w:r>
            <w:r w:rsidRPr="004A5585">
              <w:rPr>
                <w:rFonts w:ascii="Poppins" w:hAnsi="Poppins" w:cs="Poppins"/>
                <w:sz w:val="18"/>
                <w:szCs w:val="18"/>
              </w:rPr>
              <w:t xml:space="preserve"> </w:t>
            </w:r>
          </w:p>
        </w:tc>
      </w:tr>
    </w:tbl>
    <w:p w14:paraId="408242EC" w14:textId="77777777" w:rsidR="0069541A" w:rsidRPr="007805D4" w:rsidRDefault="0069541A" w:rsidP="0069541A">
      <w:pPr>
        <w:jc w:val="both"/>
        <w:rPr>
          <w:rFonts w:ascii="Poppins" w:hAnsi="Poppins" w:cs="Poppins"/>
          <w:sz w:val="20"/>
          <w:szCs w:val="20"/>
        </w:rPr>
      </w:pPr>
    </w:p>
    <w:p w14:paraId="7A9A9C56" w14:textId="43ACCF3E" w:rsidR="007F2BBD" w:rsidRPr="00274CD4" w:rsidRDefault="007F2BBD" w:rsidP="00747881">
      <w:pPr>
        <w:pStyle w:val="Heading1"/>
        <w:numPr>
          <w:ilvl w:val="0"/>
          <w:numId w:val="5"/>
        </w:numPr>
        <w:ind w:left="0" w:firstLine="0"/>
        <w:jc w:val="both"/>
        <w:rPr>
          <w:sz w:val="20"/>
          <w:szCs w:val="20"/>
        </w:rPr>
      </w:pPr>
      <w:bookmarkStart w:id="7" w:name="_Toc85117565"/>
      <w:r w:rsidRPr="00274CD4">
        <w:rPr>
          <w:sz w:val="20"/>
          <w:szCs w:val="20"/>
        </w:rPr>
        <w:t>Definitions</w:t>
      </w:r>
      <w:bookmarkEnd w:id="7"/>
    </w:p>
    <w:tbl>
      <w:tblPr>
        <w:tblStyle w:val="ListTable6Colorful-Accent6"/>
        <w:tblW w:w="9214" w:type="dxa"/>
        <w:tblLayout w:type="fixed"/>
        <w:tblCellMar>
          <w:top w:w="113" w:type="dxa"/>
          <w:bottom w:w="113" w:type="dxa"/>
        </w:tblCellMar>
        <w:tblLook w:val="04A0" w:firstRow="1" w:lastRow="0" w:firstColumn="1" w:lastColumn="0" w:noHBand="0" w:noVBand="1"/>
      </w:tblPr>
      <w:tblGrid>
        <w:gridCol w:w="2211"/>
        <w:gridCol w:w="7003"/>
      </w:tblGrid>
      <w:tr w:rsidR="002447C9" w:rsidRPr="00274CD4" w14:paraId="177A3D95" w14:textId="77777777" w:rsidTr="00D31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14:paraId="186C8D6D" w14:textId="77777777" w:rsidR="007F2BBD" w:rsidRPr="00274CD4" w:rsidRDefault="007F2BBD" w:rsidP="00747881">
            <w:pPr>
              <w:pStyle w:val="Tableheader"/>
              <w:jc w:val="both"/>
              <w:rPr>
                <w:rFonts w:cs="Poppins"/>
                <w:color w:val="auto"/>
                <w:sz w:val="20"/>
                <w:szCs w:val="20"/>
              </w:rPr>
            </w:pPr>
            <w:r w:rsidRPr="00274CD4">
              <w:rPr>
                <w:rFonts w:cs="Poppins"/>
                <w:color w:val="auto"/>
                <w:sz w:val="20"/>
                <w:szCs w:val="20"/>
              </w:rPr>
              <w:t>Definitions of Terms Used:</w:t>
            </w:r>
          </w:p>
        </w:tc>
      </w:tr>
      <w:tr w:rsidR="002447C9" w:rsidRPr="00274CD4" w14:paraId="01E76B13" w14:textId="77777777" w:rsidTr="00D31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47992C55" w14:textId="77777777" w:rsidR="007F2BBD" w:rsidRPr="00274CD4" w:rsidRDefault="007F2BBD" w:rsidP="00747881">
            <w:pPr>
              <w:pStyle w:val="Tabletext"/>
              <w:jc w:val="both"/>
              <w:rPr>
                <w:rFonts w:cs="Poppins"/>
                <w:color w:val="auto"/>
                <w:sz w:val="20"/>
                <w:szCs w:val="20"/>
              </w:rPr>
            </w:pPr>
            <w:r w:rsidRPr="00274CD4">
              <w:rPr>
                <w:rFonts w:cs="Poppins"/>
                <w:color w:val="auto"/>
                <w:sz w:val="20"/>
                <w:szCs w:val="20"/>
              </w:rPr>
              <w:t>Yorkshire Water</w:t>
            </w:r>
          </w:p>
          <w:p w14:paraId="5A46A35A" w14:textId="77777777" w:rsidR="007F2BBD" w:rsidRPr="00274CD4" w:rsidRDefault="007F2BBD" w:rsidP="00747881">
            <w:pPr>
              <w:pStyle w:val="Tabletext"/>
              <w:jc w:val="both"/>
              <w:rPr>
                <w:rFonts w:cs="Poppins"/>
                <w:color w:val="auto"/>
                <w:sz w:val="20"/>
                <w:szCs w:val="20"/>
              </w:rPr>
            </w:pPr>
          </w:p>
        </w:tc>
        <w:tc>
          <w:tcPr>
            <w:tcW w:w="7003" w:type="dxa"/>
          </w:tcPr>
          <w:p w14:paraId="62F591CE" w14:textId="77777777" w:rsidR="007F2BBD" w:rsidRPr="00274CD4" w:rsidRDefault="007F2BBD"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sidRPr="00274CD4">
              <w:rPr>
                <w:rFonts w:cs="Poppins"/>
                <w:color w:val="auto"/>
                <w:sz w:val="20"/>
                <w:szCs w:val="20"/>
              </w:rPr>
              <w:t>Yorkshire Water is used in this document to refer to Yorkshire Water Services Limited and all other subsidiary companies within Kelda Holdings.</w:t>
            </w:r>
          </w:p>
        </w:tc>
      </w:tr>
      <w:tr w:rsidR="002447C9" w:rsidRPr="00274CD4" w14:paraId="5C607365" w14:textId="77777777" w:rsidTr="00D31763">
        <w:tc>
          <w:tcPr>
            <w:cnfStyle w:val="001000000000" w:firstRow="0" w:lastRow="0" w:firstColumn="1" w:lastColumn="0" w:oddVBand="0" w:evenVBand="0" w:oddHBand="0" w:evenHBand="0" w:firstRowFirstColumn="0" w:firstRowLastColumn="0" w:lastRowFirstColumn="0" w:lastRowLastColumn="0"/>
            <w:tcW w:w="2211" w:type="dxa"/>
          </w:tcPr>
          <w:p w14:paraId="54DBFD8F" w14:textId="151CDBB1" w:rsidR="00133BA2" w:rsidRPr="00274CD4" w:rsidRDefault="00133BA2" w:rsidP="00747881">
            <w:pPr>
              <w:pStyle w:val="Tabletext"/>
              <w:jc w:val="both"/>
              <w:rPr>
                <w:rFonts w:cs="Poppins"/>
                <w:color w:val="auto"/>
                <w:sz w:val="20"/>
                <w:szCs w:val="20"/>
              </w:rPr>
            </w:pPr>
            <w:r w:rsidRPr="00274CD4">
              <w:rPr>
                <w:rFonts w:cs="Poppins"/>
                <w:color w:val="auto"/>
                <w:sz w:val="20"/>
                <w:szCs w:val="20"/>
              </w:rPr>
              <w:t>Anaerobic Digestion</w:t>
            </w:r>
          </w:p>
        </w:tc>
        <w:tc>
          <w:tcPr>
            <w:tcW w:w="7003" w:type="dxa"/>
          </w:tcPr>
          <w:p w14:paraId="169B3C2E" w14:textId="50032E54" w:rsidR="00133BA2" w:rsidRPr="00274CD4" w:rsidRDefault="00133BA2" w:rsidP="00747881">
            <w:pPr>
              <w:pStyle w:val="Tabletext"/>
              <w:jc w:val="both"/>
              <w:cnfStyle w:val="000000000000" w:firstRow="0" w:lastRow="0" w:firstColumn="0" w:lastColumn="0" w:oddVBand="0" w:evenVBand="0" w:oddHBand="0" w:evenHBand="0" w:firstRowFirstColumn="0" w:firstRowLastColumn="0" w:lastRowFirstColumn="0" w:lastRowLastColumn="0"/>
              <w:rPr>
                <w:rFonts w:cs="Poppins"/>
                <w:color w:val="auto"/>
                <w:sz w:val="20"/>
                <w:szCs w:val="20"/>
              </w:rPr>
            </w:pPr>
            <w:r w:rsidRPr="00274CD4">
              <w:rPr>
                <w:rFonts w:cs="Poppins"/>
                <w:color w:val="auto"/>
                <w:sz w:val="20"/>
                <w:szCs w:val="20"/>
              </w:rPr>
              <w:t xml:space="preserve">AD is used to refer to anaerobic digestion. The process which imported waste is subject to at this sewage treatment facility. </w:t>
            </w:r>
          </w:p>
        </w:tc>
      </w:tr>
      <w:tr w:rsidR="000243C3" w:rsidRPr="00274CD4" w14:paraId="2ACDFA3C" w14:textId="77777777" w:rsidTr="00D31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1" w:type="dxa"/>
          </w:tcPr>
          <w:p w14:paraId="4B8DCBC2" w14:textId="314404A1" w:rsidR="000243C3" w:rsidRPr="00274CD4" w:rsidRDefault="000243C3" w:rsidP="00747881">
            <w:pPr>
              <w:pStyle w:val="Tabletext"/>
              <w:jc w:val="both"/>
              <w:rPr>
                <w:rFonts w:cs="Poppins"/>
                <w:color w:val="auto"/>
                <w:sz w:val="20"/>
                <w:szCs w:val="20"/>
              </w:rPr>
            </w:pPr>
            <w:r>
              <w:rPr>
                <w:rFonts w:cs="Poppins"/>
                <w:color w:val="auto"/>
                <w:sz w:val="20"/>
                <w:szCs w:val="20"/>
              </w:rPr>
              <w:t>CHP</w:t>
            </w:r>
          </w:p>
        </w:tc>
        <w:tc>
          <w:tcPr>
            <w:tcW w:w="7003" w:type="dxa"/>
          </w:tcPr>
          <w:p w14:paraId="19CEBA4E" w14:textId="195A734F" w:rsidR="000243C3" w:rsidRPr="00274CD4" w:rsidRDefault="000243C3" w:rsidP="00747881">
            <w:pPr>
              <w:pStyle w:val="Tabletext"/>
              <w:jc w:val="both"/>
              <w:cnfStyle w:val="000000100000" w:firstRow="0" w:lastRow="0" w:firstColumn="0" w:lastColumn="0" w:oddVBand="0" w:evenVBand="0" w:oddHBand="1" w:evenHBand="0" w:firstRowFirstColumn="0" w:firstRowLastColumn="0" w:lastRowFirstColumn="0" w:lastRowLastColumn="0"/>
              <w:rPr>
                <w:rFonts w:cs="Poppins"/>
                <w:color w:val="auto"/>
                <w:sz w:val="20"/>
                <w:szCs w:val="20"/>
              </w:rPr>
            </w:pPr>
            <w:r>
              <w:rPr>
                <w:rFonts w:cs="Poppins"/>
                <w:color w:val="auto"/>
                <w:sz w:val="20"/>
                <w:szCs w:val="20"/>
              </w:rPr>
              <w:t>Combined Heat and Power</w:t>
            </w:r>
          </w:p>
        </w:tc>
      </w:tr>
    </w:tbl>
    <w:p w14:paraId="26036636" w14:textId="77777777" w:rsidR="007F2BBD" w:rsidRPr="00274CD4" w:rsidRDefault="007F2BBD" w:rsidP="00747881">
      <w:pPr>
        <w:jc w:val="both"/>
        <w:rPr>
          <w:rFonts w:ascii="Poppins" w:hAnsi="Poppins" w:cs="Poppins"/>
          <w:sz w:val="20"/>
          <w:szCs w:val="20"/>
        </w:rPr>
      </w:pPr>
    </w:p>
    <w:p w14:paraId="6B74E2D5" w14:textId="77777777" w:rsidR="007F2BBD" w:rsidRPr="00274CD4" w:rsidRDefault="007F2BBD" w:rsidP="00747881">
      <w:pPr>
        <w:pStyle w:val="Heading1"/>
        <w:numPr>
          <w:ilvl w:val="0"/>
          <w:numId w:val="5"/>
        </w:numPr>
        <w:ind w:left="0" w:firstLine="0"/>
        <w:jc w:val="both"/>
        <w:rPr>
          <w:sz w:val="20"/>
          <w:szCs w:val="20"/>
        </w:rPr>
      </w:pPr>
      <w:bookmarkStart w:id="8" w:name="_Toc85117566"/>
      <w:r w:rsidRPr="00274CD4">
        <w:rPr>
          <w:sz w:val="20"/>
          <w:szCs w:val="20"/>
        </w:rPr>
        <w:t>Compliance with this document</w:t>
      </w:r>
      <w:bookmarkEnd w:id="8"/>
    </w:p>
    <w:p w14:paraId="7E2F0594" w14:textId="4E937215" w:rsidR="007F2BBD" w:rsidRPr="00274CD4" w:rsidRDefault="007F2BBD" w:rsidP="00747881">
      <w:pPr>
        <w:jc w:val="both"/>
        <w:rPr>
          <w:rFonts w:ascii="Poppins" w:hAnsi="Poppins" w:cs="Poppins"/>
          <w:sz w:val="20"/>
          <w:szCs w:val="20"/>
        </w:rPr>
      </w:pPr>
      <w:r w:rsidRPr="00274CD4">
        <w:rPr>
          <w:rFonts w:ascii="Poppins" w:hAnsi="Poppins" w:cs="Poppins"/>
          <w:sz w:val="20"/>
          <w:szCs w:val="20"/>
        </w:rPr>
        <w:t>Colleagues shall comply with the requirements of this document, in line with the company Conduct Policy.</w:t>
      </w:r>
    </w:p>
    <w:p w14:paraId="6CF5F6E0" w14:textId="77777777" w:rsidR="007F2BBD" w:rsidRPr="00274CD4" w:rsidRDefault="007F2BBD" w:rsidP="00747881">
      <w:pPr>
        <w:pStyle w:val="Heading1"/>
        <w:numPr>
          <w:ilvl w:val="0"/>
          <w:numId w:val="5"/>
        </w:numPr>
        <w:ind w:left="0" w:firstLine="0"/>
        <w:jc w:val="both"/>
        <w:rPr>
          <w:sz w:val="20"/>
          <w:szCs w:val="20"/>
        </w:rPr>
      </w:pPr>
      <w:bookmarkStart w:id="9" w:name="_Toc85117567"/>
      <w:r w:rsidRPr="00274CD4">
        <w:rPr>
          <w:sz w:val="20"/>
          <w:szCs w:val="20"/>
        </w:rPr>
        <w:t>Assurance</w:t>
      </w:r>
      <w:bookmarkEnd w:id="9"/>
    </w:p>
    <w:p w14:paraId="771C0D16" w14:textId="77777777" w:rsidR="00CE1687" w:rsidRPr="00274CD4" w:rsidRDefault="007F2BBD" w:rsidP="00747881">
      <w:pPr>
        <w:jc w:val="both"/>
        <w:rPr>
          <w:rFonts w:ascii="Poppins" w:hAnsi="Poppins" w:cs="Poppins"/>
          <w:b/>
          <w:bCs/>
          <w:sz w:val="20"/>
          <w:szCs w:val="20"/>
        </w:rPr>
      </w:pPr>
      <w:r w:rsidRPr="00274CD4">
        <w:rPr>
          <w:rFonts w:ascii="Poppins" w:hAnsi="Poppins" w:cs="Poppins"/>
          <w:sz w:val="20"/>
          <w:szCs w:val="20"/>
        </w:rPr>
        <w:t>Regular monitoring of compliance with these requirements shall be undertaken by the assurance providers documented as part of the Assurance Framework.</w:t>
      </w:r>
      <w:r w:rsidRPr="00274CD4">
        <w:rPr>
          <w:rFonts w:ascii="Poppins" w:hAnsi="Poppins" w:cs="Poppins"/>
          <w:b/>
          <w:bCs/>
          <w:sz w:val="20"/>
          <w:szCs w:val="20"/>
        </w:rPr>
        <w:t xml:space="preserve"> </w:t>
      </w:r>
    </w:p>
    <w:p w14:paraId="51AE40A4" w14:textId="0D61A2C8" w:rsidR="008147AD" w:rsidRPr="00274CD4" w:rsidRDefault="008147AD" w:rsidP="00747881">
      <w:pPr>
        <w:jc w:val="both"/>
        <w:rPr>
          <w:rFonts w:ascii="Poppins" w:hAnsi="Poppins" w:cs="Poppins"/>
          <w:sz w:val="20"/>
          <w:szCs w:val="20"/>
        </w:rPr>
      </w:pPr>
      <w:r w:rsidRPr="00274CD4">
        <w:rPr>
          <w:rFonts w:ascii="Poppins" w:hAnsi="Poppins" w:cs="Poppins"/>
          <w:sz w:val="20"/>
          <w:szCs w:val="20"/>
        </w:rPr>
        <w:t xml:space="preserve">Any sampling that is undertaken will be taken in accordance with </w:t>
      </w:r>
      <w:r w:rsidR="00C1186B" w:rsidRPr="00274CD4">
        <w:rPr>
          <w:rFonts w:ascii="Poppins" w:hAnsi="Poppins" w:cs="Poppins"/>
          <w:sz w:val="20"/>
          <w:szCs w:val="20"/>
        </w:rPr>
        <w:t xml:space="preserve">sampling procedures as documented in the internal guidance document Operator </w:t>
      </w:r>
      <w:r w:rsidR="00787750" w:rsidRPr="00274CD4">
        <w:rPr>
          <w:rFonts w:ascii="Poppins" w:hAnsi="Poppins" w:cs="Poppins"/>
          <w:sz w:val="20"/>
          <w:szCs w:val="20"/>
        </w:rPr>
        <w:t>Self-Monitoring</w:t>
      </w:r>
      <w:r w:rsidR="00C1186B" w:rsidRPr="00274CD4">
        <w:rPr>
          <w:rFonts w:ascii="Poppins" w:hAnsi="Poppins" w:cs="Poppins"/>
          <w:sz w:val="20"/>
          <w:szCs w:val="20"/>
        </w:rPr>
        <w:t xml:space="preserve">, which can be found on the Integrated Management System. Samples must be </w:t>
      </w:r>
      <w:r w:rsidRPr="00274CD4">
        <w:rPr>
          <w:rFonts w:ascii="Poppins" w:hAnsi="Poppins" w:cs="Poppins"/>
          <w:sz w:val="20"/>
          <w:szCs w:val="20"/>
        </w:rPr>
        <w:t xml:space="preserve">tested at a UKAS accredited laboratory. </w:t>
      </w:r>
    </w:p>
    <w:p w14:paraId="0D8D095A" w14:textId="37C7C066" w:rsidR="007F2BBD" w:rsidRPr="00274CD4" w:rsidRDefault="007F2BBD" w:rsidP="00747881">
      <w:pPr>
        <w:pStyle w:val="Heading1"/>
        <w:numPr>
          <w:ilvl w:val="0"/>
          <w:numId w:val="5"/>
        </w:numPr>
        <w:ind w:left="0" w:firstLine="0"/>
        <w:jc w:val="both"/>
        <w:rPr>
          <w:sz w:val="20"/>
          <w:szCs w:val="20"/>
        </w:rPr>
      </w:pPr>
      <w:bookmarkStart w:id="10" w:name="_Toc85117568"/>
      <w:r w:rsidRPr="00274CD4">
        <w:rPr>
          <w:sz w:val="20"/>
          <w:szCs w:val="20"/>
        </w:rPr>
        <w:t>Related Documents</w:t>
      </w:r>
      <w:bookmarkEnd w:id="10"/>
    </w:p>
    <w:p w14:paraId="6C3B8443" w14:textId="78A9BB7F" w:rsidR="00133BA2" w:rsidRPr="00274CD4" w:rsidRDefault="004A5585" w:rsidP="00747881">
      <w:pPr>
        <w:jc w:val="both"/>
        <w:rPr>
          <w:rFonts w:ascii="Poppins" w:hAnsi="Poppins" w:cs="Poppins"/>
          <w:sz w:val="20"/>
          <w:szCs w:val="20"/>
        </w:rPr>
      </w:pPr>
      <w:bookmarkStart w:id="11" w:name="_Toc85117569"/>
      <w:r>
        <w:rPr>
          <w:rFonts w:ascii="Poppins" w:hAnsi="Poppins" w:cs="Poppins"/>
          <w:sz w:val="20"/>
          <w:szCs w:val="20"/>
        </w:rPr>
        <w:t>N/A</w:t>
      </w:r>
    </w:p>
    <w:bookmarkEnd w:id="11"/>
    <w:p w14:paraId="4ED7FDBA" w14:textId="24934526" w:rsidR="007F2BBD" w:rsidRPr="00274CD4" w:rsidRDefault="007F2BBD" w:rsidP="00747881">
      <w:pPr>
        <w:pStyle w:val="ListParagraph"/>
        <w:ind w:left="360"/>
        <w:jc w:val="both"/>
        <w:rPr>
          <w:rFonts w:cs="Poppins"/>
          <w:sz w:val="20"/>
          <w:szCs w:val="20"/>
        </w:rPr>
      </w:pPr>
    </w:p>
    <w:p w14:paraId="45A69194" w14:textId="77777777" w:rsidR="006C7D47" w:rsidRPr="00274CD4" w:rsidRDefault="006C7D47" w:rsidP="00747881">
      <w:pPr>
        <w:jc w:val="both"/>
        <w:rPr>
          <w:rFonts w:ascii="Poppins" w:hAnsi="Poppins" w:cs="Poppins"/>
          <w:sz w:val="20"/>
          <w:szCs w:val="20"/>
        </w:rPr>
      </w:pPr>
    </w:p>
    <w:sectPr w:rsidR="006C7D47" w:rsidRPr="00274CD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889C" w14:textId="77777777" w:rsidR="006E48CB" w:rsidRDefault="006E48CB" w:rsidP="00DF3B62">
      <w:pPr>
        <w:spacing w:after="0" w:line="240" w:lineRule="auto"/>
      </w:pPr>
      <w:r>
        <w:separator/>
      </w:r>
    </w:p>
  </w:endnote>
  <w:endnote w:type="continuationSeparator" w:id="0">
    <w:p w14:paraId="5498F746" w14:textId="77777777" w:rsidR="006E48CB" w:rsidRDefault="006E48CB" w:rsidP="00DF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9CAB" w14:textId="233806D8" w:rsidR="00664626" w:rsidRPr="00565DFA" w:rsidRDefault="00664626" w:rsidP="00D31763">
    <w:pPr>
      <w:pStyle w:val="Footer"/>
      <w:tabs>
        <w:tab w:val="left" w:pos="7371"/>
      </w:tabs>
    </w:pPr>
    <w:r w:rsidRPr="000F2AD8">
      <w:t>Uncontrolled when Printed</w:t>
    </w:r>
    <w:r w:rsidRPr="000F2AD8">
      <w:tab/>
    </w:r>
    <w:r w:rsidR="00565DFA">
      <w:tab/>
    </w:r>
    <w:r w:rsidRPr="000F2AD8">
      <w:t>Version No</w:t>
    </w:r>
    <w:r w:rsidRPr="00565DFA">
      <w:t>: 00</w:t>
    </w:r>
    <w:r w:rsidR="005C69D9" w:rsidRPr="00565DFA">
      <w:t>1</w:t>
    </w:r>
  </w:p>
  <w:p w14:paraId="1F8BC8E9" w14:textId="2DDF7680" w:rsidR="00664626" w:rsidRDefault="00664626" w:rsidP="00565DFA">
    <w:pPr>
      <w:pStyle w:val="Footer"/>
      <w:tabs>
        <w:tab w:val="clear" w:pos="9072"/>
        <w:tab w:val="left" w:pos="7371"/>
        <w:tab w:val="right" w:pos="9026"/>
      </w:tabs>
    </w:pPr>
    <w:r w:rsidRPr="001D5BA9">
      <w:t>Data classification: Private</w:t>
    </w:r>
    <w:r w:rsidRPr="000F2AD8">
      <w:tab/>
    </w:r>
    <w:r w:rsidR="00565DFA">
      <w:tab/>
    </w:r>
    <w:r w:rsidR="00565DFA" w:rsidRPr="000F2AD8">
      <w:t xml:space="preserve">Page </w:t>
    </w:r>
    <w:r w:rsidR="00565DFA" w:rsidRPr="000F2AD8">
      <w:fldChar w:fldCharType="begin"/>
    </w:r>
    <w:r w:rsidR="00565DFA" w:rsidRPr="000F2AD8">
      <w:instrText xml:space="preserve"> PAGE </w:instrText>
    </w:r>
    <w:r w:rsidR="00565DFA" w:rsidRPr="000F2AD8">
      <w:fldChar w:fldCharType="separate"/>
    </w:r>
    <w:r w:rsidR="00565DFA">
      <w:t>3</w:t>
    </w:r>
    <w:r w:rsidR="00565DFA" w:rsidRPr="000F2AD8">
      <w:fldChar w:fldCharType="end"/>
    </w:r>
    <w:r w:rsidR="00565DFA" w:rsidRPr="000F2AD8">
      <w:t xml:space="preserve"> of </w:t>
    </w:r>
    <w:r w:rsidR="00565DFA">
      <w:fldChar w:fldCharType="begin"/>
    </w:r>
    <w:r w:rsidR="00565DFA">
      <w:instrText>NUMPAGES</w:instrText>
    </w:r>
    <w:r w:rsidR="00565DFA">
      <w:fldChar w:fldCharType="separate"/>
    </w:r>
    <w:r w:rsidR="00565DFA">
      <w:t>29</w:t>
    </w:r>
    <w:r w:rsidR="00565DFA">
      <w:fldChar w:fldCharType="end"/>
    </w:r>
  </w:p>
  <w:p w14:paraId="48EC67FC" w14:textId="305E0D7B" w:rsidR="00565DFA" w:rsidRPr="000F2AD8" w:rsidRDefault="00565DFA" w:rsidP="00565DFA">
    <w:pPr>
      <w:pStyle w:val="Footer"/>
      <w:tabs>
        <w:tab w:val="clear" w:pos="9072"/>
        <w:tab w:val="left" w:pos="7371"/>
        <w:tab w:val="right" w:pos="9026"/>
      </w:tabs>
    </w:pPr>
    <w:r w:rsidRPr="000F2AD8">
      <w:t>Date Published:</w:t>
    </w:r>
    <w:r>
      <w:t xml:space="preserve"> 25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31FD" w14:textId="20C5FAC9" w:rsidR="00046220" w:rsidRDefault="00E167B9" w:rsidP="00E167B9">
    <w:pPr>
      <w:pStyle w:val="Footer"/>
      <w:tabs>
        <w:tab w:val="clear" w:pos="9072"/>
        <w:tab w:val="left" w:pos="375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73F7" w14:textId="77777777" w:rsidR="002A1984" w:rsidRPr="00565DFA" w:rsidRDefault="002A1984" w:rsidP="002A1984">
    <w:pPr>
      <w:pStyle w:val="Footer"/>
      <w:tabs>
        <w:tab w:val="left" w:pos="7371"/>
      </w:tabs>
      <w:ind w:right="-501"/>
    </w:pPr>
    <w:r w:rsidRPr="000F2AD8">
      <w:t>Uncontrolled when Printed</w:t>
    </w:r>
    <w:r w:rsidRPr="000F2AD8">
      <w:tab/>
    </w:r>
    <w:r>
      <w:tab/>
    </w:r>
    <w:r>
      <w:tab/>
    </w:r>
    <w:r>
      <w:tab/>
    </w:r>
    <w:r>
      <w:tab/>
    </w:r>
    <w:r>
      <w:tab/>
    </w:r>
    <w:r>
      <w:tab/>
    </w:r>
    <w:r>
      <w:tab/>
    </w:r>
    <w:r w:rsidRPr="000F2AD8">
      <w:t>Version No</w:t>
    </w:r>
    <w:r w:rsidRPr="00565DFA">
      <w:t>: 001</w:t>
    </w:r>
  </w:p>
  <w:p w14:paraId="28599CC7" w14:textId="77777777" w:rsidR="002A1984" w:rsidRPr="000F2AD8" w:rsidRDefault="002A1984" w:rsidP="002A1984">
    <w:pPr>
      <w:pStyle w:val="Footer"/>
      <w:tabs>
        <w:tab w:val="left" w:pos="7371"/>
      </w:tabs>
      <w:ind w:right="-501"/>
    </w:pPr>
    <w:r w:rsidRPr="001D5BA9">
      <w:t>Data classification: Private/Public/Confidential</w:t>
    </w:r>
    <w:r w:rsidRPr="000F2AD8">
      <w:tab/>
    </w:r>
    <w:r>
      <w:tab/>
    </w:r>
    <w:r>
      <w:tab/>
    </w:r>
    <w:r>
      <w:tab/>
    </w:r>
    <w:r>
      <w:tab/>
    </w:r>
    <w:r>
      <w:tab/>
    </w:r>
    <w:r>
      <w:tab/>
    </w:r>
    <w:r>
      <w:tab/>
      <w:t>P</w:t>
    </w:r>
    <w:r w:rsidRPr="000F2AD8">
      <w:t xml:space="preserve">age </w:t>
    </w:r>
    <w:r w:rsidRPr="000F2AD8">
      <w:fldChar w:fldCharType="begin"/>
    </w:r>
    <w:r w:rsidRPr="000F2AD8">
      <w:instrText xml:space="preserve"> PAGE </w:instrText>
    </w:r>
    <w:r w:rsidRPr="000F2AD8">
      <w:fldChar w:fldCharType="separate"/>
    </w:r>
    <w:r>
      <w:t>8</w:t>
    </w:r>
    <w:r w:rsidRPr="000F2AD8">
      <w:fldChar w:fldCharType="end"/>
    </w:r>
    <w:r w:rsidRPr="000F2AD8">
      <w:t xml:space="preserve"> of </w:t>
    </w:r>
    <w:r>
      <w:fldChar w:fldCharType="begin"/>
    </w:r>
    <w:r>
      <w:instrText>NUMPAGES</w:instrText>
    </w:r>
    <w:r>
      <w:fldChar w:fldCharType="separate"/>
    </w:r>
    <w:r>
      <w:t>32</w:t>
    </w:r>
    <w:r>
      <w:fldChar w:fldCharType="end"/>
    </w:r>
  </w:p>
  <w:p w14:paraId="5B70F947" w14:textId="090988E2" w:rsidR="00934BEF" w:rsidRPr="002A1984" w:rsidRDefault="002A1984" w:rsidP="002A1984">
    <w:pPr>
      <w:pStyle w:val="Footer"/>
      <w:tabs>
        <w:tab w:val="left" w:pos="7371"/>
      </w:tabs>
      <w:ind w:right="-501"/>
    </w:pPr>
    <w:r w:rsidRPr="000F2AD8">
      <w:t>Date Published:</w:t>
    </w:r>
    <w:r>
      <w:t xml:space="preserve"> 25 January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8476" w14:textId="0A2ED77B" w:rsidR="00565DFA" w:rsidRPr="00565DFA" w:rsidRDefault="00565DFA" w:rsidP="00565DFA">
    <w:pPr>
      <w:pStyle w:val="Footer"/>
      <w:tabs>
        <w:tab w:val="left" w:pos="7371"/>
      </w:tabs>
      <w:ind w:right="-501"/>
    </w:pPr>
    <w:r w:rsidRPr="000F2AD8">
      <w:t>Uncontrolled when Printed</w:t>
    </w:r>
    <w:r w:rsidRPr="000F2AD8">
      <w:tab/>
    </w:r>
    <w:r>
      <w:tab/>
    </w:r>
    <w:r>
      <w:tab/>
    </w:r>
    <w:r>
      <w:tab/>
    </w:r>
    <w:r>
      <w:tab/>
    </w:r>
    <w:r>
      <w:tab/>
    </w:r>
    <w:r>
      <w:tab/>
    </w:r>
    <w:r>
      <w:tab/>
    </w:r>
    <w:r w:rsidRPr="000F2AD8">
      <w:t>Version No</w:t>
    </w:r>
    <w:r w:rsidRPr="00565DFA">
      <w:t>: 001</w:t>
    </w:r>
  </w:p>
  <w:p w14:paraId="565E8EEA" w14:textId="4C0C2D33" w:rsidR="00565DFA" w:rsidRPr="000F2AD8" w:rsidRDefault="00565DFA" w:rsidP="00565DFA">
    <w:pPr>
      <w:pStyle w:val="Footer"/>
      <w:tabs>
        <w:tab w:val="left" w:pos="7371"/>
      </w:tabs>
      <w:ind w:right="-501"/>
    </w:pPr>
    <w:r w:rsidRPr="001D5BA9">
      <w:t>Data classification: Private/Public/Confidential</w:t>
    </w:r>
    <w:r w:rsidRPr="000F2AD8">
      <w:tab/>
    </w:r>
    <w:r>
      <w:tab/>
    </w:r>
    <w:r>
      <w:tab/>
    </w:r>
    <w:r>
      <w:tab/>
    </w:r>
    <w:r>
      <w:tab/>
    </w:r>
    <w:r>
      <w:tab/>
    </w:r>
    <w:r>
      <w:tab/>
    </w:r>
    <w:r>
      <w:tab/>
      <w:t>P</w:t>
    </w:r>
    <w:r w:rsidRPr="000F2AD8">
      <w:t xml:space="preserve">age </w:t>
    </w:r>
    <w:r w:rsidRPr="000F2AD8">
      <w:fldChar w:fldCharType="begin"/>
    </w:r>
    <w:r w:rsidRPr="000F2AD8">
      <w:instrText xml:space="preserve"> PAGE </w:instrText>
    </w:r>
    <w:r w:rsidRPr="000F2AD8">
      <w:fldChar w:fldCharType="separate"/>
    </w:r>
    <w:r>
      <w:t>4</w:t>
    </w:r>
    <w:r w:rsidRPr="000F2AD8">
      <w:fldChar w:fldCharType="end"/>
    </w:r>
    <w:r w:rsidRPr="000F2AD8">
      <w:t xml:space="preserve"> of </w:t>
    </w:r>
    <w:r>
      <w:fldChar w:fldCharType="begin"/>
    </w:r>
    <w:r>
      <w:instrText>NUMPAGES</w:instrText>
    </w:r>
    <w:r>
      <w:fldChar w:fldCharType="separate"/>
    </w:r>
    <w:r>
      <w:t>29</w:t>
    </w:r>
    <w:r>
      <w:fldChar w:fldCharType="end"/>
    </w:r>
  </w:p>
  <w:p w14:paraId="049D7E01" w14:textId="27422AB9" w:rsidR="00565DFA" w:rsidRPr="000F2AD8" w:rsidRDefault="00565DFA" w:rsidP="00565DFA">
    <w:pPr>
      <w:pStyle w:val="Footer"/>
      <w:tabs>
        <w:tab w:val="left" w:pos="7371"/>
      </w:tabs>
      <w:ind w:right="-501"/>
    </w:pPr>
    <w:r w:rsidRPr="000F2AD8">
      <w:t>Date Published:</w:t>
    </w:r>
    <w:r>
      <w:t xml:space="preserve"> 25 January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EB3E" w14:textId="77777777" w:rsidR="00565DFA" w:rsidRPr="00565DFA" w:rsidRDefault="00565DFA" w:rsidP="00565DFA">
    <w:pPr>
      <w:pStyle w:val="Footer"/>
      <w:tabs>
        <w:tab w:val="left" w:pos="7371"/>
      </w:tabs>
    </w:pPr>
    <w:r w:rsidRPr="000F2AD8">
      <w:t>Uncontrolled when Printed</w:t>
    </w:r>
    <w:r w:rsidRPr="000F2AD8">
      <w:tab/>
    </w:r>
    <w:r>
      <w:tab/>
    </w:r>
    <w:r w:rsidRPr="000F2AD8">
      <w:t>Version No</w:t>
    </w:r>
    <w:r w:rsidRPr="00565DFA">
      <w:t>: 001</w:t>
    </w:r>
  </w:p>
  <w:p w14:paraId="1CEB9460" w14:textId="77777777" w:rsidR="00565DFA" w:rsidRDefault="00565DFA" w:rsidP="00565DFA">
    <w:pPr>
      <w:pStyle w:val="Footer"/>
      <w:tabs>
        <w:tab w:val="clear" w:pos="9072"/>
        <w:tab w:val="left" w:pos="7371"/>
        <w:tab w:val="right" w:pos="9026"/>
      </w:tabs>
    </w:pPr>
    <w:r w:rsidRPr="001D5BA9">
      <w:t>Data classification: Private/Public/Confidential</w:t>
    </w:r>
    <w:r w:rsidRPr="000F2AD8">
      <w:tab/>
    </w:r>
    <w:r>
      <w:tab/>
    </w:r>
    <w:r w:rsidRPr="000F2AD8">
      <w:t xml:space="preserve">Page </w:t>
    </w:r>
    <w:r w:rsidRPr="000F2AD8">
      <w:fldChar w:fldCharType="begin"/>
    </w:r>
    <w:r w:rsidRPr="000F2AD8">
      <w:instrText xml:space="preserve"> PAGE </w:instrText>
    </w:r>
    <w:r w:rsidRPr="000F2AD8">
      <w:fldChar w:fldCharType="separate"/>
    </w:r>
    <w:r>
      <w:t>3</w:t>
    </w:r>
    <w:r w:rsidRPr="000F2AD8">
      <w:fldChar w:fldCharType="end"/>
    </w:r>
    <w:r w:rsidRPr="000F2AD8">
      <w:t xml:space="preserve"> of </w:t>
    </w:r>
    <w:r>
      <w:fldChar w:fldCharType="begin"/>
    </w:r>
    <w:r>
      <w:instrText>NUMPAGES</w:instrText>
    </w:r>
    <w:r>
      <w:fldChar w:fldCharType="separate"/>
    </w:r>
    <w:r>
      <w:t>29</w:t>
    </w:r>
    <w:r>
      <w:fldChar w:fldCharType="end"/>
    </w:r>
  </w:p>
  <w:p w14:paraId="646FF91A" w14:textId="0692FED2" w:rsidR="00565DFA" w:rsidRPr="00565DFA" w:rsidRDefault="00565DFA" w:rsidP="00565DFA">
    <w:pPr>
      <w:pStyle w:val="Footer"/>
      <w:tabs>
        <w:tab w:val="clear" w:pos="9072"/>
        <w:tab w:val="left" w:pos="7371"/>
        <w:tab w:val="right" w:pos="9026"/>
      </w:tabs>
    </w:pPr>
    <w:r w:rsidRPr="000F2AD8">
      <w:t>Date Published:</w:t>
    </w:r>
    <w:r>
      <w:t xml:space="preserve"> 25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9B64" w14:textId="77777777" w:rsidR="006E48CB" w:rsidRDefault="006E48CB" w:rsidP="00DF3B62">
      <w:pPr>
        <w:spacing w:after="0" w:line="240" w:lineRule="auto"/>
      </w:pPr>
      <w:r>
        <w:separator/>
      </w:r>
    </w:p>
  </w:footnote>
  <w:footnote w:type="continuationSeparator" w:id="0">
    <w:p w14:paraId="5ACDE2F6" w14:textId="77777777" w:rsidR="006E48CB" w:rsidRDefault="006E48CB" w:rsidP="00DF3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2955" w14:textId="50F9F8AE" w:rsidR="00664626" w:rsidRDefault="00664626" w:rsidP="00E167B9">
    <w:pPr>
      <w:tabs>
        <w:tab w:val="left" w:pos="6310"/>
        <w:tab w:val="left" w:pos="7010"/>
      </w:tabs>
    </w:pPr>
    <w:r>
      <w:rPr>
        <w:noProof/>
      </w:rPr>
      <w:drawing>
        <wp:anchor distT="0" distB="0" distL="114300" distR="114300" simplePos="0" relativeHeight="251658240" behindDoc="1" locked="0" layoutInCell="1" allowOverlap="1" wp14:anchorId="4A3980A0" wp14:editId="1B085FCE">
          <wp:simplePos x="0" y="0"/>
          <wp:positionH relativeFrom="page">
            <wp:posOffset>0</wp:posOffset>
          </wp:positionH>
          <wp:positionV relativeFrom="page">
            <wp:posOffset>0</wp:posOffset>
          </wp:positionV>
          <wp:extent cx="7562850" cy="10690225"/>
          <wp:effectExtent l="0" t="0" r="635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0225"/>
                  </a:xfrm>
                  <a:prstGeom prst="rect">
                    <a:avLst/>
                  </a:prstGeom>
                </pic:spPr>
              </pic:pic>
            </a:graphicData>
          </a:graphic>
          <wp14:sizeRelH relativeFrom="margin">
            <wp14:pctWidth>0</wp14:pctWidth>
          </wp14:sizeRelH>
          <wp14:sizeRelV relativeFrom="margin">
            <wp14:pctHeight>0</wp14:pctHeight>
          </wp14:sizeRelV>
        </wp:anchor>
      </w:drawing>
    </w:r>
    <w:r w:rsidR="00D27F75">
      <w:tab/>
    </w:r>
    <w:r w:rsidR="00E167B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94A3" w14:textId="77777777" w:rsidR="00934BEF" w:rsidRDefault="00934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ECC"/>
    <w:multiLevelType w:val="hybridMultilevel"/>
    <w:tmpl w:val="B7467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BE1D10"/>
    <w:multiLevelType w:val="hybridMultilevel"/>
    <w:tmpl w:val="31E0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51633"/>
    <w:multiLevelType w:val="hybridMultilevel"/>
    <w:tmpl w:val="9AF42234"/>
    <w:lvl w:ilvl="0" w:tplc="3A182BA4">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BA6EC4"/>
    <w:multiLevelType w:val="hybridMultilevel"/>
    <w:tmpl w:val="658E4D86"/>
    <w:lvl w:ilvl="0" w:tplc="FAD2FEE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9D7B37"/>
    <w:multiLevelType w:val="hybridMultilevel"/>
    <w:tmpl w:val="A0EE6F70"/>
    <w:lvl w:ilvl="0" w:tplc="975C399A">
      <w:start w:val="1"/>
      <w:numFmt w:val="decimal"/>
      <w:pStyle w:val="Tableheading"/>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378A9"/>
    <w:multiLevelType w:val="hybridMultilevel"/>
    <w:tmpl w:val="8DEE7EE6"/>
    <w:lvl w:ilvl="0" w:tplc="DDA816EA">
      <w:start w:val="3"/>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92251"/>
    <w:multiLevelType w:val="multilevel"/>
    <w:tmpl w:val="5DF8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75D79"/>
    <w:multiLevelType w:val="hybridMultilevel"/>
    <w:tmpl w:val="6A30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297B"/>
    <w:multiLevelType w:val="hybridMultilevel"/>
    <w:tmpl w:val="7BA8FA3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BDB0F24"/>
    <w:multiLevelType w:val="hybridMultilevel"/>
    <w:tmpl w:val="151E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921E5"/>
    <w:multiLevelType w:val="hybridMultilevel"/>
    <w:tmpl w:val="312CC4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3FCA5CBB"/>
    <w:multiLevelType w:val="hybridMultilevel"/>
    <w:tmpl w:val="22462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DC0157"/>
    <w:multiLevelType w:val="hybridMultilevel"/>
    <w:tmpl w:val="07DA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87E4E"/>
    <w:multiLevelType w:val="hybridMultilevel"/>
    <w:tmpl w:val="9754E5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473633BD"/>
    <w:multiLevelType w:val="hybridMultilevel"/>
    <w:tmpl w:val="43B01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FC7C8B"/>
    <w:multiLevelType w:val="multilevel"/>
    <w:tmpl w:val="435EF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625459"/>
    <w:multiLevelType w:val="hybridMultilevel"/>
    <w:tmpl w:val="084CC0A2"/>
    <w:lvl w:ilvl="0" w:tplc="E4ECE1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012659"/>
    <w:multiLevelType w:val="hybridMultilevel"/>
    <w:tmpl w:val="AF20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847C4"/>
    <w:multiLevelType w:val="hybridMultilevel"/>
    <w:tmpl w:val="C98A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2739F"/>
    <w:multiLevelType w:val="hybridMultilevel"/>
    <w:tmpl w:val="EF2AC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8931DF"/>
    <w:multiLevelType w:val="hybridMultilevel"/>
    <w:tmpl w:val="F1CE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F092A"/>
    <w:multiLevelType w:val="hybridMultilevel"/>
    <w:tmpl w:val="0FA0B95A"/>
    <w:lvl w:ilvl="0" w:tplc="877ABB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620DC"/>
    <w:multiLevelType w:val="hybridMultilevel"/>
    <w:tmpl w:val="BD20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C1F11"/>
    <w:multiLevelType w:val="multilevel"/>
    <w:tmpl w:val="11D2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177532"/>
    <w:multiLevelType w:val="hybridMultilevel"/>
    <w:tmpl w:val="D68401E8"/>
    <w:lvl w:ilvl="0" w:tplc="99AAAE28">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7757A"/>
    <w:multiLevelType w:val="hybridMultilevel"/>
    <w:tmpl w:val="3096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A4A09"/>
    <w:multiLevelType w:val="hybridMultilevel"/>
    <w:tmpl w:val="FFCE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B52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5469B8"/>
    <w:multiLevelType w:val="multilevel"/>
    <w:tmpl w:val="11AE9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3D45C1"/>
    <w:multiLevelType w:val="hybridMultilevel"/>
    <w:tmpl w:val="74903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C0897"/>
    <w:multiLevelType w:val="hybridMultilevel"/>
    <w:tmpl w:val="7568A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2562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624E94"/>
    <w:multiLevelType w:val="hybridMultilevel"/>
    <w:tmpl w:val="A170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816B7"/>
    <w:multiLevelType w:val="hybridMultilevel"/>
    <w:tmpl w:val="1B9E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8E7353"/>
    <w:multiLevelType w:val="hybridMultilevel"/>
    <w:tmpl w:val="F4865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4005272">
    <w:abstractNumId w:val="8"/>
  </w:num>
  <w:num w:numId="2" w16cid:durableId="1738478192">
    <w:abstractNumId w:val="24"/>
  </w:num>
  <w:num w:numId="3" w16cid:durableId="503545281">
    <w:abstractNumId w:val="25"/>
  </w:num>
  <w:num w:numId="4" w16cid:durableId="1537087125">
    <w:abstractNumId w:val="31"/>
  </w:num>
  <w:num w:numId="5" w16cid:durableId="232083675">
    <w:abstractNumId w:val="27"/>
  </w:num>
  <w:num w:numId="6" w16cid:durableId="1650088673">
    <w:abstractNumId w:val="21"/>
  </w:num>
  <w:num w:numId="7" w16cid:durableId="703024018">
    <w:abstractNumId w:val="2"/>
  </w:num>
  <w:num w:numId="8" w16cid:durableId="699474444">
    <w:abstractNumId w:val="5"/>
  </w:num>
  <w:num w:numId="9" w16cid:durableId="1203709229">
    <w:abstractNumId w:val="6"/>
  </w:num>
  <w:num w:numId="10" w16cid:durableId="568345509">
    <w:abstractNumId w:val="16"/>
  </w:num>
  <w:num w:numId="11" w16cid:durableId="1809472178">
    <w:abstractNumId w:val="13"/>
  </w:num>
  <w:num w:numId="12" w16cid:durableId="1971399088">
    <w:abstractNumId w:val="22"/>
  </w:num>
  <w:num w:numId="13" w16cid:durableId="1703554565">
    <w:abstractNumId w:val="18"/>
  </w:num>
  <w:num w:numId="14" w16cid:durableId="1692953739">
    <w:abstractNumId w:val="26"/>
  </w:num>
  <w:num w:numId="15" w16cid:durableId="1865166370">
    <w:abstractNumId w:val="9"/>
  </w:num>
  <w:num w:numId="16" w16cid:durableId="721558437">
    <w:abstractNumId w:val="10"/>
  </w:num>
  <w:num w:numId="17" w16cid:durableId="320668687">
    <w:abstractNumId w:val="7"/>
  </w:num>
  <w:num w:numId="18" w16cid:durableId="589894656">
    <w:abstractNumId w:val="23"/>
  </w:num>
  <w:num w:numId="19" w16cid:durableId="1643537840">
    <w:abstractNumId w:val="0"/>
  </w:num>
  <w:num w:numId="20" w16cid:durableId="1766222479">
    <w:abstractNumId w:val="12"/>
  </w:num>
  <w:num w:numId="21" w16cid:durableId="1411001070">
    <w:abstractNumId w:val="11"/>
  </w:num>
  <w:num w:numId="22" w16cid:durableId="1169324733">
    <w:abstractNumId w:val="19"/>
  </w:num>
  <w:num w:numId="23" w16cid:durableId="432287545">
    <w:abstractNumId w:val="14"/>
  </w:num>
  <w:num w:numId="24" w16cid:durableId="1207716070">
    <w:abstractNumId w:val="34"/>
  </w:num>
  <w:num w:numId="25" w16cid:durableId="293413284">
    <w:abstractNumId w:val="30"/>
  </w:num>
  <w:num w:numId="26" w16cid:durableId="212696545">
    <w:abstractNumId w:val="20"/>
  </w:num>
  <w:num w:numId="27" w16cid:durableId="2091584352">
    <w:abstractNumId w:val="17"/>
  </w:num>
  <w:num w:numId="28" w16cid:durableId="378359573">
    <w:abstractNumId w:val="33"/>
  </w:num>
  <w:num w:numId="29" w16cid:durableId="11130929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1493759">
    <w:abstractNumId w:val="15"/>
  </w:num>
  <w:num w:numId="31" w16cid:durableId="1331834242">
    <w:abstractNumId w:val="28"/>
  </w:num>
  <w:num w:numId="32" w16cid:durableId="443572487">
    <w:abstractNumId w:val="1"/>
  </w:num>
  <w:num w:numId="33" w16cid:durableId="1164515154">
    <w:abstractNumId w:val="29"/>
  </w:num>
  <w:num w:numId="34" w16cid:durableId="362482094">
    <w:abstractNumId w:val="4"/>
  </w:num>
  <w:num w:numId="35" w16cid:durableId="16725750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DD"/>
    <w:rsid w:val="000121BC"/>
    <w:rsid w:val="000243C3"/>
    <w:rsid w:val="0003053F"/>
    <w:rsid w:val="00046220"/>
    <w:rsid w:val="000516AA"/>
    <w:rsid w:val="00063341"/>
    <w:rsid w:val="00064F70"/>
    <w:rsid w:val="00081D2C"/>
    <w:rsid w:val="00081EE8"/>
    <w:rsid w:val="00085868"/>
    <w:rsid w:val="00092C4F"/>
    <w:rsid w:val="000931AF"/>
    <w:rsid w:val="0009730F"/>
    <w:rsid w:val="000B65A7"/>
    <w:rsid w:val="000C0B0A"/>
    <w:rsid w:val="000D030C"/>
    <w:rsid w:val="000D6C62"/>
    <w:rsid w:val="000E043C"/>
    <w:rsid w:val="001061DD"/>
    <w:rsid w:val="0010713B"/>
    <w:rsid w:val="0010732D"/>
    <w:rsid w:val="00107783"/>
    <w:rsid w:val="001111CB"/>
    <w:rsid w:val="00111AB5"/>
    <w:rsid w:val="00113972"/>
    <w:rsid w:val="00123FF8"/>
    <w:rsid w:val="00126727"/>
    <w:rsid w:val="00133BA2"/>
    <w:rsid w:val="001409B0"/>
    <w:rsid w:val="0014719B"/>
    <w:rsid w:val="001476F1"/>
    <w:rsid w:val="00154FF6"/>
    <w:rsid w:val="001579DD"/>
    <w:rsid w:val="00165CFE"/>
    <w:rsid w:val="001668F2"/>
    <w:rsid w:val="00167FE3"/>
    <w:rsid w:val="0017223E"/>
    <w:rsid w:val="00175DEB"/>
    <w:rsid w:val="00182389"/>
    <w:rsid w:val="00194461"/>
    <w:rsid w:val="00195AA9"/>
    <w:rsid w:val="00196EB6"/>
    <w:rsid w:val="001A5305"/>
    <w:rsid w:val="001B7D4A"/>
    <w:rsid w:val="001E07C9"/>
    <w:rsid w:val="001F4B42"/>
    <w:rsid w:val="001F6197"/>
    <w:rsid w:val="002358BB"/>
    <w:rsid w:val="00241B0A"/>
    <w:rsid w:val="002422EB"/>
    <w:rsid w:val="002447C9"/>
    <w:rsid w:val="00255EF9"/>
    <w:rsid w:val="00257214"/>
    <w:rsid w:val="00273CF9"/>
    <w:rsid w:val="00274533"/>
    <w:rsid w:val="00274CD4"/>
    <w:rsid w:val="00290361"/>
    <w:rsid w:val="002A1984"/>
    <w:rsid w:val="002C2409"/>
    <w:rsid w:val="002C308C"/>
    <w:rsid w:val="002C47B5"/>
    <w:rsid w:val="002D457C"/>
    <w:rsid w:val="002F0F1D"/>
    <w:rsid w:val="002F14D8"/>
    <w:rsid w:val="00300997"/>
    <w:rsid w:val="0030438C"/>
    <w:rsid w:val="00307763"/>
    <w:rsid w:val="00310627"/>
    <w:rsid w:val="00325801"/>
    <w:rsid w:val="003325FB"/>
    <w:rsid w:val="003345BC"/>
    <w:rsid w:val="00343FAC"/>
    <w:rsid w:val="00344C61"/>
    <w:rsid w:val="00350B8C"/>
    <w:rsid w:val="00355C1D"/>
    <w:rsid w:val="00363CFF"/>
    <w:rsid w:val="00381CCD"/>
    <w:rsid w:val="00384226"/>
    <w:rsid w:val="00391754"/>
    <w:rsid w:val="003960A3"/>
    <w:rsid w:val="003A5C0E"/>
    <w:rsid w:val="003B2797"/>
    <w:rsid w:val="003D7B63"/>
    <w:rsid w:val="003E3432"/>
    <w:rsid w:val="003E3AD4"/>
    <w:rsid w:val="003F6645"/>
    <w:rsid w:val="003F76A2"/>
    <w:rsid w:val="004059CD"/>
    <w:rsid w:val="00450280"/>
    <w:rsid w:val="004636D2"/>
    <w:rsid w:val="00477EE9"/>
    <w:rsid w:val="00497D5C"/>
    <w:rsid w:val="004A02A5"/>
    <w:rsid w:val="004A5585"/>
    <w:rsid w:val="004C68AA"/>
    <w:rsid w:val="004D7E21"/>
    <w:rsid w:val="005150EB"/>
    <w:rsid w:val="00520287"/>
    <w:rsid w:val="00522206"/>
    <w:rsid w:val="00532765"/>
    <w:rsid w:val="00533FFE"/>
    <w:rsid w:val="00536DA2"/>
    <w:rsid w:val="005615DD"/>
    <w:rsid w:val="00565DFA"/>
    <w:rsid w:val="00590579"/>
    <w:rsid w:val="005919ED"/>
    <w:rsid w:val="00593482"/>
    <w:rsid w:val="00597B02"/>
    <w:rsid w:val="005A63E2"/>
    <w:rsid w:val="005B1236"/>
    <w:rsid w:val="005B6C14"/>
    <w:rsid w:val="005C69D9"/>
    <w:rsid w:val="005E5D38"/>
    <w:rsid w:val="005F21D1"/>
    <w:rsid w:val="005F5E81"/>
    <w:rsid w:val="00615F20"/>
    <w:rsid w:val="006270F1"/>
    <w:rsid w:val="00637D2D"/>
    <w:rsid w:val="00647A13"/>
    <w:rsid w:val="0065303C"/>
    <w:rsid w:val="00656474"/>
    <w:rsid w:val="006579D0"/>
    <w:rsid w:val="00661F9D"/>
    <w:rsid w:val="00664626"/>
    <w:rsid w:val="00693325"/>
    <w:rsid w:val="00693F5D"/>
    <w:rsid w:val="0069541A"/>
    <w:rsid w:val="006A22EB"/>
    <w:rsid w:val="006A38F2"/>
    <w:rsid w:val="006A4C9B"/>
    <w:rsid w:val="006B16B0"/>
    <w:rsid w:val="006B4046"/>
    <w:rsid w:val="006C1115"/>
    <w:rsid w:val="006C7D47"/>
    <w:rsid w:val="006E48CB"/>
    <w:rsid w:val="006F2B79"/>
    <w:rsid w:val="00700CAD"/>
    <w:rsid w:val="00717EC3"/>
    <w:rsid w:val="00722E79"/>
    <w:rsid w:val="00733577"/>
    <w:rsid w:val="00747881"/>
    <w:rsid w:val="00765CFF"/>
    <w:rsid w:val="0076627B"/>
    <w:rsid w:val="00777E95"/>
    <w:rsid w:val="007805D4"/>
    <w:rsid w:val="00785596"/>
    <w:rsid w:val="0078701C"/>
    <w:rsid w:val="00787750"/>
    <w:rsid w:val="007926B5"/>
    <w:rsid w:val="007A234F"/>
    <w:rsid w:val="007A6B2A"/>
    <w:rsid w:val="007B22B4"/>
    <w:rsid w:val="007E272A"/>
    <w:rsid w:val="007E73C5"/>
    <w:rsid w:val="007F2BBD"/>
    <w:rsid w:val="00802C21"/>
    <w:rsid w:val="00805713"/>
    <w:rsid w:val="00814593"/>
    <w:rsid w:val="008147AD"/>
    <w:rsid w:val="00817195"/>
    <w:rsid w:val="00837FA6"/>
    <w:rsid w:val="00840F3A"/>
    <w:rsid w:val="00847449"/>
    <w:rsid w:val="008537F7"/>
    <w:rsid w:val="0087070E"/>
    <w:rsid w:val="008834AC"/>
    <w:rsid w:val="00887379"/>
    <w:rsid w:val="008C2170"/>
    <w:rsid w:val="008C62A8"/>
    <w:rsid w:val="008C76BA"/>
    <w:rsid w:val="008F6DF5"/>
    <w:rsid w:val="009124FA"/>
    <w:rsid w:val="009136EE"/>
    <w:rsid w:val="00914F20"/>
    <w:rsid w:val="00915F60"/>
    <w:rsid w:val="00925983"/>
    <w:rsid w:val="00934BEF"/>
    <w:rsid w:val="00951799"/>
    <w:rsid w:val="00952CB9"/>
    <w:rsid w:val="009542F6"/>
    <w:rsid w:val="009621C3"/>
    <w:rsid w:val="00962895"/>
    <w:rsid w:val="00974422"/>
    <w:rsid w:val="0098206F"/>
    <w:rsid w:val="009B15BA"/>
    <w:rsid w:val="009B1DA9"/>
    <w:rsid w:val="009C224F"/>
    <w:rsid w:val="009E50B9"/>
    <w:rsid w:val="009E5118"/>
    <w:rsid w:val="009F3217"/>
    <w:rsid w:val="00A17066"/>
    <w:rsid w:val="00A27300"/>
    <w:rsid w:val="00A42963"/>
    <w:rsid w:val="00A52B57"/>
    <w:rsid w:val="00A544CB"/>
    <w:rsid w:val="00A648A2"/>
    <w:rsid w:val="00A65B63"/>
    <w:rsid w:val="00A97202"/>
    <w:rsid w:val="00AA00C1"/>
    <w:rsid w:val="00AB21BF"/>
    <w:rsid w:val="00AC428D"/>
    <w:rsid w:val="00AE0E0C"/>
    <w:rsid w:val="00AE61B8"/>
    <w:rsid w:val="00AF6EED"/>
    <w:rsid w:val="00B02AAC"/>
    <w:rsid w:val="00B04F55"/>
    <w:rsid w:val="00B055E5"/>
    <w:rsid w:val="00B1034D"/>
    <w:rsid w:val="00B252A6"/>
    <w:rsid w:val="00B4043D"/>
    <w:rsid w:val="00B43754"/>
    <w:rsid w:val="00B460AF"/>
    <w:rsid w:val="00B46273"/>
    <w:rsid w:val="00B62AE7"/>
    <w:rsid w:val="00B65694"/>
    <w:rsid w:val="00B76721"/>
    <w:rsid w:val="00BA53D3"/>
    <w:rsid w:val="00BA5E39"/>
    <w:rsid w:val="00BA7A07"/>
    <w:rsid w:val="00BC05DE"/>
    <w:rsid w:val="00BC7472"/>
    <w:rsid w:val="00BC7C05"/>
    <w:rsid w:val="00BD4758"/>
    <w:rsid w:val="00BD4A38"/>
    <w:rsid w:val="00BD5D83"/>
    <w:rsid w:val="00C1186B"/>
    <w:rsid w:val="00C270A9"/>
    <w:rsid w:val="00C32445"/>
    <w:rsid w:val="00C42033"/>
    <w:rsid w:val="00C512DE"/>
    <w:rsid w:val="00C53B22"/>
    <w:rsid w:val="00C57F90"/>
    <w:rsid w:val="00C66E2A"/>
    <w:rsid w:val="00C8244E"/>
    <w:rsid w:val="00C84788"/>
    <w:rsid w:val="00C870FF"/>
    <w:rsid w:val="00C93860"/>
    <w:rsid w:val="00CB5A8C"/>
    <w:rsid w:val="00CC2B9B"/>
    <w:rsid w:val="00CC4FA0"/>
    <w:rsid w:val="00CE1687"/>
    <w:rsid w:val="00CE6393"/>
    <w:rsid w:val="00CF0275"/>
    <w:rsid w:val="00D07125"/>
    <w:rsid w:val="00D20900"/>
    <w:rsid w:val="00D226CE"/>
    <w:rsid w:val="00D2725C"/>
    <w:rsid w:val="00D27F75"/>
    <w:rsid w:val="00D31763"/>
    <w:rsid w:val="00D36B3B"/>
    <w:rsid w:val="00D36CCD"/>
    <w:rsid w:val="00D3706E"/>
    <w:rsid w:val="00D62861"/>
    <w:rsid w:val="00D7077C"/>
    <w:rsid w:val="00D75386"/>
    <w:rsid w:val="00D902AE"/>
    <w:rsid w:val="00D927C2"/>
    <w:rsid w:val="00DB2BE2"/>
    <w:rsid w:val="00DD3D4D"/>
    <w:rsid w:val="00DF2B4C"/>
    <w:rsid w:val="00DF3B62"/>
    <w:rsid w:val="00E049A6"/>
    <w:rsid w:val="00E167B9"/>
    <w:rsid w:val="00E4432C"/>
    <w:rsid w:val="00E546F3"/>
    <w:rsid w:val="00E64CE8"/>
    <w:rsid w:val="00E664AF"/>
    <w:rsid w:val="00E6664B"/>
    <w:rsid w:val="00E75864"/>
    <w:rsid w:val="00E76136"/>
    <w:rsid w:val="00E7671D"/>
    <w:rsid w:val="00E84F4A"/>
    <w:rsid w:val="00E909BF"/>
    <w:rsid w:val="00E9463E"/>
    <w:rsid w:val="00EA1C5A"/>
    <w:rsid w:val="00EA7701"/>
    <w:rsid w:val="00EB342C"/>
    <w:rsid w:val="00EB679C"/>
    <w:rsid w:val="00EC690B"/>
    <w:rsid w:val="00ED1A23"/>
    <w:rsid w:val="00ED7674"/>
    <w:rsid w:val="00ED76FB"/>
    <w:rsid w:val="00EE3386"/>
    <w:rsid w:val="00F067AE"/>
    <w:rsid w:val="00F245F3"/>
    <w:rsid w:val="00F42EE1"/>
    <w:rsid w:val="00F52E0B"/>
    <w:rsid w:val="00F5600E"/>
    <w:rsid w:val="00F6121E"/>
    <w:rsid w:val="00F61879"/>
    <w:rsid w:val="00F62229"/>
    <w:rsid w:val="00F622BB"/>
    <w:rsid w:val="00F71335"/>
    <w:rsid w:val="00F72214"/>
    <w:rsid w:val="00FA1A94"/>
    <w:rsid w:val="00FA21F6"/>
    <w:rsid w:val="00FA42B5"/>
    <w:rsid w:val="00FC10BB"/>
    <w:rsid w:val="00FC2B4A"/>
    <w:rsid w:val="00FD625A"/>
    <w:rsid w:val="02130D0F"/>
    <w:rsid w:val="06571045"/>
    <w:rsid w:val="09962927"/>
    <w:rsid w:val="0B36CFFD"/>
    <w:rsid w:val="0F9D1DCC"/>
    <w:rsid w:val="10AFFE42"/>
    <w:rsid w:val="173BCE33"/>
    <w:rsid w:val="190EDA5C"/>
    <w:rsid w:val="1ACF5EEA"/>
    <w:rsid w:val="1EB6AD19"/>
    <w:rsid w:val="216D5898"/>
    <w:rsid w:val="2433DA5F"/>
    <w:rsid w:val="24EB7364"/>
    <w:rsid w:val="262852D3"/>
    <w:rsid w:val="271EF634"/>
    <w:rsid w:val="276F1221"/>
    <w:rsid w:val="298219EF"/>
    <w:rsid w:val="29B7EC24"/>
    <w:rsid w:val="314C989D"/>
    <w:rsid w:val="31CEFF16"/>
    <w:rsid w:val="34939F58"/>
    <w:rsid w:val="3954691E"/>
    <w:rsid w:val="3AC571D1"/>
    <w:rsid w:val="3E569120"/>
    <w:rsid w:val="4B153837"/>
    <w:rsid w:val="4CDA0EDF"/>
    <w:rsid w:val="5033FF0F"/>
    <w:rsid w:val="5061BF04"/>
    <w:rsid w:val="521B1C85"/>
    <w:rsid w:val="5370788B"/>
    <w:rsid w:val="58D83241"/>
    <w:rsid w:val="5D60349B"/>
    <w:rsid w:val="601CB186"/>
    <w:rsid w:val="61411691"/>
    <w:rsid w:val="630EA3A1"/>
    <w:rsid w:val="653BD733"/>
    <w:rsid w:val="6DB2B766"/>
    <w:rsid w:val="6EF9B6C7"/>
    <w:rsid w:val="71472CD4"/>
    <w:rsid w:val="73F51289"/>
    <w:rsid w:val="7C26A672"/>
    <w:rsid w:val="7F875C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7E65C"/>
  <w15:chartTrackingRefBased/>
  <w15:docId w15:val="{955F7C6F-8B3C-46A2-9D3D-03B210B4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C7472"/>
    <w:pPr>
      <w:spacing w:after="120" w:line="192" w:lineRule="auto"/>
      <w:outlineLvl w:val="0"/>
    </w:pPr>
    <w:rPr>
      <w:rFonts w:ascii="Poppins" w:hAnsi="Poppins" w:cs="Poppins"/>
      <w:b/>
      <w:bCs/>
      <w:spacing w:val="-4"/>
      <w:sz w:val="36"/>
      <w:szCs w:val="32"/>
    </w:rPr>
  </w:style>
  <w:style w:type="paragraph" w:styleId="Heading2">
    <w:name w:val="heading 2"/>
    <w:basedOn w:val="Normal"/>
    <w:next w:val="Normal"/>
    <w:link w:val="Heading2Char"/>
    <w:uiPriority w:val="9"/>
    <w:unhideWhenUsed/>
    <w:qFormat/>
    <w:rsid w:val="007F2B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4626"/>
    <w:pPr>
      <w:spacing w:after="120" w:line="209" w:lineRule="auto"/>
      <w:outlineLvl w:val="2"/>
    </w:pPr>
    <w:rPr>
      <w:rFonts w:ascii="Poppins" w:hAnsi="Poppins" w:cs="Times New Roman (Body CS)"/>
      <w:b/>
      <w:sz w:val="18"/>
      <w:szCs w:val="18"/>
    </w:rPr>
  </w:style>
  <w:style w:type="paragraph" w:styleId="Heading4">
    <w:name w:val="heading 4"/>
    <w:basedOn w:val="Normal"/>
    <w:next w:val="Normal"/>
    <w:link w:val="Heading4Char"/>
    <w:uiPriority w:val="9"/>
    <w:unhideWhenUsed/>
    <w:qFormat/>
    <w:rsid w:val="00664626"/>
    <w:pPr>
      <w:spacing w:after="0" w:line="209" w:lineRule="auto"/>
      <w:outlineLvl w:val="3"/>
    </w:pPr>
    <w:rPr>
      <w:rFonts w:ascii="Poppins" w:hAnsi="Poppins" w:cs="Times New Roman (Body CS)"/>
      <w:b/>
      <w:bCs/>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664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C7472"/>
    <w:rPr>
      <w:rFonts w:ascii="Poppins" w:hAnsi="Poppins" w:cs="Poppins"/>
      <w:b/>
      <w:bCs/>
      <w:spacing w:val="-4"/>
      <w:sz w:val="36"/>
      <w:szCs w:val="32"/>
    </w:rPr>
  </w:style>
  <w:style w:type="character" w:customStyle="1" w:styleId="Heading3Char">
    <w:name w:val="Heading 3 Char"/>
    <w:basedOn w:val="DefaultParagraphFont"/>
    <w:link w:val="Heading3"/>
    <w:uiPriority w:val="9"/>
    <w:rsid w:val="00664626"/>
    <w:rPr>
      <w:rFonts w:ascii="Poppins" w:hAnsi="Poppins" w:cs="Times New Roman (Body CS)"/>
      <w:b/>
      <w:sz w:val="18"/>
      <w:szCs w:val="18"/>
    </w:rPr>
  </w:style>
  <w:style w:type="character" w:customStyle="1" w:styleId="Heading4Char">
    <w:name w:val="Heading 4 Char"/>
    <w:basedOn w:val="DefaultParagraphFont"/>
    <w:link w:val="Heading4"/>
    <w:uiPriority w:val="9"/>
    <w:rsid w:val="00664626"/>
    <w:rPr>
      <w:rFonts w:ascii="Poppins" w:hAnsi="Poppins" w:cs="Times New Roman (Body CS)"/>
      <w:b/>
      <w:bCs/>
      <w:color w:val="000000" w:themeColor="text1"/>
      <w:sz w:val="18"/>
      <w:szCs w:val="18"/>
    </w:rPr>
  </w:style>
  <w:style w:type="paragraph" w:styleId="Footer">
    <w:name w:val="footer"/>
    <w:basedOn w:val="Normal"/>
    <w:link w:val="FooterChar"/>
    <w:uiPriority w:val="99"/>
    <w:unhideWhenUsed/>
    <w:qFormat/>
    <w:rsid w:val="00664626"/>
    <w:pPr>
      <w:tabs>
        <w:tab w:val="right" w:pos="9072"/>
      </w:tabs>
      <w:spacing w:after="20" w:line="209" w:lineRule="auto"/>
    </w:pPr>
    <w:rPr>
      <w:rFonts w:ascii="Poppins" w:hAnsi="Poppins" w:cs="Poppins"/>
      <w:color w:val="777776"/>
      <w:sz w:val="16"/>
      <w:szCs w:val="16"/>
    </w:rPr>
  </w:style>
  <w:style w:type="character" w:customStyle="1" w:styleId="FooterChar">
    <w:name w:val="Footer Char"/>
    <w:basedOn w:val="DefaultParagraphFont"/>
    <w:link w:val="Footer"/>
    <w:uiPriority w:val="99"/>
    <w:rsid w:val="00664626"/>
    <w:rPr>
      <w:rFonts w:ascii="Poppins" w:hAnsi="Poppins" w:cs="Poppins"/>
      <w:color w:val="777776"/>
      <w:sz w:val="16"/>
      <w:szCs w:val="16"/>
    </w:rPr>
  </w:style>
  <w:style w:type="table" w:styleId="TableGrid">
    <w:name w:val="Table Grid"/>
    <w:aliases w:val="Spawforths,Table Option 1"/>
    <w:basedOn w:val="TableNormal"/>
    <w:uiPriority w:val="59"/>
    <w:rsid w:val="006646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eading">
    <w:name w:val="Doc Heading"/>
    <w:basedOn w:val="Heading1"/>
    <w:next w:val="DocSubheading"/>
    <w:qFormat/>
    <w:rsid w:val="00664626"/>
    <w:pPr>
      <w:spacing w:after="400" w:line="180" w:lineRule="auto"/>
    </w:pPr>
    <w:rPr>
      <w:color w:val="44546A" w:themeColor="text2"/>
      <w:sz w:val="120"/>
      <w:szCs w:val="120"/>
    </w:rPr>
  </w:style>
  <w:style w:type="paragraph" w:customStyle="1" w:styleId="Bullets">
    <w:name w:val="Bullets"/>
    <w:basedOn w:val="Normal"/>
    <w:qFormat/>
    <w:rsid w:val="00664626"/>
    <w:pPr>
      <w:numPr>
        <w:numId w:val="2"/>
      </w:numPr>
      <w:spacing w:after="120" w:line="209" w:lineRule="auto"/>
      <w:ind w:left="227" w:right="227" w:hanging="227"/>
      <w:contextualSpacing/>
    </w:pPr>
    <w:rPr>
      <w:rFonts w:ascii="Poppins" w:hAnsi="Poppins" w:cs="Times New Roman (Body CS)"/>
      <w:sz w:val="18"/>
      <w:szCs w:val="18"/>
    </w:rPr>
  </w:style>
  <w:style w:type="paragraph" w:customStyle="1" w:styleId="LongBullets">
    <w:name w:val="Long Bullets"/>
    <w:basedOn w:val="Bullets"/>
    <w:qFormat/>
    <w:rsid w:val="00664626"/>
    <w:pPr>
      <w:contextualSpacing w:val="0"/>
    </w:pPr>
  </w:style>
  <w:style w:type="paragraph" w:customStyle="1" w:styleId="Tableheader">
    <w:name w:val="Table header"/>
    <w:basedOn w:val="Heading4"/>
    <w:qFormat/>
    <w:rsid w:val="00664626"/>
    <w:pPr>
      <w:outlineLvl w:val="9"/>
    </w:pPr>
    <w:rPr>
      <w:color w:val="4472C4" w:themeColor="accent1"/>
      <w:sz w:val="22"/>
      <w:szCs w:val="22"/>
    </w:rPr>
  </w:style>
  <w:style w:type="paragraph" w:customStyle="1" w:styleId="Tabletext">
    <w:name w:val="Table text"/>
    <w:basedOn w:val="Normal"/>
    <w:qFormat/>
    <w:rsid w:val="00664626"/>
    <w:pPr>
      <w:spacing w:after="40" w:line="209" w:lineRule="auto"/>
    </w:pPr>
    <w:rPr>
      <w:rFonts w:ascii="Poppins" w:hAnsi="Poppins" w:cs="Times New Roman (Body CS)"/>
      <w:color w:val="44546A" w:themeColor="text2"/>
      <w:sz w:val="18"/>
      <w:szCs w:val="18"/>
    </w:rPr>
  </w:style>
  <w:style w:type="table" w:styleId="ListTable6Colorful-Accent6">
    <w:name w:val="List Table 6 Colorful Accent 6"/>
    <w:basedOn w:val="TableNormal"/>
    <w:uiPriority w:val="51"/>
    <w:rsid w:val="00664626"/>
    <w:pPr>
      <w:spacing w:after="0" w:line="240" w:lineRule="auto"/>
    </w:pPr>
    <w:rPr>
      <w:rFonts w:ascii="Poppins" w:hAnsi="Poppins"/>
      <w:color w:val="000000" w:themeColor="text1"/>
      <w:sz w:val="18"/>
      <w:szCs w:val="24"/>
    </w:rPr>
    <w:tblPr>
      <w:tblStyleRowBandSize w:val="1"/>
      <w:tblStyleColBandSize w:val="1"/>
      <w:tblBorders>
        <w:top w:val="single" w:sz="4" w:space="0" w:color="70AD47" w:themeColor="accent6"/>
      </w:tblBorders>
    </w:tblPr>
    <w:tblStylePr w:type="firstRow">
      <w:rPr>
        <w:b w:val="0"/>
        <w:bCs/>
        <w:color w:val="000000" w:themeColor="text1"/>
      </w:rPr>
      <w:tblPr/>
      <w:tcPr>
        <w:tcBorders>
          <w:top w:val="single" w:sz="4" w:space="0" w:color="4472C4" w:themeColor="accent1"/>
          <w:bottom w:val="single" w:sz="4" w:space="0" w:color="4472C4" w:themeColor="accent1"/>
        </w:tcBorders>
      </w:tcPr>
    </w:tblStylePr>
    <w:tblStylePr w:type="lastRow">
      <w:rPr>
        <w:b/>
        <w:bCs/>
      </w:rPr>
      <w:tblPr/>
      <w:tcPr>
        <w:tcBorders>
          <w:top w:val="nil"/>
          <w:bottom w:val="nil"/>
        </w:tcBorders>
      </w:tcPr>
    </w:tblStylePr>
    <w:tblStylePr w:type="firstCol">
      <w:rPr>
        <w:b/>
        <w:bCs/>
      </w:rPr>
    </w:tblStylePr>
    <w:tblStylePr w:type="lastCol">
      <w:rPr>
        <w:b w:val="0"/>
        <w:bCs/>
      </w:rPr>
    </w:tblStylePr>
    <w:tblStylePr w:type="band1Horz">
      <w:tblPr/>
      <w:tcPr>
        <w:shd w:val="clear" w:color="auto" w:fill="EFF6FF"/>
      </w:tcPr>
    </w:tblStylePr>
  </w:style>
  <w:style w:type="paragraph" w:customStyle="1" w:styleId="DocSubheading">
    <w:name w:val="Doc Subheading"/>
    <w:basedOn w:val="Heading1"/>
    <w:qFormat/>
    <w:rsid w:val="00664626"/>
  </w:style>
  <w:style w:type="paragraph" w:styleId="Header">
    <w:name w:val="header"/>
    <w:basedOn w:val="Normal"/>
    <w:link w:val="HeaderChar"/>
    <w:uiPriority w:val="99"/>
    <w:unhideWhenUsed/>
    <w:rsid w:val="00664626"/>
    <w:pPr>
      <w:tabs>
        <w:tab w:val="center" w:pos="4680"/>
        <w:tab w:val="right" w:pos="9360"/>
      </w:tabs>
      <w:spacing w:after="0" w:line="240" w:lineRule="auto"/>
    </w:pPr>
    <w:rPr>
      <w:rFonts w:ascii="Poppins" w:hAnsi="Poppins" w:cs="Times New Roman (Body CS)"/>
      <w:sz w:val="18"/>
      <w:szCs w:val="18"/>
    </w:rPr>
  </w:style>
  <w:style w:type="character" w:customStyle="1" w:styleId="HeaderChar">
    <w:name w:val="Header Char"/>
    <w:basedOn w:val="DefaultParagraphFont"/>
    <w:link w:val="Header"/>
    <w:uiPriority w:val="99"/>
    <w:rsid w:val="00664626"/>
    <w:rPr>
      <w:rFonts w:ascii="Poppins" w:hAnsi="Poppins" w:cs="Times New Roman (Body CS)"/>
      <w:sz w:val="18"/>
      <w:szCs w:val="18"/>
    </w:rPr>
  </w:style>
  <w:style w:type="paragraph" w:styleId="ListParagraph">
    <w:name w:val="List Paragraph"/>
    <w:basedOn w:val="Normal"/>
    <w:uiPriority w:val="1"/>
    <w:qFormat/>
    <w:rsid w:val="00664626"/>
    <w:pPr>
      <w:spacing w:after="240" w:line="209" w:lineRule="auto"/>
      <w:ind w:left="720"/>
      <w:contextualSpacing/>
    </w:pPr>
    <w:rPr>
      <w:rFonts w:ascii="Poppins" w:hAnsi="Poppins" w:cs="Times New Roman (Body CS)"/>
      <w:sz w:val="18"/>
      <w:szCs w:val="18"/>
    </w:rPr>
  </w:style>
  <w:style w:type="character" w:customStyle="1" w:styleId="Heading2Char">
    <w:name w:val="Heading 2 Char"/>
    <w:basedOn w:val="DefaultParagraphFont"/>
    <w:link w:val="Heading2"/>
    <w:uiPriority w:val="9"/>
    <w:rsid w:val="007F2BB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96EB6"/>
    <w:rPr>
      <w:sz w:val="16"/>
      <w:szCs w:val="16"/>
    </w:rPr>
  </w:style>
  <w:style w:type="paragraph" w:styleId="CommentText">
    <w:name w:val="annotation text"/>
    <w:basedOn w:val="Normal"/>
    <w:link w:val="CommentTextChar"/>
    <w:uiPriority w:val="99"/>
    <w:unhideWhenUsed/>
    <w:rsid w:val="00196EB6"/>
    <w:pPr>
      <w:spacing w:line="240" w:lineRule="auto"/>
    </w:pPr>
    <w:rPr>
      <w:sz w:val="20"/>
      <w:szCs w:val="20"/>
    </w:rPr>
  </w:style>
  <w:style w:type="character" w:customStyle="1" w:styleId="CommentTextChar">
    <w:name w:val="Comment Text Char"/>
    <w:basedOn w:val="DefaultParagraphFont"/>
    <w:link w:val="CommentText"/>
    <w:uiPriority w:val="99"/>
    <w:rsid w:val="00196EB6"/>
    <w:rPr>
      <w:sz w:val="20"/>
      <w:szCs w:val="20"/>
    </w:rPr>
  </w:style>
  <w:style w:type="paragraph" w:styleId="CommentSubject">
    <w:name w:val="annotation subject"/>
    <w:basedOn w:val="CommentText"/>
    <w:next w:val="CommentText"/>
    <w:link w:val="CommentSubjectChar"/>
    <w:uiPriority w:val="99"/>
    <w:semiHidden/>
    <w:unhideWhenUsed/>
    <w:rsid w:val="00196EB6"/>
    <w:rPr>
      <w:b/>
      <w:bCs/>
    </w:rPr>
  </w:style>
  <w:style w:type="character" w:customStyle="1" w:styleId="CommentSubjectChar">
    <w:name w:val="Comment Subject Char"/>
    <w:basedOn w:val="CommentTextChar"/>
    <w:link w:val="CommentSubject"/>
    <w:uiPriority w:val="99"/>
    <w:semiHidden/>
    <w:rsid w:val="00196EB6"/>
    <w:rPr>
      <w:b/>
      <w:bCs/>
      <w:sz w:val="20"/>
      <w:szCs w:val="20"/>
    </w:rPr>
  </w:style>
  <w:style w:type="paragraph" w:styleId="NormalWeb">
    <w:name w:val="Normal (Web)"/>
    <w:basedOn w:val="Normal"/>
    <w:uiPriority w:val="99"/>
    <w:semiHidden/>
    <w:unhideWhenUsed/>
    <w:rsid w:val="00B055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55E5"/>
    <w:rPr>
      <w:b/>
      <w:bCs/>
    </w:rPr>
  </w:style>
  <w:style w:type="character" w:styleId="Emphasis">
    <w:name w:val="Emphasis"/>
    <w:basedOn w:val="DefaultParagraphFont"/>
    <w:uiPriority w:val="20"/>
    <w:qFormat/>
    <w:rsid w:val="00B055E5"/>
    <w:rPr>
      <w:i/>
      <w:iCs/>
    </w:rPr>
  </w:style>
  <w:style w:type="character" w:customStyle="1" w:styleId="a-size-extra-large">
    <w:name w:val="a-size-extra-large"/>
    <w:basedOn w:val="DefaultParagraphFont"/>
    <w:rsid w:val="00B62AE7"/>
  </w:style>
  <w:style w:type="character" w:customStyle="1" w:styleId="author">
    <w:name w:val="author"/>
    <w:basedOn w:val="DefaultParagraphFont"/>
    <w:rsid w:val="00B62AE7"/>
  </w:style>
  <w:style w:type="character" w:styleId="Hyperlink">
    <w:name w:val="Hyperlink"/>
    <w:basedOn w:val="DefaultParagraphFont"/>
    <w:uiPriority w:val="99"/>
    <w:semiHidden/>
    <w:unhideWhenUsed/>
    <w:rsid w:val="00B62AE7"/>
    <w:rPr>
      <w:color w:val="0000FF"/>
      <w:u w:val="single"/>
    </w:rPr>
  </w:style>
  <w:style w:type="character" w:customStyle="1" w:styleId="a-color-secondary">
    <w:name w:val="a-color-secondary"/>
    <w:basedOn w:val="DefaultParagraphFont"/>
    <w:rsid w:val="00B62AE7"/>
  </w:style>
  <w:style w:type="character" w:customStyle="1" w:styleId="normaltextrun">
    <w:name w:val="normaltextrun"/>
    <w:basedOn w:val="DefaultParagraphFont"/>
    <w:rsid w:val="00A27300"/>
  </w:style>
  <w:style w:type="character" w:customStyle="1" w:styleId="findhit">
    <w:name w:val="findhit"/>
    <w:basedOn w:val="DefaultParagraphFont"/>
    <w:rsid w:val="00A27300"/>
  </w:style>
  <w:style w:type="paragraph" w:styleId="FootnoteText">
    <w:name w:val="footnote text"/>
    <w:basedOn w:val="Normal"/>
    <w:link w:val="FootnoteTextChar"/>
    <w:uiPriority w:val="99"/>
    <w:semiHidden/>
    <w:unhideWhenUsed/>
    <w:rsid w:val="002F0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F1D"/>
    <w:rPr>
      <w:sz w:val="20"/>
      <w:szCs w:val="20"/>
    </w:rPr>
  </w:style>
  <w:style w:type="character" w:styleId="FootnoteReference">
    <w:name w:val="footnote reference"/>
    <w:basedOn w:val="DefaultParagraphFont"/>
    <w:uiPriority w:val="99"/>
    <w:semiHidden/>
    <w:unhideWhenUsed/>
    <w:rsid w:val="002F0F1D"/>
    <w:rPr>
      <w:vertAlign w:val="superscript"/>
    </w:rPr>
  </w:style>
  <w:style w:type="paragraph" w:styleId="Revision">
    <w:name w:val="Revision"/>
    <w:hidden/>
    <w:uiPriority w:val="99"/>
    <w:semiHidden/>
    <w:rsid w:val="00ED1A23"/>
    <w:pPr>
      <w:spacing w:after="0" w:line="240" w:lineRule="auto"/>
    </w:pPr>
  </w:style>
  <w:style w:type="paragraph" w:customStyle="1" w:styleId="Paragraphtext">
    <w:name w:val="Paragraph text"/>
    <w:basedOn w:val="Normal"/>
    <w:qFormat/>
    <w:rsid w:val="007805D4"/>
    <w:pPr>
      <w:spacing w:after="240" w:line="276" w:lineRule="auto"/>
    </w:pPr>
    <w:rPr>
      <w:rFonts w:ascii="Arial" w:hAnsi="Arial"/>
      <w:sz w:val="20"/>
    </w:rPr>
  </w:style>
  <w:style w:type="paragraph" w:customStyle="1" w:styleId="Tableheading">
    <w:name w:val="Table heading"/>
    <w:basedOn w:val="Normal"/>
    <w:link w:val="TableheadingChar"/>
    <w:qFormat/>
    <w:rsid w:val="00934BEF"/>
    <w:pPr>
      <w:numPr>
        <w:numId w:val="34"/>
      </w:numPr>
      <w:spacing w:before="240" w:after="60" w:line="276" w:lineRule="auto"/>
      <w:ind w:left="1021" w:hanging="1021"/>
    </w:pPr>
    <w:rPr>
      <w:rFonts w:ascii="Arial" w:eastAsia="Times New Roman" w:hAnsi="Arial" w:cs="Times New Roman"/>
      <w:b/>
      <w:color w:val="004C6C"/>
      <w:sz w:val="20"/>
      <w:szCs w:val="24"/>
    </w:rPr>
  </w:style>
  <w:style w:type="character" w:customStyle="1" w:styleId="TableheadingChar">
    <w:name w:val="Table heading Char"/>
    <w:link w:val="Tableheading"/>
    <w:rsid w:val="00934BEF"/>
    <w:rPr>
      <w:rFonts w:ascii="Arial" w:eastAsia="Times New Roman" w:hAnsi="Arial" w:cs="Times New Roman"/>
      <w:b/>
      <w:color w:val="004C6C"/>
      <w:sz w:val="20"/>
      <w:szCs w:val="24"/>
    </w:rPr>
  </w:style>
  <w:style w:type="paragraph" w:customStyle="1" w:styleId="TableHeaderText">
    <w:name w:val="Table Header Text"/>
    <w:basedOn w:val="Normal"/>
    <w:link w:val="TableHeaderTextChar"/>
    <w:qFormat/>
    <w:rsid w:val="00934BEF"/>
    <w:pPr>
      <w:spacing w:after="0" w:line="276" w:lineRule="auto"/>
    </w:pPr>
    <w:rPr>
      <w:rFonts w:ascii="Arial" w:eastAsia="Times New Roman" w:hAnsi="Arial" w:cs="Times New Roman"/>
      <w:color w:val="FFFFFF"/>
      <w:sz w:val="20"/>
      <w:szCs w:val="24"/>
    </w:rPr>
  </w:style>
  <w:style w:type="paragraph" w:customStyle="1" w:styleId="TableBodyText">
    <w:name w:val="Table Body Text"/>
    <w:basedOn w:val="Normal"/>
    <w:link w:val="TableBodyTextChar"/>
    <w:qFormat/>
    <w:rsid w:val="00934BEF"/>
    <w:pPr>
      <w:spacing w:after="0" w:line="276" w:lineRule="auto"/>
    </w:pPr>
    <w:rPr>
      <w:rFonts w:ascii="Arial" w:eastAsia="Times New Roman" w:hAnsi="Arial" w:cs="Times New Roman"/>
      <w:sz w:val="20"/>
      <w:szCs w:val="24"/>
    </w:rPr>
  </w:style>
  <w:style w:type="character" w:customStyle="1" w:styleId="TableHeaderTextChar">
    <w:name w:val="Table Header Text Char"/>
    <w:link w:val="TableHeaderText"/>
    <w:rsid w:val="00934BEF"/>
    <w:rPr>
      <w:rFonts w:ascii="Arial" w:eastAsia="Times New Roman" w:hAnsi="Arial" w:cs="Times New Roman"/>
      <w:color w:val="FFFFFF"/>
      <w:sz w:val="20"/>
      <w:szCs w:val="24"/>
    </w:rPr>
  </w:style>
  <w:style w:type="character" w:customStyle="1" w:styleId="TableBodyTextChar">
    <w:name w:val="Table Body Text Char"/>
    <w:link w:val="TableBodyText"/>
    <w:rsid w:val="00934BEF"/>
    <w:rPr>
      <w:rFonts w:ascii="Arial" w:eastAsia="Times New Roman" w:hAnsi="Arial" w:cs="Times New Roman"/>
      <w:sz w:val="20"/>
      <w:szCs w:val="24"/>
    </w:rPr>
  </w:style>
  <w:style w:type="table" w:customStyle="1" w:styleId="TableStyle">
    <w:name w:val="Table Style"/>
    <w:uiPriority w:val="99"/>
    <w:rsid w:val="00934BEF"/>
    <w:pPr>
      <w:spacing w:after="0" w:line="240" w:lineRule="auto"/>
    </w:pPr>
    <w:rPr>
      <w:rFonts w:ascii="Arial" w:eastAsia="Times New Roman" w:hAnsi="Arial" w:cs="Times New Roman"/>
      <w:sz w:val="20"/>
      <w:szCs w:val="20"/>
      <w:lang w:eastAsia="en-GB"/>
    </w:rPr>
    <w:tblPr>
      <w:tblInd w:w="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57" w:type="dxa"/>
        <w:left w:w="57" w:type="dxa"/>
        <w:bottom w:w="57" w:type="dxa"/>
        <w:right w:w="57" w:type="dxa"/>
      </w:tblCellMar>
    </w:tblPr>
    <w:tblStylePr w:type="firstRow">
      <w:pPr>
        <w:wordWrap/>
        <w:spacing w:beforeLines="0" w:before="0" w:beforeAutospacing="0" w:afterLines="0" w:after="0" w:afterAutospacing="0" w:line="240" w:lineRule="auto"/>
      </w:pPr>
      <w:rPr>
        <w:rFonts w:ascii="Arial" w:hAnsi="Arial"/>
        <w:color w:val="FFFFFF" w:themeColor="background1"/>
        <w:sz w:val="20"/>
      </w:rPr>
      <w:tblPr/>
      <w:tcPr>
        <w:shd w:val="clear" w:color="auto" w:fill="004C6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367">
      <w:bodyDiv w:val="1"/>
      <w:marLeft w:val="0"/>
      <w:marRight w:val="0"/>
      <w:marTop w:val="0"/>
      <w:marBottom w:val="0"/>
      <w:divBdr>
        <w:top w:val="none" w:sz="0" w:space="0" w:color="auto"/>
        <w:left w:val="none" w:sz="0" w:space="0" w:color="auto"/>
        <w:bottom w:val="none" w:sz="0" w:space="0" w:color="auto"/>
        <w:right w:val="none" w:sz="0" w:space="0" w:color="auto"/>
      </w:divBdr>
    </w:div>
    <w:div w:id="235092273">
      <w:bodyDiv w:val="1"/>
      <w:marLeft w:val="0"/>
      <w:marRight w:val="0"/>
      <w:marTop w:val="0"/>
      <w:marBottom w:val="0"/>
      <w:divBdr>
        <w:top w:val="none" w:sz="0" w:space="0" w:color="auto"/>
        <w:left w:val="none" w:sz="0" w:space="0" w:color="auto"/>
        <w:bottom w:val="none" w:sz="0" w:space="0" w:color="auto"/>
        <w:right w:val="none" w:sz="0" w:space="0" w:color="auto"/>
      </w:divBdr>
    </w:div>
    <w:div w:id="306016694">
      <w:bodyDiv w:val="1"/>
      <w:marLeft w:val="0"/>
      <w:marRight w:val="0"/>
      <w:marTop w:val="0"/>
      <w:marBottom w:val="0"/>
      <w:divBdr>
        <w:top w:val="none" w:sz="0" w:space="0" w:color="auto"/>
        <w:left w:val="none" w:sz="0" w:space="0" w:color="auto"/>
        <w:bottom w:val="none" w:sz="0" w:space="0" w:color="auto"/>
        <w:right w:val="none" w:sz="0" w:space="0" w:color="auto"/>
      </w:divBdr>
    </w:div>
    <w:div w:id="489292460">
      <w:bodyDiv w:val="1"/>
      <w:marLeft w:val="0"/>
      <w:marRight w:val="0"/>
      <w:marTop w:val="0"/>
      <w:marBottom w:val="0"/>
      <w:divBdr>
        <w:top w:val="none" w:sz="0" w:space="0" w:color="auto"/>
        <w:left w:val="none" w:sz="0" w:space="0" w:color="auto"/>
        <w:bottom w:val="none" w:sz="0" w:space="0" w:color="auto"/>
        <w:right w:val="none" w:sz="0" w:space="0" w:color="auto"/>
      </w:divBdr>
    </w:div>
    <w:div w:id="805050767">
      <w:bodyDiv w:val="1"/>
      <w:marLeft w:val="0"/>
      <w:marRight w:val="0"/>
      <w:marTop w:val="0"/>
      <w:marBottom w:val="0"/>
      <w:divBdr>
        <w:top w:val="none" w:sz="0" w:space="0" w:color="auto"/>
        <w:left w:val="none" w:sz="0" w:space="0" w:color="auto"/>
        <w:bottom w:val="none" w:sz="0" w:space="0" w:color="auto"/>
        <w:right w:val="none" w:sz="0" w:space="0" w:color="auto"/>
      </w:divBdr>
    </w:div>
    <w:div w:id="827013624">
      <w:bodyDiv w:val="1"/>
      <w:marLeft w:val="0"/>
      <w:marRight w:val="0"/>
      <w:marTop w:val="0"/>
      <w:marBottom w:val="0"/>
      <w:divBdr>
        <w:top w:val="none" w:sz="0" w:space="0" w:color="auto"/>
        <w:left w:val="none" w:sz="0" w:space="0" w:color="auto"/>
        <w:bottom w:val="none" w:sz="0" w:space="0" w:color="auto"/>
        <w:right w:val="none" w:sz="0" w:space="0" w:color="auto"/>
      </w:divBdr>
    </w:div>
    <w:div w:id="1140270237">
      <w:bodyDiv w:val="1"/>
      <w:marLeft w:val="0"/>
      <w:marRight w:val="0"/>
      <w:marTop w:val="0"/>
      <w:marBottom w:val="0"/>
      <w:divBdr>
        <w:top w:val="none" w:sz="0" w:space="0" w:color="auto"/>
        <w:left w:val="none" w:sz="0" w:space="0" w:color="auto"/>
        <w:bottom w:val="none" w:sz="0" w:space="0" w:color="auto"/>
        <w:right w:val="none" w:sz="0" w:space="0" w:color="auto"/>
      </w:divBdr>
    </w:div>
    <w:div w:id="1256285851">
      <w:bodyDiv w:val="1"/>
      <w:marLeft w:val="0"/>
      <w:marRight w:val="0"/>
      <w:marTop w:val="0"/>
      <w:marBottom w:val="0"/>
      <w:divBdr>
        <w:top w:val="none" w:sz="0" w:space="0" w:color="auto"/>
        <w:left w:val="none" w:sz="0" w:space="0" w:color="auto"/>
        <w:bottom w:val="none" w:sz="0" w:space="0" w:color="auto"/>
        <w:right w:val="none" w:sz="0" w:space="0" w:color="auto"/>
      </w:divBdr>
    </w:div>
    <w:div w:id="1788039475">
      <w:bodyDiv w:val="1"/>
      <w:marLeft w:val="0"/>
      <w:marRight w:val="0"/>
      <w:marTop w:val="0"/>
      <w:marBottom w:val="0"/>
      <w:divBdr>
        <w:top w:val="none" w:sz="0" w:space="0" w:color="auto"/>
        <w:left w:val="none" w:sz="0" w:space="0" w:color="auto"/>
        <w:bottom w:val="none" w:sz="0" w:space="0" w:color="auto"/>
        <w:right w:val="none" w:sz="0" w:space="0" w:color="auto"/>
      </w:divBdr>
    </w:div>
    <w:div w:id="1803839424">
      <w:bodyDiv w:val="1"/>
      <w:marLeft w:val="0"/>
      <w:marRight w:val="0"/>
      <w:marTop w:val="0"/>
      <w:marBottom w:val="0"/>
      <w:divBdr>
        <w:top w:val="none" w:sz="0" w:space="0" w:color="auto"/>
        <w:left w:val="none" w:sz="0" w:space="0" w:color="auto"/>
        <w:bottom w:val="none" w:sz="0" w:space="0" w:color="auto"/>
        <w:right w:val="none" w:sz="0" w:space="0" w:color="auto"/>
      </w:divBdr>
    </w:div>
    <w:div w:id="1944259057">
      <w:bodyDiv w:val="1"/>
      <w:marLeft w:val="0"/>
      <w:marRight w:val="0"/>
      <w:marTop w:val="0"/>
      <w:marBottom w:val="0"/>
      <w:divBdr>
        <w:top w:val="none" w:sz="0" w:space="0" w:color="auto"/>
        <w:left w:val="none" w:sz="0" w:space="0" w:color="auto"/>
        <w:bottom w:val="none" w:sz="0" w:space="0" w:color="auto"/>
        <w:right w:val="none" w:sz="0" w:space="0" w:color="auto"/>
      </w:divBdr>
    </w:div>
    <w:div w:id="20732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4F39980E6E4466409E7A15C1D514AAA0" ma:contentTypeVersion="42" ma:contentTypeDescription="Create a new document." ma:contentTypeScope="" ma:versionID="82f713bf8189aeda9682f0dbab6b5527">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b8fba03f-b465-42d4-a04d-5eac66a5065f" targetNamespace="http://schemas.microsoft.com/office/2006/metadata/properties" ma:root="true" ma:fieldsID="386a8d511c380583ffdc50978531933a" ns2:_="" ns3:_="" ns4:_="" ns5:_="" ns6:_="">
    <xsd:import namespace="dbe221e7-66db-4bdb-a92c-aa517c005f15"/>
    <xsd:import namespace="662745e8-e224-48e8-a2e3-254862b8c2f5"/>
    <xsd:import namespace="eebef177-55b5-4448-a5fb-28ea454417ee"/>
    <xsd:import namespace="5ffd8e36-f429-4edc-ab50-c5be84842779"/>
    <xsd:import namespace="b8fba03f-b465-42d4-a04d-5eac66a5065f"/>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ObjectDetectorVersions"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SearchPropertie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fba03f-b465-42d4-a04d-5eac66a5065f"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3" nillable="true" ma:displayName="Extracted Text" ma:internalName="MediaServiceOCR" ma:readOnly="true">
      <xsd:simpleType>
        <xsd:restriction base="dms:Note">
          <xsd:maxLength value="255"/>
        </xsd:restriction>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DateTaken" ma:index="56" nillable="true" ma:displayName="MediaServiceDateTaken" ma:hidden="true" ma:indexed="true" ma:internalName="MediaServiceDateTaken" ma:readOnly="true">
      <xsd:simpleType>
        <xsd:restriction base="dms:Text"/>
      </xsd:simpleType>
    </xsd:element>
    <xsd:element name="MediaServiceLocation" ma:index="57"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element name="MediaLengthInSeconds" ma:index="5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41</Value>
      <Value>40</Value>
      <Value>11</Value>
      <Value>32</Value>
      <Value>14</Value>
    </TaxCatchAll>
    <lcf76f155ced4ddcb4097134ff3c332f xmlns="b8fba03f-b465-42d4-a04d-5eac66a5065f">
      <Terms xmlns="http://schemas.microsoft.com/office/infopath/2007/PartnerControls"/>
    </lcf76f155ced4ddcb4097134ff3c332f>
    <EAReceivedDate xmlns="eebef177-55b5-4448-a5fb-28ea454417ee">2024-01-25T00:00:00+00:00</EAReceivedDate>
    <ga477587807b4e8dbd9d142e03c014fa xmlns="dbe221e7-66db-4bdb-a92c-aa517c005f15">
      <Terms xmlns="http://schemas.microsoft.com/office/infopath/2007/PartnerControls"/>
    </ga477587807b4e8dbd9d142e03c014fa>
    <PermitNumber xmlns="eebef177-55b5-4448-a5fb-28ea454417ee">EPR-DP3092ZJ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YORKSHIRE WATER SERVICES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2024-01-25T00:00:00+00:00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EPR/DP3092ZJ</EPRNumber>
    <FacilityAddressPostcode xmlns="eebef177-55b5-4448-a5fb-28ea454417ee">S13 9WD</FacilityAddressPostcode>
    <ed3cfd1978f244c4af5dc9d642a18018 xmlns="dbe221e7-66db-4bdb-a92c-aa517c005f15">
      <Terms xmlns="http://schemas.microsoft.com/office/infopath/2007/PartnerControls"/>
    </ed3cfd1978f244c4af5dc9d642a18018>
    <ExternalAuthor xmlns="eebef177-55b5-4448-a5fb-28ea454417ee">Yorkshire Water</ExternalAuthor>
    <SiteName xmlns="eebef177-55b5-4448-a5fb-28ea454417ee">Woodhouse Mill Waste Water Treatment Works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Woodhouse Mill W W T W, Retford Road, Sheffield, South Yorkshire S13 9WD</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672F7-4164-44AC-BB2B-114DB6DBA642}"/>
</file>

<file path=customXml/itemProps2.xml><?xml version="1.0" encoding="utf-8"?>
<ds:datastoreItem xmlns:ds="http://schemas.openxmlformats.org/officeDocument/2006/customXml" ds:itemID="{75CFCD77-8EF3-450B-913C-30D40FDC2D32}">
  <ds:schemaRefs>
    <ds:schemaRef ds:uri="http://schemas.openxmlformats.org/officeDocument/2006/bibliography"/>
  </ds:schemaRefs>
</ds:datastoreItem>
</file>

<file path=customXml/itemProps3.xml><?xml version="1.0" encoding="utf-8"?>
<ds:datastoreItem xmlns:ds="http://schemas.openxmlformats.org/officeDocument/2006/customXml" ds:itemID="{338B24BA-1EAE-48D8-ABA7-D09903424812}">
  <ds:schemaRefs>
    <ds:schemaRef ds:uri="http://schemas.microsoft.com/office/2006/metadata/properties"/>
    <ds:schemaRef ds:uri="http://schemas.microsoft.com/office/infopath/2007/PartnerControls"/>
    <ds:schemaRef ds:uri="55191d1c-566a-44bc-9ec1-8d3b9aa217be"/>
    <ds:schemaRef ds:uri="598B6CC5-6469-487A-8F67-419D3E59D316"/>
    <ds:schemaRef ds:uri="47afae09-7df9-4dae-a6c8-754594ec5a10"/>
    <ds:schemaRef ds:uri="598b6cc5-6469-487a-8f67-419d3e59d316"/>
    <ds:schemaRef ds:uri="3dddc719-072c-42b8-8ce4-554d9a99e7c2"/>
    <ds:schemaRef ds:uri="0f7f962f-e918-4499-811c-fd8eb42c38da"/>
  </ds:schemaRefs>
</ds:datastoreItem>
</file>

<file path=customXml/itemProps4.xml><?xml version="1.0" encoding="utf-8"?>
<ds:datastoreItem xmlns:ds="http://schemas.openxmlformats.org/officeDocument/2006/customXml" ds:itemID="{5E2B48E7-C6F0-4CB6-A79E-4F390015B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6857</Words>
  <Characters>39091</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MORGAN</dc:creator>
  <cp:keywords/>
  <dc:description/>
  <cp:lastModifiedBy>Topping, Liz</cp:lastModifiedBy>
  <cp:revision>2</cp:revision>
  <dcterms:created xsi:type="dcterms:W3CDTF">2024-01-30T09:36:00Z</dcterms:created>
  <dcterms:modified xsi:type="dcterms:W3CDTF">2024-01-30T09:36:00Z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dfc70-0289-4bbf-a1df-2e48919102f8_Enabled">
    <vt:lpwstr>true</vt:lpwstr>
  </property>
  <property fmtid="{D5CDD505-2E9C-101B-9397-08002B2CF9AE}" pid="3" name="MSIP_Label_d04dfc70-0289-4bbf-a1df-2e48919102f8_SetDate">
    <vt:lpwstr>2022-04-13T16:47:01Z</vt:lpwstr>
  </property>
  <property fmtid="{D5CDD505-2E9C-101B-9397-08002B2CF9AE}" pid="4" name="MSIP_Label_d04dfc70-0289-4bbf-a1df-2e48919102f8_Method">
    <vt:lpwstr>Standard</vt:lpwstr>
  </property>
  <property fmtid="{D5CDD505-2E9C-101B-9397-08002B2CF9AE}" pid="5" name="MSIP_Label_d04dfc70-0289-4bbf-a1df-2e48919102f8_Name">
    <vt:lpwstr>Private2</vt:lpwstr>
  </property>
  <property fmtid="{D5CDD505-2E9C-101B-9397-08002B2CF9AE}" pid="6" name="MSIP_Label_d04dfc70-0289-4bbf-a1df-2e48919102f8_SiteId">
    <vt:lpwstr>92ebd22d-0a9c-4516-a68f-ba966853a8f3</vt:lpwstr>
  </property>
  <property fmtid="{D5CDD505-2E9C-101B-9397-08002B2CF9AE}" pid="7" name="MSIP_Label_d04dfc70-0289-4bbf-a1df-2e48919102f8_ActionId">
    <vt:lpwstr>df489fcd-1866-4058-bbff-3ccf97a112d1</vt:lpwstr>
  </property>
  <property fmtid="{D5CDD505-2E9C-101B-9397-08002B2CF9AE}" pid="8" name="MSIP_Label_d04dfc70-0289-4bbf-a1df-2e48919102f8_ContentBits">
    <vt:lpwstr>0</vt:lpwstr>
  </property>
  <property fmtid="{D5CDD505-2E9C-101B-9397-08002B2CF9AE}" pid="9" name="ContentTypeId">
    <vt:lpwstr>0x0101000E9AD557692E154F9D2697C8C6432F76004F39980E6E4466409E7A15C1D514AAA0</vt:lpwstr>
  </property>
  <property fmtid="{D5CDD505-2E9C-101B-9397-08002B2CF9AE}" pid="10" name="YWSProjectReference">
    <vt:lpwstr>4;#New Project Scheme|05367ec5-9e2d-46cb-8506-3b5d57a47452</vt:lpwstr>
  </property>
  <property fmtid="{D5CDD505-2E9C-101B-9397-08002B2CF9AE}" pid="11" name="MediaServiceImageTags">
    <vt:lpwstr/>
  </property>
  <property fmtid="{D5CDD505-2E9C-101B-9397-08002B2CF9AE}" pid="12" name="PermitDocumentType">
    <vt:lpwstr/>
  </property>
  <property fmtid="{D5CDD505-2E9C-101B-9397-08002B2CF9AE}" pid="13" name="TypeofPermit">
    <vt:lpwstr>32;#Bespoke|743fbb82-64b4-442a-8bac-afa632175399</vt:lpwstr>
  </property>
  <property fmtid="{D5CDD505-2E9C-101B-9397-08002B2CF9AE}" pid="14" name="DisclosureStatus">
    <vt:lpwstr>41;#Public Register|f1fcf6a6-5d97-4f1d-964e-a2f916eb1f18</vt:lpwstr>
  </property>
  <property fmtid="{D5CDD505-2E9C-101B-9397-08002B2CF9AE}" pid="15" name="EventType1">
    <vt:lpwstr/>
  </property>
  <property fmtid="{D5CDD505-2E9C-101B-9397-08002B2CF9AE}" pid="16" name="ActivityGrouping">
    <vt:lpwstr>14;#Application ＆ Associated Docs|5eadfd3c-6deb-44e1-b7e1-16accd427bec</vt:lpwstr>
  </property>
  <property fmtid="{D5CDD505-2E9C-101B-9397-08002B2CF9AE}" pid="17" name="RegulatedActivityClass">
    <vt:lpwstr>40;#Waste Operations|dc63c9b7-da6e-463c-b2cf-265b08d49156</vt:lpwstr>
  </property>
  <property fmtid="{D5CDD505-2E9C-101B-9397-08002B2CF9AE}" pid="18" name="Catchment">
    <vt:lpwstr/>
  </property>
  <property fmtid="{D5CDD505-2E9C-101B-9397-08002B2CF9AE}" pid="19" name="MajorProjectID">
    <vt:lpwstr/>
  </property>
  <property fmtid="{D5CDD505-2E9C-101B-9397-08002B2CF9AE}" pid="20" name="StandardRulesID">
    <vt:lpwstr/>
  </property>
  <property fmtid="{D5CDD505-2E9C-101B-9397-08002B2CF9AE}" pid="21" name="CessationStatus">
    <vt:lpwstr/>
  </property>
  <property fmtid="{D5CDD505-2E9C-101B-9397-08002B2CF9AE}" pid="22" name="Regime">
    <vt:lpwstr>11;#EPR|0e5af97d-1a8c-4d8f-a20b-528a11cab1f6</vt:lpwstr>
  </property>
  <property fmtid="{D5CDD505-2E9C-101B-9397-08002B2CF9AE}" pid="23" name="RegulatedActivitySub-Class">
    <vt:lpwstr/>
  </property>
</Properties>
</file>