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7F81" w14:textId="00F242B1" w:rsidR="005C3C45" w:rsidRPr="005C3C45" w:rsidRDefault="005C3C45" w:rsidP="003E5FC1">
      <w:pPr>
        <w:rPr>
          <w:color w:val="auto"/>
        </w:rPr>
      </w:pPr>
      <w:r w:rsidRPr="005C3C45">
        <w:rPr>
          <w:color w:val="auto"/>
        </w:rPr>
        <w:t xml:space="preserve">The Permit Number is: </w:t>
      </w:r>
      <w:r>
        <w:rPr>
          <w:color w:val="auto"/>
        </w:rPr>
        <w:tab/>
      </w:r>
      <w:r>
        <w:rPr>
          <w:color w:val="auto"/>
        </w:rPr>
        <w:tab/>
      </w:r>
      <w:r>
        <w:rPr>
          <w:color w:val="auto"/>
        </w:rPr>
        <w:tab/>
      </w:r>
      <w:r>
        <w:rPr>
          <w:color w:val="auto"/>
        </w:rPr>
        <w:tab/>
      </w:r>
      <w:r w:rsidRPr="005C3C45">
        <w:rPr>
          <w:color w:val="auto"/>
        </w:rPr>
        <w:t>EPR/BL9763IN/V005</w:t>
      </w:r>
    </w:p>
    <w:p w14:paraId="16820A3C" w14:textId="746529F2" w:rsidR="005C3C45" w:rsidRPr="005C3C45" w:rsidRDefault="005C3C45" w:rsidP="005C3C45">
      <w:pPr>
        <w:ind w:left="5040" w:hanging="5040"/>
        <w:rPr>
          <w:color w:val="auto"/>
          <w:sz w:val="20"/>
        </w:rPr>
      </w:pPr>
      <w:r w:rsidRPr="005C3C45">
        <w:rPr>
          <w:color w:val="auto"/>
        </w:rPr>
        <w:t xml:space="preserve">The Applicant/Operator is: </w:t>
      </w:r>
      <w:r>
        <w:rPr>
          <w:color w:val="auto"/>
        </w:rPr>
        <w:tab/>
      </w:r>
      <w:r w:rsidRPr="005C3C45">
        <w:rPr>
          <w:color w:val="auto"/>
        </w:rPr>
        <w:t>Angus Energy Weald Basin No.3  Limited</w:t>
      </w:r>
    </w:p>
    <w:p w14:paraId="629F32F9" w14:textId="59E44BF8" w:rsidR="005C3C45" w:rsidRPr="005C3C45" w:rsidRDefault="005C3C45" w:rsidP="005C3C45">
      <w:pPr>
        <w:rPr>
          <w:color w:val="auto"/>
        </w:rPr>
      </w:pPr>
      <w:r w:rsidRPr="005C3C45">
        <w:rPr>
          <w:rFonts w:cs="Arial"/>
          <w:color w:val="auto"/>
        </w:rPr>
        <w:t>The installation is located at:</w:t>
      </w:r>
      <w:r w:rsidRPr="005C3C45">
        <w:rPr>
          <w:rFonts w:cs="Arial"/>
        </w:rPr>
        <w:t xml:space="preserve"> </w:t>
      </w:r>
      <w:r>
        <w:rPr>
          <w:rFonts w:cs="Arial"/>
        </w:rPr>
        <w:tab/>
      </w:r>
      <w:r>
        <w:rPr>
          <w:rFonts w:cs="Arial"/>
        </w:rPr>
        <w:tab/>
      </w:r>
      <w:r>
        <w:rPr>
          <w:rFonts w:cs="Arial"/>
        </w:rPr>
        <w:tab/>
      </w:r>
      <w:r w:rsidRPr="005C3C45">
        <w:rPr>
          <w:rFonts w:cs="Arial"/>
        </w:rPr>
        <w:fldChar w:fldCharType="begin"/>
      </w:r>
      <w:r w:rsidRPr="005C3C45">
        <w:rPr>
          <w:rFonts w:cs="Arial"/>
        </w:rPr>
        <w:instrText xml:space="preserve"> DOCPROPERTY \* Charformat "EA_DOC_FIELD_STRING_Site Name"  \* MERGEFORMAT </w:instrText>
      </w:r>
      <w:r w:rsidRPr="005C3C45">
        <w:rPr>
          <w:rFonts w:cs="Arial"/>
        </w:rPr>
        <w:fldChar w:fldCharType="separate"/>
      </w:r>
      <w:proofErr w:type="spellStart"/>
      <w:r w:rsidRPr="005C3C45">
        <w:rPr>
          <w:rFonts w:cs="Arial"/>
        </w:rPr>
        <w:t>Brockham</w:t>
      </w:r>
      <w:proofErr w:type="spellEnd"/>
      <w:r w:rsidRPr="005C3C45">
        <w:rPr>
          <w:rFonts w:cs="Arial"/>
        </w:rPr>
        <w:t xml:space="preserve"> Oilfield</w:t>
      </w:r>
      <w:r w:rsidRPr="005C3C45">
        <w:rPr>
          <w:rFonts w:cs="Arial"/>
        </w:rPr>
        <w:fldChar w:fldCharType="end"/>
      </w:r>
    </w:p>
    <w:p w14:paraId="107356FF" w14:textId="77777777" w:rsidR="005C3C45" w:rsidRPr="005C3C45" w:rsidRDefault="005C3C45" w:rsidP="005C3C45">
      <w:pPr>
        <w:pStyle w:val="NoSpacing"/>
        <w:ind w:left="4320" w:firstLine="720"/>
        <w:rPr>
          <w:rFonts w:ascii="Arial" w:hAnsi="Arial" w:cs="Arial"/>
          <w:sz w:val="24"/>
        </w:rPr>
      </w:pPr>
      <w:r w:rsidRPr="005C3C45">
        <w:rPr>
          <w:rFonts w:ascii="Arial" w:hAnsi="Arial" w:cs="Arial"/>
          <w:sz w:val="24"/>
        </w:rPr>
        <w:fldChar w:fldCharType="begin"/>
      </w:r>
      <w:r w:rsidRPr="005C3C45">
        <w:rPr>
          <w:rFonts w:ascii="Arial" w:hAnsi="Arial" w:cs="Arial"/>
          <w:sz w:val="24"/>
        </w:rPr>
        <w:instrText xml:space="preserve"> DOCPROPERTY \* Charformat "EA_DOC_FIELD_MEMO_Site Address"  \* MERGEFORMAT </w:instrText>
      </w:r>
      <w:r w:rsidRPr="005C3C45">
        <w:rPr>
          <w:rFonts w:ascii="Arial" w:hAnsi="Arial" w:cs="Arial"/>
          <w:sz w:val="24"/>
        </w:rPr>
        <w:fldChar w:fldCharType="separate"/>
      </w:r>
      <w:proofErr w:type="spellStart"/>
      <w:r w:rsidRPr="005C3C45">
        <w:rPr>
          <w:rFonts w:ascii="Arial" w:hAnsi="Arial" w:cs="Arial"/>
          <w:sz w:val="24"/>
        </w:rPr>
        <w:t>Feltons</w:t>
      </w:r>
      <w:proofErr w:type="spellEnd"/>
      <w:r w:rsidRPr="005C3C45">
        <w:rPr>
          <w:rFonts w:ascii="Arial" w:hAnsi="Arial" w:cs="Arial"/>
          <w:sz w:val="24"/>
        </w:rPr>
        <w:t xml:space="preserve"> Farm</w:t>
      </w:r>
    </w:p>
    <w:p w14:paraId="33DD34A0" w14:textId="4BAC2E34" w:rsidR="005C3C45" w:rsidRPr="005C3C45" w:rsidRDefault="005C3C45" w:rsidP="005C3C45">
      <w:pPr>
        <w:pStyle w:val="NoSpacing"/>
        <w:ind w:left="4320" w:firstLine="720"/>
        <w:rPr>
          <w:rFonts w:ascii="Arial" w:hAnsi="Arial" w:cs="Arial"/>
          <w:sz w:val="24"/>
        </w:rPr>
      </w:pPr>
      <w:r w:rsidRPr="005C3C45">
        <w:rPr>
          <w:rFonts w:ascii="Arial" w:hAnsi="Arial" w:cs="Arial"/>
          <w:sz w:val="24"/>
        </w:rPr>
        <w:t>Old School Lane</w:t>
      </w:r>
    </w:p>
    <w:p w14:paraId="4838BC9C" w14:textId="77777777" w:rsidR="005C3C45" w:rsidRPr="005C3C45" w:rsidRDefault="005C3C45" w:rsidP="005C3C45">
      <w:pPr>
        <w:pStyle w:val="NoSpacing"/>
        <w:ind w:left="4320" w:firstLine="720"/>
        <w:rPr>
          <w:rFonts w:ascii="Arial" w:hAnsi="Arial" w:cs="Arial"/>
          <w:sz w:val="24"/>
        </w:rPr>
      </w:pPr>
      <w:proofErr w:type="spellStart"/>
      <w:r w:rsidRPr="005C3C45">
        <w:rPr>
          <w:rFonts w:ascii="Arial" w:hAnsi="Arial" w:cs="Arial"/>
          <w:sz w:val="24"/>
        </w:rPr>
        <w:t>Brockham</w:t>
      </w:r>
      <w:proofErr w:type="spellEnd"/>
    </w:p>
    <w:p w14:paraId="43A88862" w14:textId="77777777" w:rsidR="005C3C45" w:rsidRPr="005C3C45" w:rsidRDefault="005C3C45" w:rsidP="005C3C45">
      <w:pPr>
        <w:pStyle w:val="NoSpacing"/>
        <w:ind w:left="4320" w:firstLine="720"/>
        <w:rPr>
          <w:rFonts w:ascii="Arial" w:hAnsi="Arial" w:cs="Arial"/>
          <w:sz w:val="24"/>
        </w:rPr>
      </w:pPr>
      <w:r w:rsidRPr="005C3C45">
        <w:rPr>
          <w:rFonts w:ascii="Arial" w:hAnsi="Arial" w:cs="Arial"/>
          <w:sz w:val="24"/>
        </w:rPr>
        <w:t>Dorking</w:t>
      </w:r>
    </w:p>
    <w:p w14:paraId="3384FE08" w14:textId="77777777" w:rsidR="005C3C45" w:rsidRPr="005C3C45" w:rsidRDefault="005C3C45" w:rsidP="005C3C45">
      <w:pPr>
        <w:pStyle w:val="NoSpacing"/>
        <w:ind w:left="4320" w:firstLine="720"/>
        <w:rPr>
          <w:rFonts w:ascii="Arial" w:hAnsi="Arial" w:cs="Arial"/>
          <w:sz w:val="24"/>
        </w:rPr>
      </w:pPr>
      <w:r w:rsidRPr="005C3C45">
        <w:rPr>
          <w:rFonts w:ascii="Arial" w:hAnsi="Arial" w:cs="Arial"/>
          <w:sz w:val="24"/>
        </w:rPr>
        <w:t>Surrey</w:t>
      </w:r>
    </w:p>
    <w:p w14:paraId="10123800" w14:textId="77777777" w:rsidR="005C3C45" w:rsidRPr="005C3C45" w:rsidRDefault="005C3C45" w:rsidP="005C3C45">
      <w:pPr>
        <w:pStyle w:val="NoSpacing"/>
        <w:ind w:left="4320" w:firstLine="720"/>
        <w:rPr>
          <w:rFonts w:ascii="Arial" w:hAnsi="Arial" w:cs="Arial"/>
          <w:sz w:val="24"/>
        </w:rPr>
      </w:pPr>
      <w:r w:rsidRPr="005C3C45">
        <w:rPr>
          <w:rFonts w:ascii="Arial" w:hAnsi="Arial" w:cs="Arial"/>
          <w:sz w:val="24"/>
        </w:rPr>
        <w:t>RH3 7AU</w:t>
      </w:r>
    </w:p>
    <w:p w14:paraId="57B648A6" w14:textId="25FB093B" w:rsidR="005C3C45" w:rsidRDefault="005C3C45" w:rsidP="005C3C45">
      <w:pPr>
        <w:ind w:left="720"/>
        <w:rPr>
          <w:rFonts w:cs="Arial"/>
        </w:rPr>
      </w:pPr>
      <w:r w:rsidRPr="005C3C45">
        <w:rPr>
          <w:rFonts w:cs="Arial"/>
        </w:rPr>
        <w:fldChar w:fldCharType="end"/>
      </w:r>
    </w:p>
    <w:p w14:paraId="16003A5B" w14:textId="313790CB" w:rsidR="005C3C45" w:rsidRDefault="005C3C45" w:rsidP="005C3C45">
      <w:pPr>
        <w:rPr>
          <w:rFonts w:cs="Arial"/>
        </w:rPr>
      </w:pPr>
      <w:r>
        <w:rPr>
          <w:rFonts w:cs="Arial"/>
        </w:rPr>
        <w:t xml:space="preserve">Application consultation commenced on: </w:t>
      </w:r>
      <w:r>
        <w:rPr>
          <w:rFonts w:cs="Arial"/>
        </w:rPr>
        <w:tab/>
        <w:t>23/03/21</w:t>
      </w:r>
    </w:p>
    <w:p w14:paraId="2775503E" w14:textId="1C7BF884" w:rsidR="005C3C45" w:rsidRPr="00B72865" w:rsidRDefault="005C3C45" w:rsidP="005C3C45">
      <w:pPr>
        <w:rPr>
          <w:rFonts w:cs="Arial"/>
          <w:color w:val="auto"/>
        </w:rPr>
      </w:pPr>
      <w:r>
        <w:rPr>
          <w:rFonts w:cs="Arial"/>
        </w:rPr>
        <w:t>Application consultation ended on:</w:t>
      </w:r>
      <w:r w:rsidRPr="00B72865">
        <w:rPr>
          <w:rFonts w:cs="Arial"/>
          <w:color w:val="auto"/>
        </w:rPr>
        <w:tab/>
      </w:r>
      <w:r w:rsidRPr="00B72865">
        <w:rPr>
          <w:rFonts w:cs="Arial"/>
          <w:color w:val="auto"/>
        </w:rPr>
        <w:tab/>
        <w:t>04/05/21</w:t>
      </w:r>
    </w:p>
    <w:p w14:paraId="08BF3CDE" w14:textId="6776EC3C" w:rsidR="005C3C45" w:rsidRPr="00B72865" w:rsidRDefault="005C3C45" w:rsidP="005C3C45">
      <w:pPr>
        <w:rPr>
          <w:rFonts w:cs="Arial"/>
          <w:color w:val="auto"/>
        </w:rPr>
      </w:pPr>
      <w:r w:rsidRPr="00B72865">
        <w:rPr>
          <w:rFonts w:cs="Arial"/>
          <w:color w:val="auto"/>
        </w:rPr>
        <w:t>Draft decision consultation commenced on:</w:t>
      </w:r>
      <w:r w:rsidRPr="00B72865">
        <w:rPr>
          <w:rFonts w:cs="Arial"/>
          <w:color w:val="auto"/>
        </w:rPr>
        <w:tab/>
      </w:r>
      <w:r w:rsidR="007765CC">
        <w:rPr>
          <w:rFonts w:cs="Arial"/>
          <w:color w:val="auto"/>
        </w:rPr>
        <w:t>29/12/2021</w:t>
      </w:r>
    </w:p>
    <w:p w14:paraId="21CFB13A" w14:textId="4E34B364" w:rsidR="005C3C45" w:rsidRPr="00B72865" w:rsidRDefault="005C3C45" w:rsidP="005C3C45">
      <w:pPr>
        <w:rPr>
          <w:rFonts w:cs="Arial"/>
          <w:color w:val="auto"/>
        </w:rPr>
      </w:pPr>
      <w:r w:rsidRPr="00B72865">
        <w:rPr>
          <w:rFonts w:cs="Arial"/>
          <w:color w:val="auto"/>
        </w:rPr>
        <w:t>Draft Decision c</w:t>
      </w:r>
      <w:r w:rsidR="007765CC">
        <w:rPr>
          <w:rFonts w:cs="Arial"/>
          <w:color w:val="auto"/>
        </w:rPr>
        <w:t xml:space="preserve">onsultation ended on: </w:t>
      </w:r>
      <w:r w:rsidR="007765CC">
        <w:rPr>
          <w:rFonts w:cs="Arial"/>
          <w:color w:val="auto"/>
        </w:rPr>
        <w:tab/>
      </w:r>
      <w:r w:rsidR="007765CC">
        <w:rPr>
          <w:rFonts w:cs="Arial"/>
          <w:color w:val="auto"/>
        </w:rPr>
        <w:tab/>
        <w:t>31/01/2022</w:t>
      </w:r>
      <w:bookmarkStart w:id="0" w:name="_GoBack"/>
      <w:bookmarkEnd w:id="0"/>
    </w:p>
    <w:p w14:paraId="48A1F8E5" w14:textId="77777777" w:rsidR="00EB2F43" w:rsidRDefault="00EB2F43" w:rsidP="00EB2F43">
      <w:pPr>
        <w:pStyle w:val="Default"/>
      </w:pPr>
    </w:p>
    <w:p w14:paraId="117DC284" w14:textId="30E15127" w:rsidR="005C3C45" w:rsidRDefault="00EB2F43" w:rsidP="00EB2F43">
      <w:pPr>
        <w:rPr>
          <w:b/>
          <w:bCs/>
          <w:sz w:val="32"/>
          <w:szCs w:val="32"/>
        </w:rPr>
      </w:pPr>
      <w:r>
        <w:rPr>
          <w:b/>
          <w:bCs/>
          <w:sz w:val="32"/>
          <w:szCs w:val="32"/>
        </w:rPr>
        <w:t>What this document is about</w:t>
      </w:r>
    </w:p>
    <w:p w14:paraId="7F85D91C" w14:textId="5A3A1F9C" w:rsidR="00EB2F43" w:rsidRPr="00EB2F43" w:rsidRDefault="00EB2F43" w:rsidP="00EB2F43">
      <w:pPr>
        <w:rPr>
          <w:color w:val="auto"/>
        </w:rPr>
      </w:pPr>
      <w:r w:rsidRPr="00EB2F43">
        <w:rPr>
          <w:color w:val="auto"/>
        </w:rPr>
        <w:t xml:space="preserve">This is a draft </w:t>
      </w:r>
      <w:r w:rsidR="007A7028">
        <w:rPr>
          <w:color w:val="auto"/>
        </w:rPr>
        <w:t>decision document</w:t>
      </w:r>
      <w:r w:rsidRPr="00EB2F43">
        <w:rPr>
          <w:color w:val="auto"/>
        </w:rPr>
        <w:t xml:space="preserve">, which accompanies a draft variation and notice. </w:t>
      </w:r>
    </w:p>
    <w:p w14:paraId="4CE70008" w14:textId="77777777" w:rsidR="00EB2F43" w:rsidRPr="00EB2F43" w:rsidRDefault="00EB2F43" w:rsidP="00EB2F43">
      <w:pPr>
        <w:rPr>
          <w:color w:val="auto"/>
        </w:rPr>
      </w:pPr>
      <w:r w:rsidRPr="00EB2F43">
        <w:rPr>
          <w:color w:val="auto"/>
        </w:rPr>
        <w:t xml:space="preserve">It explains how we have considered the Applicant’s Application, and why we have included the specific conditions in the draft permit we are proposing to issue to the Applicant. It is our record of our decision-making process, to show how we have taken into account all relevant factors in reaching our position. Unless the document explains otherwise, we have accepted the Applicant’s proposals. </w:t>
      </w:r>
    </w:p>
    <w:p w14:paraId="1C83565A" w14:textId="54F90C4B" w:rsidR="00EB2F43" w:rsidRDefault="00EB2F43" w:rsidP="006C21FA">
      <w:pPr>
        <w:rPr>
          <w:color w:val="auto"/>
        </w:rPr>
      </w:pPr>
      <w:r w:rsidRPr="00EB2F43">
        <w:rPr>
          <w:color w:val="auto"/>
        </w:rPr>
        <w:t xml:space="preserve">The document is in draft at this stage, because we have yet to make a final decision. Before we make this decision we want to explain our thinking to the public and other interested parties, to give them a chance to understand that thinking and, if they wish, to make relevant representations to us. We will make </w:t>
      </w:r>
      <w:r w:rsidRPr="00EB2F43">
        <w:rPr>
          <w:color w:val="auto"/>
        </w:rPr>
        <w:lastRenderedPageBreak/>
        <w:t>our final decision only after carefully taking into account any relevant matter raised in the responses we receive. Our mind remains open at this stage: although we believe we have covered all the relevant issues and reached a reasonable conclusion, our ultimate decision could yet be affected by any information that is relevant to the issues we have to consider. However, unless we receive information that leads us to alter the conditions in the draft Permit, or to reject the Application altogether, we will issue the Permit in its current form.</w:t>
      </w:r>
    </w:p>
    <w:p w14:paraId="3BEBDAF6" w14:textId="3CEBB3EA" w:rsidR="00EB2F43" w:rsidRDefault="00EB2F43" w:rsidP="00EB2F43">
      <w:pPr>
        <w:rPr>
          <w:color w:val="auto"/>
        </w:rPr>
      </w:pPr>
      <w:r w:rsidRPr="00EB2F43">
        <w:rPr>
          <w:color w:val="auto"/>
        </w:rPr>
        <w:t xml:space="preserve">In this document we frequently say “we have decided”. That gives the impression that our mind is already made up; but as we have explained above, we have not yet done so. The language we use enables this document to become the final </w:t>
      </w:r>
      <w:r w:rsidR="007A7028">
        <w:rPr>
          <w:color w:val="auto"/>
        </w:rPr>
        <w:t>decision document</w:t>
      </w:r>
      <w:r w:rsidRPr="00EB2F43">
        <w:rPr>
          <w:color w:val="auto"/>
        </w:rPr>
        <w:t xml:space="preserve"> in due course with no more re-drafting than is absolutely necessary.</w:t>
      </w:r>
    </w:p>
    <w:p w14:paraId="2F93C63F" w14:textId="632E474F" w:rsidR="00EB2F43" w:rsidRPr="00EB2F43" w:rsidRDefault="00EB2F43" w:rsidP="00EB2F43">
      <w:pPr>
        <w:rPr>
          <w:b/>
          <w:color w:val="auto"/>
          <w:sz w:val="36"/>
        </w:rPr>
      </w:pPr>
      <w:r w:rsidRPr="00EB2F43">
        <w:rPr>
          <w:b/>
          <w:color w:val="auto"/>
          <w:sz w:val="36"/>
        </w:rPr>
        <w:t>Our proposed decision</w:t>
      </w:r>
    </w:p>
    <w:p w14:paraId="00EFAA7B" w14:textId="63842430" w:rsidR="003E5FC1" w:rsidRDefault="002D6623" w:rsidP="006C21FA">
      <w:pPr>
        <w:rPr>
          <w:color w:val="auto"/>
        </w:rPr>
      </w:pPr>
      <w:r w:rsidRPr="00DE10F4">
        <w:rPr>
          <w:color w:val="auto"/>
        </w:rPr>
        <w:t xml:space="preserve">We </w:t>
      </w:r>
      <w:r w:rsidR="00EB2F43">
        <w:rPr>
          <w:color w:val="auto"/>
        </w:rPr>
        <w:t xml:space="preserve">are minded </w:t>
      </w:r>
      <w:r w:rsidRPr="00DE10F4">
        <w:rPr>
          <w:color w:val="auto"/>
        </w:rPr>
        <w:t>to grant the variation for</w:t>
      </w:r>
      <w:r w:rsidR="00657983" w:rsidRPr="00DE10F4">
        <w:rPr>
          <w:color w:val="auto"/>
        </w:rPr>
        <w:t xml:space="preserve"> Brockham Oilfield </w:t>
      </w:r>
      <w:r w:rsidRPr="00DE10F4">
        <w:rPr>
          <w:color w:val="auto"/>
        </w:rPr>
        <w:t>operated</w:t>
      </w:r>
      <w:r w:rsidR="00B444B1" w:rsidRPr="00DE10F4">
        <w:rPr>
          <w:color w:val="auto"/>
        </w:rPr>
        <w:t xml:space="preserve"> by </w:t>
      </w:r>
      <w:r w:rsidR="00657983" w:rsidRPr="00DE10F4">
        <w:rPr>
          <w:color w:val="auto"/>
        </w:rPr>
        <w:t>Angus Energy Weald Basin No.3 Limited</w:t>
      </w:r>
      <w:r w:rsidRPr="00DE10F4">
        <w:rPr>
          <w:color w:val="auto"/>
        </w:rPr>
        <w:t>.</w:t>
      </w:r>
    </w:p>
    <w:p w14:paraId="50FE9B34" w14:textId="77777777" w:rsidR="00D52CFB" w:rsidRDefault="00D52CFB" w:rsidP="00D52CFB">
      <w:pPr>
        <w:jc w:val="both"/>
        <w:rPr>
          <w:rStyle w:val="Pink"/>
          <w:color w:val="auto"/>
        </w:rPr>
      </w:pPr>
      <w:r w:rsidRPr="00961015">
        <w:rPr>
          <w:rStyle w:val="Pink"/>
          <w:color w:val="auto"/>
        </w:rPr>
        <w:t xml:space="preserve">This variation is to add </w:t>
      </w:r>
      <w:r>
        <w:rPr>
          <w:rStyle w:val="Pink"/>
          <w:color w:val="auto"/>
        </w:rPr>
        <w:t>-</w:t>
      </w:r>
    </w:p>
    <w:p w14:paraId="5294EE7C" w14:textId="51287392" w:rsidR="00D52CFB" w:rsidRDefault="001923EF" w:rsidP="00D52CFB">
      <w:pPr>
        <w:pStyle w:val="ListParagraph"/>
        <w:numPr>
          <w:ilvl w:val="0"/>
          <w:numId w:val="36"/>
        </w:numPr>
        <w:spacing w:before="120" w:after="120" w:line="276" w:lineRule="auto"/>
      </w:pPr>
      <w:r>
        <w:t xml:space="preserve">A </w:t>
      </w:r>
      <w:r w:rsidR="00D52CFB">
        <w:t>groundwater activity</w:t>
      </w:r>
      <w:r w:rsidR="00D52CFB" w:rsidRPr="00AC32FB">
        <w:t xml:space="preserve">, </w:t>
      </w:r>
      <w:r w:rsidR="00D52CFB" w:rsidRPr="00AC32FB">
        <w:rPr>
          <w:lang w:val="en-US"/>
        </w:rPr>
        <w:t xml:space="preserve">as defined by the Groundwater Directive and Schedule 22 of the Environmental Permitting (England and Wales) Regulations 2016 as amended, </w:t>
      </w:r>
      <w:r w:rsidR="00D52CFB" w:rsidRPr="00AC32FB">
        <w:t xml:space="preserve">for the </w:t>
      </w:r>
      <w:r w:rsidR="002E1369">
        <w:t>re-</w:t>
      </w:r>
      <w:r w:rsidR="00D52CFB" w:rsidRPr="00DB6DD6">
        <w:t>injection of produced water</w:t>
      </w:r>
      <w:r w:rsidR="00D52CFB" w:rsidRPr="007808CE">
        <w:t xml:space="preserve"> </w:t>
      </w:r>
      <w:r w:rsidR="00D52CFB" w:rsidRPr="00DB6DD6">
        <w:t xml:space="preserve">resulting from the extraction of hydrocarbons from the Portland Sand Formation and </w:t>
      </w:r>
      <w:r w:rsidR="00D52CFB">
        <w:t xml:space="preserve">Kimmeridge Clay Formation, and re-injection of imported produced water from other sites, </w:t>
      </w:r>
      <w:r w:rsidR="00D52CFB" w:rsidRPr="00DB6DD6">
        <w:t>into the Portland Sand Formation</w:t>
      </w:r>
      <w:r w:rsidR="00D52CFB">
        <w:t xml:space="preserve"> via well BRX3 (emission point W2) for production support. </w:t>
      </w:r>
    </w:p>
    <w:p w14:paraId="57D68E7A" w14:textId="77777777" w:rsidR="00576082" w:rsidRDefault="00576082" w:rsidP="00576082">
      <w:pPr>
        <w:jc w:val="both"/>
        <w:rPr>
          <w:rStyle w:val="Pink"/>
          <w:color w:val="auto"/>
        </w:rPr>
      </w:pPr>
      <w:r>
        <w:rPr>
          <w:rStyle w:val="Pink"/>
          <w:color w:val="auto"/>
        </w:rPr>
        <w:t xml:space="preserve">The maximum daily discharge volume for re-injection via BRX3 (W2) is </w:t>
      </w:r>
      <w:r w:rsidRPr="00793389">
        <w:t>24 m</w:t>
      </w:r>
      <w:r w:rsidRPr="00793389">
        <w:rPr>
          <w:vertAlign w:val="superscript"/>
        </w:rPr>
        <w:t>3</w:t>
      </w:r>
      <w:r w:rsidRPr="00793389">
        <w:t>/day</w:t>
      </w:r>
      <w:r>
        <w:t xml:space="preserve"> at a maximum rate of </w:t>
      </w:r>
      <w:r w:rsidRPr="00793389">
        <w:t>1.3</w:t>
      </w:r>
      <w:r w:rsidRPr="00793389">
        <w:rPr>
          <w:vertAlign w:val="superscript"/>
        </w:rPr>
        <w:t xml:space="preserve"> </w:t>
      </w:r>
      <w:r w:rsidRPr="00793389">
        <w:t>litres per second</w:t>
      </w:r>
      <w:r>
        <w:t xml:space="preserve">. </w:t>
      </w:r>
    </w:p>
    <w:p w14:paraId="6F262654" w14:textId="6A858BB6" w:rsidR="002D6623" w:rsidRDefault="002D6623" w:rsidP="006C21FA">
      <w:r>
        <w:t>We consider in reaching that decision we have taken into account all relevant considerations and legal requirements and that the permit will ensure that the appropriate level of environmental protection is provided.</w:t>
      </w:r>
    </w:p>
    <w:p w14:paraId="45135D8A" w14:textId="77777777" w:rsidR="002D6623" w:rsidRDefault="002D6623" w:rsidP="002D6623">
      <w:pPr>
        <w:pStyle w:val="Sectiontitle"/>
      </w:pPr>
      <w:r>
        <w:t>Purpose of this document</w:t>
      </w:r>
    </w:p>
    <w:p w14:paraId="79B1E579" w14:textId="7A7FDD6C" w:rsidR="002D6623" w:rsidRPr="003E5FC1" w:rsidRDefault="002D6623" w:rsidP="002D6623">
      <w:pPr>
        <w:rPr>
          <w:color w:val="auto"/>
        </w:rPr>
      </w:pPr>
      <w:r w:rsidRPr="003E5FC1">
        <w:rPr>
          <w:color w:val="auto"/>
        </w:rPr>
        <w:t xml:space="preserve">This </w:t>
      </w:r>
      <w:r w:rsidR="007A7028">
        <w:rPr>
          <w:color w:val="auto"/>
        </w:rPr>
        <w:t>decision document</w:t>
      </w:r>
      <w:r w:rsidRPr="003E5FC1">
        <w:rPr>
          <w:color w:val="auto"/>
        </w:rPr>
        <w:t xml:space="preserve"> provides a record of t</w:t>
      </w:r>
      <w:r w:rsidR="0046550E" w:rsidRPr="003E5FC1">
        <w:rPr>
          <w:color w:val="auto"/>
        </w:rPr>
        <w:t>he decision-making process. It</w:t>
      </w:r>
      <w:r w:rsidR="00657983" w:rsidRPr="003E5FC1">
        <w:rPr>
          <w:b/>
          <w:color w:val="auto"/>
        </w:rPr>
        <w:t>:</w:t>
      </w:r>
    </w:p>
    <w:p w14:paraId="38BD5D0D" w14:textId="0E98C91D" w:rsidR="002D6623" w:rsidRPr="003E5FC1" w:rsidRDefault="002D6623" w:rsidP="002D6623">
      <w:pPr>
        <w:pStyle w:val="BulletText1"/>
        <w:rPr>
          <w:color w:val="auto"/>
        </w:rPr>
      </w:pPr>
      <w:r w:rsidRPr="003E5FC1">
        <w:rPr>
          <w:color w:val="auto"/>
        </w:rPr>
        <w:t xml:space="preserve">highlights </w:t>
      </w:r>
      <w:hyperlink w:anchor="Key_issues" w:tooltip="Link to 'Key issues' section of this document" w:history="1">
        <w:r w:rsidRPr="003E5FC1">
          <w:rPr>
            <w:rStyle w:val="Hyperlink"/>
            <w:color w:val="auto"/>
          </w:rPr>
          <w:t>key issues</w:t>
        </w:r>
      </w:hyperlink>
      <w:r w:rsidRPr="003E5FC1">
        <w:rPr>
          <w:color w:val="auto"/>
        </w:rPr>
        <w:t xml:space="preserve"> </w:t>
      </w:r>
      <w:r w:rsidR="0046550E" w:rsidRPr="003E5FC1">
        <w:rPr>
          <w:color w:val="auto"/>
        </w:rPr>
        <w:t>in the determination</w:t>
      </w:r>
      <w:r w:rsidR="00657983" w:rsidRPr="003E5FC1">
        <w:rPr>
          <w:color w:val="auto"/>
        </w:rPr>
        <w:t>;</w:t>
      </w:r>
    </w:p>
    <w:p w14:paraId="53A78C92" w14:textId="16681B34" w:rsidR="002D6623" w:rsidRPr="003E5FC1" w:rsidRDefault="002D6623" w:rsidP="002D6623">
      <w:pPr>
        <w:pStyle w:val="BulletText1"/>
        <w:rPr>
          <w:color w:val="auto"/>
        </w:rPr>
      </w:pPr>
      <w:r w:rsidRPr="003E5FC1">
        <w:rPr>
          <w:color w:val="auto"/>
        </w:rPr>
        <w:t xml:space="preserve">summarises the decision making process in the </w:t>
      </w:r>
      <w:hyperlink w:anchor="Decision_considerations" w:tooltip="Link to 'Decision considerations' section of this document" w:history="1">
        <w:r w:rsidRPr="003E5FC1">
          <w:rPr>
            <w:rStyle w:val="Hyperlink"/>
            <w:color w:val="auto"/>
          </w:rPr>
          <w:t>decision considerations</w:t>
        </w:r>
      </w:hyperlink>
      <w:r w:rsidRPr="003E5FC1">
        <w:rPr>
          <w:color w:val="auto"/>
        </w:rPr>
        <w:t xml:space="preserve"> section to show how the main relevant facto</w:t>
      </w:r>
      <w:r w:rsidR="0046550E" w:rsidRPr="003E5FC1">
        <w:rPr>
          <w:color w:val="auto"/>
        </w:rPr>
        <w:t>rs have been taken into account</w:t>
      </w:r>
      <w:r w:rsidR="00657983" w:rsidRPr="003E5FC1">
        <w:rPr>
          <w:color w:val="auto"/>
        </w:rPr>
        <w:t>;</w:t>
      </w:r>
    </w:p>
    <w:p w14:paraId="7342A80E" w14:textId="32E8602D" w:rsidR="002D6623" w:rsidRPr="003E5FC1" w:rsidRDefault="002D6623" w:rsidP="002D6623">
      <w:pPr>
        <w:pStyle w:val="BulletText1"/>
        <w:rPr>
          <w:color w:val="auto"/>
        </w:rPr>
      </w:pPr>
      <w:r w:rsidRPr="003E5FC1">
        <w:rPr>
          <w:color w:val="auto"/>
        </w:rPr>
        <w:t>summarises the engagement carried out because this is</w:t>
      </w:r>
      <w:r w:rsidR="0046550E" w:rsidRPr="003E5FC1">
        <w:rPr>
          <w:color w:val="auto"/>
        </w:rPr>
        <w:t xml:space="preserve"> a site of high public interest</w:t>
      </w:r>
      <w:r w:rsidR="00657983" w:rsidRPr="003E5FC1">
        <w:rPr>
          <w:color w:val="auto"/>
        </w:rPr>
        <w:t>; and</w:t>
      </w:r>
    </w:p>
    <w:p w14:paraId="37ED64FB" w14:textId="17BE605D" w:rsidR="002D6623" w:rsidRPr="003E5FC1" w:rsidRDefault="002D6623" w:rsidP="002D6623">
      <w:pPr>
        <w:pStyle w:val="BulletText1"/>
        <w:rPr>
          <w:color w:val="auto"/>
        </w:rPr>
      </w:pPr>
      <w:r w:rsidRPr="003E5FC1">
        <w:rPr>
          <w:color w:val="auto"/>
        </w:rPr>
        <w:lastRenderedPageBreak/>
        <w:t xml:space="preserve">shows how we have considered the </w:t>
      </w:r>
      <w:hyperlink w:anchor="Consultation_Responses" w:tooltip="Link to 'Consultation responses' section of this document" w:history="1">
        <w:r w:rsidRPr="003E5FC1">
          <w:rPr>
            <w:rStyle w:val="Hyperlink"/>
            <w:color w:val="auto"/>
          </w:rPr>
          <w:t>consultation responses</w:t>
        </w:r>
      </w:hyperlink>
      <w:r w:rsidR="00657983" w:rsidRPr="003E5FC1">
        <w:rPr>
          <w:rStyle w:val="Hyperlink"/>
          <w:color w:val="auto"/>
        </w:rPr>
        <w:t>.</w:t>
      </w:r>
    </w:p>
    <w:p w14:paraId="42CB90C6" w14:textId="3FD7E2AD" w:rsidR="002D6623" w:rsidRDefault="002D6623" w:rsidP="002D6623">
      <w:r>
        <w:t xml:space="preserve">Unless the </w:t>
      </w:r>
      <w:r w:rsidR="007A7028">
        <w:t>decision document</w:t>
      </w:r>
      <w:r>
        <w:t xml:space="preserve"> specifies otherwise we have accepted the applicant’s proposals.</w:t>
      </w:r>
    </w:p>
    <w:p w14:paraId="452DD2CD" w14:textId="77777777" w:rsidR="005E11F4" w:rsidRDefault="002D6623" w:rsidP="002D6623">
      <w:pPr>
        <w:rPr>
          <w:color w:val="auto"/>
        </w:rPr>
      </w:pPr>
      <w:r>
        <w:t>Read the permitting decisions in conjunction with the environmental permit and the variation notice.</w:t>
      </w:r>
      <w:r w:rsidR="005E11F4" w:rsidRPr="005E11F4">
        <w:rPr>
          <w:color w:val="auto"/>
        </w:rPr>
        <w:t xml:space="preserve"> </w:t>
      </w:r>
      <w:bookmarkStart w:id="1" w:name="Key_issues"/>
    </w:p>
    <w:p w14:paraId="16FC4AEE" w14:textId="518F7422" w:rsidR="002D6623" w:rsidRPr="009151B7" w:rsidRDefault="002D6623" w:rsidP="0068769C">
      <w:pPr>
        <w:pStyle w:val="Sectiontitle"/>
        <w:rPr>
          <w:color w:val="auto"/>
        </w:rPr>
      </w:pPr>
      <w:r w:rsidRPr="009151B7">
        <w:rPr>
          <w:color w:val="auto"/>
        </w:rPr>
        <w:t>Key issues of the decision</w:t>
      </w:r>
      <w:bookmarkEnd w:id="1"/>
    </w:p>
    <w:p w14:paraId="148B7B54" w14:textId="77777777" w:rsidR="009151B7" w:rsidRPr="0059360F" w:rsidRDefault="009151B7" w:rsidP="009151B7">
      <w:pPr>
        <w:rPr>
          <w:rFonts w:cs="Arial"/>
          <w:b/>
          <w:bCs/>
          <w:sz w:val="28"/>
          <w:szCs w:val="28"/>
        </w:rPr>
      </w:pPr>
      <w:bookmarkStart w:id="2" w:name="Decision_considerations"/>
      <w:r w:rsidRPr="0059360F">
        <w:rPr>
          <w:rFonts w:cs="Arial"/>
          <w:b/>
          <w:bCs/>
          <w:sz w:val="28"/>
          <w:szCs w:val="28"/>
        </w:rPr>
        <w:t xml:space="preserve">Brief outline </w:t>
      </w:r>
      <w:r>
        <w:rPr>
          <w:rFonts w:cs="Arial"/>
          <w:b/>
          <w:bCs/>
          <w:sz w:val="28"/>
          <w:szCs w:val="28"/>
        </w:rPr>
        <w:t>of the process</w:t>
      </w:r>
    </w:p>
    <w:p w14:paraId="460713E5" w14:textId="77777777" w:rsidR="009151B7" w:rsidRPr="00340437" w:rsidRDefault="009151B7" w:rsidP="009151B7">
      <w:r>
        <w:t>The site is located in the Weald Basin approximately 1km south west of Brockham and 2km east of Dorking in Surrey. The site is centred on National Grid Reference (NGR) TQ 18840 48672. T</w:t>
      </w:r>
      <w:r w:rsidRPr="0034509A">
        <w:t>he postcode for the site access is RH3 7AU.</w:t>
      </w:r>
    </w:p>
    <w:p w14:paraId="18930286" w14:textId="77777777" w:rsidR="009151B7" w:rsidRDefault="009151B7" w:rsidP="009151B7">
      <w:r>
        <w:t>There are 3 wells on the site. Two of these are production wells; one into the Kimmeridge Clay Formation and the other into the Portland Sand Formation</w:t>
      </w:r>
      <w:r w:rsidRPr="00E71494">
        <w:t>. The third well at the site</w:t>
      </w:r>
      <w:r>
        <w:t>,</w:t>
      </w:r>
      <w:r w:rsidRPr="00E71494">
        <w:t xml:space="preserve"> BRX1</w:t>
      </w:r>
      <w:r>
        <w:t>,</w:t>
      </w:r>
      <w:r w:rsidRPr="00E71494">
        <w:t xml:space="preserve"> was drilled in 1987 and has since been plugged but contains a sidetrack</w:t>
      </w:r>
      <w:r>
        <w:t xml:space="preserve"> </w:t>
      </w:r>
      <w:r w:rsidRPr="00E71494">
        <w:t>into the Portland Sand Formation</w:t>
      </w:r>
      <w:r>
        <w:t xml:space="preserve"> which is now referred to as BRX3</w:t>
      </w:r>
      <w:r w:rsidRPr="00E71494">
        <w:t xml:space="preserve">. </w:t>
      </w:r>
    </w:p>
    <w:p w14:paraId="5AD48959" w14:textId="015E3713" w:rsidR="009151B7" w:rsidRDefault="009151B7" w:rsidP="009151B7">
      <w:r>
        <w:t>BRX3</w:t>
      </w:r>
      <w:r w:rsidR="006C21FA">
        <w:t xml:space="preserve"> has previously</w:t>
      </w:r>
      <w:r w:rsidRPr="00E71494">
        <w:t xml:space="preserve"> been used for</w:t>
      </w:r>
      <w:r w:rsidR="006C21FA">
        <w:t xml:space="preserve"> </w:t>
      </w:r>
      <w:r w:rsidR="00A47BF2">
        <w:t>re-injec</w:t>
      </w:r>
      <w:r w:rsidR="006C21FA">
        <w:t xml:space="preserve">tion of produced water </w:t>
      </w:r>
      <w:r w:rsidRPr="00E71494">
        <w:t xml:space="preserve">which was authorised as a Directly Associated Activity </w:t>
      </w:r>
      <w:r>
        <w:t>but this</w:t>
      </w:r>
      <w:r w:rsidR="006C21FA">
        <w:t xml:space="preserve"> activity</w:t>
      </w:r>
      <w:r w:rsidRPr="00E71494">
        <w:t xml:space="preserve"> is now considered to be a groundwater activity</w:t>
      </w:r>
      <w:r>
        <w:t xml:space="preserve">. </w:t>
      </w:r>
    </w:p>
    <w:p w14:paraId="6B3033EF" w14:textId="1673891B" w:rsidR="00166EFC" w:rsidRPr="00B36E8C" w:rsidRDefault="00166EFC" w:rsidP="00166EFC">
      <w:pPr>
        <w:ind w:right="125"/>
        <w:rPr>
          <w:rFonts w:eastAsia="Arial"/>
        </w:rPr>
      </w:pPr>
      <w:r>
        <w:rPr>
          <w:rFonts w:eastAsia="Arial"/>
          <w:color w:val="auto"/>
        </w:rPr>
        <w:t>The previous variation, EPR/BL9763IN/V004 (issued on 22/11/2018) included a request to add the groundwater activity to the permit. There was a lack of suitable information included in the Hydrogeological Risk Assessment</w:t>
      </w:r>
      <w:r>
        <w:rPr>
          <w:rStyle w:val="FootnoteReference"/>
          <w:rFonts w:eastAsia="Arial"/>
          <w:color w:val="auto"/>
        </w:rPr>
        <w:footnoteReference w:id="2"/>
      </w:r>
      <w:r>
        <w:rPr>
          <w:rFonts w:eastAsia="Arial"/>
          <w:color w:val="auto"/>
        </w:rPr>
        <w:t xml:space="preserve"> </w:t>
      </w:r>
      <w:r w:rsidRPr="00F6400F">
        <w:rPr>
          <w:rFonts w:eastAsia="Arial"/>
          <w:color w:val="auto"/>
        </w:rPr>
        <w:t>submitted</w:t>
      </w:r>
      <w:r>
        <w:rPr>
          <w:rFonts w:eastAsia="Arial"/>
          <w:color w:val="auto"/>
        </w:rPr>
        <w:t xml:space="preserve"> as part of that application and we were unable to permit the groundwater activity at that time. We had concern</w:t>
      </w:r>
      <w:r w:rsidR="00EF36E8">
        <w:rPr>
          <w:rFonts w:eastAsia="Arial"/>
          <w:color w:val="auto"/>
        </w:rPr>
        <w:t>s about the borehole integrity</w:t>
      </w:r>
      <w:r w:rsidR="00DC3E04">
        <w:rPr>
          <w:rFonts w:eastAsia="Arial"/>
          <w:color w:val="auto"/>
        </w:rPr>
        <w:t>,</w:t>
      </w:r>
      <w:r w:rsidR="00EF36E8">
        <w:rPr>
          <w:rFonts w:eastAsia="Arial"/>
          <w:color w:val="auto"/>
        </w:rPr>
        <w:t xml:space="preserve"> </w:t>
      </w:r>
      <w:r>
        <w:rPr>
          <w:rFonts w:eastAsia="Arial"/>
          <w:color w:val="auto"/>
        </w:rPr>
        <w:t xml:space="preserve">infrastructure and procedures associated with the activity. In particular the HRA lacked </w:t>
      </w:r>
      <w:r w:rsidR="00EF36E8">
        <w:rPr>
          <w:rFonts w:eastAsia="Arial"/>
          <w:color w:val="auto"/>
        </w:rPr>
        <w:t xml:space="preserve">suitable </w:t>
      </w:r>
      <w:r>
        <w:rPr>
          <w:rFonts w:eastAsia="Arial"/>
          <w:color w:val="auto"/>
        </w:rPr>
        <w:t>cement bond log data to confirm well integrity, and</w:t>
      </w:r>
      <w:r w:rsidR="00EF36E8">
        <w:rPr>
          <w:rFonts w:eastAsia="Arial"/>
          <w:color w:val="auto"/>
        </w:rPr>
        <w:t xml:space="preserve"> lacked</w:t>
      </w:r>
      <w:r>
        <w:rPr>
          <w:rFonts w:eastAsia="Arial"/>
          <w:color w:val="auto"/>
        </w:rPr>
        <w:t xml:space="preserve"> site specific information to justify why groundwater monitoring was not being installed around the re-injection well. </w:t>
      </w:r>
      <w:r w:rsidR="00BD5735">
        <w:t>Therefore</w:t>
      </w:r>
      <w:r w:rsidR="00DC3E04">
        <w:t>,</w:t>
      </w:r>
      <w:r w:rsidR="00BD5735">
        <w:t xml:space="preserve"> the groundwater activity was </w:t>
      </w:r>
      <w:r w:rsidR="00EF36E8">
        <w:t>not permitted in order</w:t>
      </w:r>
      <w:r w:rsidR="00BD5735">
        <w:t xml:space="preserve"> to prevent any</w:t>
      </w:r>
      <w:r w:rsidR="00DC3E04">
        <w:t xml:space="preserve"> potential</w:t>
      </w:r>
      <w:r w:rsidR="00BD5735">
        <w:t xml:space="preserve"> risk to groundwater occurring from the re</w:t>
      </w:r>
      <w:r w:rsidR="00EF36E8">
        <w:t>-</w:t>
      </w:r>
      <w:r w:rsidR="00BD5735">
        <w:t>injection of produced water</w:t>
      </w:r>
      <w:r w:rsidR="003E1698">
        <w:t>, at that time</w:t>
      </w:r>
      <w:r w:rsidR="00BD5735">
        <w:t>.</w:t>
      </w:r>
    </w:p>
    <w:p w14:paraId="766065D9" w14:textId="41BDD3BE" w:rsidR="00166EFC" w:rsidRDefault="00166EFC" w:rsidP="009151B7">
      <w:r>
        <w:t>The subject of this variation is the addition of the groundwater activit</w:t>
      </w:r>
      <w:r w:rsidR="00F60F0F">
        <w:t>ies</w:t>
      </w:r>
      <w:r>
        <w:t xml:space="preserve">.  </w:t>
      </w:r>
    </w:p>
    <w:p w14:paraId="029C926E" w14:textId="1D3ED9F7" w:rsidR="009151B7" w:rsidRPr="003E5FC1" w:rsidRDefault="009151B7" w:rsidP="009151B7">
      <w:pPr>
        <w:rPr>
          <w:rFonts w:cs="Arial"/>
          <w:b/>
          <w:color w:val="auto"/>
          <w:sz w:val="28"/>
          <w:szCs w:val="28"/>
        </w:rPr>
      </w:pPr>
      <w:r w:rsidRPr="009151B7">
        <w:rPr>
          <w:rFonts w:cs="Arial"/>
          <w:b/>
          <w:color w:val="auto"/>
          <w:szCs w:val="28"/>
        </w:rPr>
        <w:t>Radioactive Substances</w:t>
      </w:r>
      <w:r w:rsidRPr="003E5FC1">
        <w:rPr>
          <w:rFonts w:cs="Arial"/>
          <w:b/>
          <w:color w:val="auto"/>
          <w:sz w:val="28"/>
          <w:szCs w:val="28"/>
        </w:rPr>
        <w:t xml:space="preserve"> </w:t>
      </w:r>
    </w:p>
    <w:p w14:paraId="4BAA279A" w14:textId="01EFB092" w:rsidR="009151B7" w:rsidRDefault="009151B7" w:rsidP="009151B7">
      <w:pPr>
        <w:rPr>
          <w:rFonts w:cs="Arial"/>
          <w:szCs w:val="20"/>
        </w:rPr>
      </w:pPr>
      <w:r>
        <w:rPr>
          <w:rFonts w:cs="Arial"/>
          <w:szCs w:val="20"/>
        </w:rPr>
        <w:lastRenderedPageBreak/>
        <w:t>As part of this application the Applicant plans to re</w:t>
      </w:r>
      <w:r w:rsidR="00D06F67">
        <w:rPr>
          <w:rFonts w:cs="Arial"/>
          <w:szCs w:val="20"/>
        </w:rPr>
        <w:t>-</w:t>
      </w:r>
      <w:r>
        <w:rPr>
          <w:rFonts w:cs="Arial"/>
          <w:szCs w:val="20"/>
        </w:rPr>
        <w:t xml:space="preserve">inject produced water from BRX2 supplemented by produced water from other producing fields in the Weald Basin, in particular produced water from the Angus Energy operated Lidsey field. </w:t>
      </w:r>
    </w:p>
    <w:p w14:paraId="59BE2E24" w14:textId="53C870C9" w:rsidR="009151B7" w:rsidRDefault="009151B7" w:rsidP="009151B7">
      <w:pPr>
        <w:rPr>
          <w:rFonts w:cs="Arial"/>
          <w:szCs w:val="20"/>
        </w:rPr>
      </w:pPr>
      <w:r>
        <w:rPr>
          <w:rFonts w:cs="Arial"/>
          <w:szCs w:val="20"/>
        </w:rPr>
        <w:t>The Applicant holds a standard rules permit (</w:t>
      </w:r>
      <w:r>
        <w:rPr>
          <w:rStyle w:val="Blue"/>
          <w:color w:val="auto"/>
          <w:szCs w:val="20"/>
        </w:rPr>
        <w:t xml:space="preserve">SR2014 </w:t>
      </w:r>
      <w:r w:rsidR="00D06F67">
        <w:rPr>
          <w:rStyle w:val="Blue"/>
          <w:color w:val="auto"/>
          <w:szCs w:val="20"/>
        </w:rPr>
        <w:t>N</w:t>
      </w:r>
      <w:r>
        <w:rPr>
          <w:rStyle w:val="Blue"/>
          <w:color w:val="auto"/>
          <w:szCs w:val="20"/>
        </w:rPr>
        <w:t xml:space="preserve">o4) </w:t>
      </w:r>
      <w:r>
        <w:rPr>
          <w:rFonts w:cs="Arial"/>
          <w:szCs w:val="20"/>
        </w:rPr>
        <w:t xml:space="preserve">for handling NORM (naturally occurring radioactive </w:t>
      </w:r>
      <w:r w:rsidRPr="0075751D">
        <w:rPr>
          <w:rFonts w:cs="Arial"/>
          <w:szCs w:val="20"/>
        </w:rPr>
        <w:t>materials) as a result of oil and gas production activities</w:t>
      </w:r>
      <w:r>
        <w:rPr>
          <w:rFonts w:cs="Arial"/>
          <w:szCs w:val="20"/>
        </w:rPr>
        <w:t xml:space="preserve"> at Brockham Oilfield. The permit reference is</w:t>
      </w:r>
      <w:r w:rsidRPr="0075751D">
        <w:rPr>
          <w:rFonts w:cs="Arial"/>
          <w:szCs w:val="20"/>
        </w:rPr>
        <w:t xml:space="preserve"> </w:t>
      </w:r>
      <w:r w:rsidRPr="0086642A">
        <w:rPr>
          <w:rFonts w:cs="Arial"/>
          <w:szCs w:val="20"/>
        </w:rPr>
        <w:t>EPR/</w:t>
      </w:r>
      <w:r w:rsidRPr="0086642A">
        <w:rPr>
          <w:rStyle w:val="Blue"/>
          <w:color w:val="auto"/>
          <w:szCs w:val="20"/>
        </w:rPr>
        <w:t>RB3994DK</w:t>
      </w:r>
      <w:r w:rsidRPr="0086642A">
        <w:rPr>
          <w:rFonts w:cs="Arial"/>
          <w:szCs w:val="20"/>
        </w:rPr>
        <w:t>/A001.</w:t>
      </w:r>
      <w:r w:rsidRPr="0075751D">
        <w:rPr>
          <w:rFonts w:cs="Arial"/>
          <w:szCs w:val="20"/>
        </w:rPr>
        <w:t xml:space="preserve"> </w:t>
      </w:r>
      <w:r>
        <w:rPr>
          <w:rFonts w:cs="Arial"/>
          <w:szCs w:val="20"/>
        </w:rPr>
        <w:t xml:space="preserve">Under this standard rules permit no produced water can be received </w:t>
      </w:r>
      <w:r w:rsidR="00D06F67">
        <w:rPr>
          <w:rFonts w:cs="Arial"/>
          <w:szCs w:val="20"/>
        </w:rPr>
        <w:t xml:space="preserve">at Brockham Oilfield </w:t>
      </w:r>
      <w:r>
        <w:rPr>
          <w:rFonts w:cs="Arial"/>
          <w:szCs w:val="20"/>
        </w:rPr>
        <w:t xml:space="preserve">from any other sites for </w:t>
      </w:r>
      <w:r w:rsidR="00A47BF2">
        <w:rPr>
          <w:rFonts w:cs="Arial"/>
          <w:szCs w:val="20"/>
        </w:rPr>
        <w:t>re-injec</w:t>
      </w:r>
      <w:r>
        <w:rPr>
          <w:rFonts w:cs="Arial"/>
          <w:szCs w:val="20"/>
        </w:rPr>
        <w:t>tion into boreholes at Brockham Oilfield. In order to accept produced water</w:t>
      </w:r>
      <w:r w:rsidR="00DC3E04">
        <w:rPr>
          <w:rFonts w:cs="Arial"/>
          <w:szCs w:val="20"/>
        </w:rPr>
        <w:t xml:space="preserve"> </w:t>
      </w:r>
      <w:r w:rsidR="006C28A2">
        <w:rPr>
          <w:rFonts w:cs="Arial"/>
          <w:szCs w:val="20"/>
        </w:rPr>
        <w:t>imported</w:t>
      </w:r>
      <w:r>
        <w:rPr>
          <w:rFonts w:cs="Arial"/>
          <w:szCs w:val="20"/>
        </w:rPr>
        <w:t xml:space="preserve"> from outside the installation boundary</w:t>
      </w:r>
      <w:r w:rsidR="00DC3E04">
        <w:rPr>
          <w:rFonts w:cs="Arial"/>
          <w:szCs w:val="20"/>
        </w:rPr>
        <w:t>,</w:t>
      </w:r>
      <w:r>
        <w:rPr>
          <w:rFonts w:cs="Arial"/>
          <w:szCs w:val="20"/>
        </w:rPr>
        <w:t xml:space="preserve"> the Applicant will need to apply for a bespoke Radioactive Substances Regulation (RSR) permit. </w:t>
      </w:r>
    </w:p>
    <w:p w14:paraId="6FFCFAD5" w14:textId="77777777" w:rsidR="009151B7" w:rsidRDefault="009151B7" w:rsidP="009151B7">
      <w:pPr>
        <w:rPr>
          <w:rFonts w:cs="Arial"/>
          <w:szCs w:val="20"/>
        </w:rPr>
      </w:pPr>
      <w:r>
        <w:rPr>
          <w:rFonts w:cs="Arial"/>
          <w:szCs w:val="20"/>
        </w:rPr>
        <w:t>This requires a separate permit because radioactive substances activities are a separate regime to the Environmental Permitting (England and Wales) Regulations 2016 and therefore the activity cannot be consolidated into this permit.</w:t>
      </w:r>
    </w:p>
    <w:p w14:paraId="44FBB4BE" w14:textId="0751C374" w:rsidR="001A4B08" w:rsidRPr="001A4B08" w:rsidRDefault="001A4B08" w:rsidP="001A4B08">
      <w:pPr>
        <w:ind w:right="125"/>
        <w:jc w:val="both"/>
        <w:rPr>
          <w:rFonts w:eastAsia="Arial"/>
          <w:b/>
        </w:rPr>
      </w:pPr>
      <w:r w:rsidRPr="001A4B08">
        <w:rPr>
          <w:rFonts w:eastAsia="Arial"/>
          <w:b/>
        </w:rPr>
        <w:t>Groundwater Activities</w:t>
      </w:r>
    </w:p>
    <w:p w14:paraId="2AF99CA8" w14:textId="695F82EF" w:rsidR="001A4B08" w:rsidRDefault="001A4B08" w:rsidP="001A4B08">
      <w:pPr>
        <w:ind w:right="125"/>
        <w:jc w:val="both"/>
        <w:rPr>
          <w:rFonts w:eastAsia="Arial"/>
        </w:rPr>
      </w:pPr>
      <w:r w:rsidRPr="00AA1804">
        <w:rPr>
          <w:rFonts w:eastAsia="Arial"/>
        </w:rPr>
        <w:t xml:space="preserve">A groundwater activity, in general terms, is defined in Schedule 22 </w:t>
      </w:r>
      <w:r w:rsidR="003E1698">
        <w:rPr>
          <w:rFonts w:eastAsia="Arial"/>
        </w:rPr>
        <w:t>to</w:t>
      </w:r>
      <w:r w:rsidRPr="00AA1804">
        <w:rPr>
          <w:rFonts w:eastAsia="Arial"/>
        </w:rPr>
        <w:t xml:space="preserve"> the 201</w:t>
      </w:r>
      <w:r>
        <w:rPr>
          <w:rFonts w:eastAsia="Arial"/>
        </w:rPr>
        <w:t>6</w:t>
      </w:r>
      <w:r w:rsidRPr="00AA1804">
        <w:rPr>
          <w:rFonts w:eastAsia="Arial"/>
        </w:rPr>
        <w:t xml:space="preserve"> Regulations as meaning the discharge of a pollutant that results in the direct input of that pollutant to groundwater, or a discharge of a pollutant in circumstances that might lead to an indirect input of that pollutant to groundwater or any other discharge or activity that might lead to a direct or indirect input of a pollutant to groundwater.</w:t>
      </w:r>
      <w:r>
        <w:rPr>
          <w:rFonts w:eastAsia="Arial"/>
        </w:rPr>
        <w:t xml:space="preserve"> </w:t>
      </w:r>
    </w:p>
    <w:p w14:paraId="04150675" w14:textId="7CFD0559" w:rsidR="00DB4D84" w:rsidRDefault="00DB4D84" w:rsidP="001A4B08">
      <w:pPr>
        <w:ind w:right="125"/>
        <w:jc w:val="both"/>
        <w:rPr>
          <w:rFonts w:eastAsia="Arial"/>
        </w:rPr>
      </w:pPr>
      <w:r>
        <w:rPr>
          <w:rFonts w:eastAsia="Arial"/>
        </w:rPr>
        <w:t xml:space="preserve">The groundwater activity for this site is to re-inject produced water resulting from </w:t>
      </w:r>
      <w:r w:rsidR="00CB1994">
        <w:rPr>
          <w:rFonts w:eastAsia="Arial"/>
        </w:rPr>
        <w:t>the extraction of hydrocarbons from both the Portland Sand Formation and the Kimmeridge Clay Foundation back into the Portland Sand Formation as specified under activity A</w:t>
      </w:r>
      <w:r w:rsidR="00A47BF2">
        <w:rPr>
          <w:rFonts w:eastAsia="Arial"/>
        </w:rPr>
        <w:t>R</w:t>
      </w:r>
      <w:r w:rsidR="00CB1994">
        <w:rPr>
          <w:rFonts w:eastAsia="Arial"/>
        </w:rPr>
        <w:t>11</w:t>
      </w:r>
      <w:r w:rsidR="00D52CFB">
        <w:rPr>
          <w:rFonts w:eastAsia="Arial"/>
        </w:rPr>
        <w:t xml:space="preserve"> in</w:t>
      </w:r>
      <w:r w:rsidR="00CB1994">
        <w:rPr>
          <w:rFonts w:eastAsia="Arial"/>
        </w:rPr>
        <w:t xml:space="preserve"> Table S1.1 </w:t>
      </w:r>
      <w:r w:rsidR="00A47BF2">
        <w:rPr>
          <w:rFonts w:eastAsia="Arial"/>
        </w:rPr>
        <w:t>of</w:t>
      </w:r>
      <w:r w:rsidR="00CB1994">
        <w:rPr>
          <w:rFonts w:eastAsia="Arial"/>
        </w:rPr>
        <w:t xml:space="preserve"> Schedule 1 of the permit. </w:t>
      </w:r>
      <w:r w:rsidR="00A51D56">
        <w:rPr>
          <w:rFonts w:eastAsia="Arial"/>
        </w:rPr>
        <w:t>The re</w:t>
      </w:r>
      <w:r w:rsidR="00A47BF2">
        <w:rPr>
          <w:rFonts w:eastAsia="Arial"/>
        </w:rPr>
        <w:t>-</w:t>
      </w:r>
      <w:r w:rsidR="00A51D56">
        <w:rPr>
          <w:rFonts w:eastAsia="Arial"/>
        </w:rPr>
        <w:t xml:space="preserve">injection is via the well Brockham 3 (BRX3). </w:t>
      </w:r>
    </w:p>
    <w:p w14:paraId="08AF12B2" w14:textId="102F0406" w:rsidR="004A5559" w:rsidRDefault="00A51D56" w:rsidP="00A51D56">
      <w:pPr>
        <w:ind w:right="125"/>
        <w:jc w:val="both"/>
        <w:rPr>
          <w:rFonts w:eastAsia="Arial"/>
        </w:rPr>
      </w:pPr>
      <w:r>
        <w:rPr>
          <w:rFonts w:eastAsia="Arial"/>
        </w:rPr>
        <w:t xml:space="preserve">The discharge is a direct discharge to groundwater which is prohibited under the Water Framework Directive </w:t>
      </w:r>
      <w:r w:rsidR="009D0684">
        <w:rPr>
          <w:rFonts w:eastAsia="Arial"/>
        </w:rPr>
        <w:t xml:space="preserve">(WFD) </w:t>
      </w:r>
      <w:r>
        <w:rPr>
          <w:rFonts w:eastAsia="Arial"/>
        </w:rPr>
        <w:t>except under certain exemptions. One of these exemptions is:</w:t>
      </w:r>
    </w:p>
    <w:p w14:paraId="7BBCF20C" w14:textId="5C6843A8" w:rsidR="00A51D56" w:rsidRPr="00A37678" w:rsidRDefault="004A5559" w:rsidP="00A51D56">
      <w:pPr>
        <w:ind w:right="125"/>
        <w:jc w:val="both"/>
        <w:rPr>
          <w:rFonts w:eastAsia="Arial"/>
        </w:rPr>
      </w:pPr>
      <w:r w:rsidRPr="00A37678">
        <w:rPr>
          <w:rFonts w:eastAsia="Arial"/>
        </w:rPr>
        <w:t>Groundwater activities for which a permit may be granted – Schedule 22, 8</w:t>
      </w:r>
      <w:r w:rsidR="00A37678" w:rsidRPr="00A37678">
        <w:rPr>
          <w:rFonts w:eastAsia="Arial"/>
        </w:rPr>
        <w:t xml:space="preserve">. (a), </w:t>
      </w:r>
      <w:r w:rsidR="00DA4AC1">
        <w:rPr>
          <w:rFonts w:eastAsia="Arial"/>
        </w:rPr>
        <w:t xml:space="preserve">of the </w:t>
      </w:r>
      <w:r w:rsidR="00A37678" w:rsidRPr="00A37678">
        <w:rPr>
          <w:rFonts w:cs="Arial"/>
          <w:szCs w:val="20"/>
        </w:rPr>
        <w:t>Environmental Permitting (England and Wales) Regulations 2016</w:t>
      </w:r>
      <w:r w:rsidR="00A37678">
        <w:rPr>
          <w:rFonts w:eastAsia="Arial"/>
        </w:rPr>
        <w:t>:</w:t>
      </w:r>
    </w:p>
    <w:p w14:paraId="1A9EA0FC" w14:textId="1DF96FFA" w:rsidR="00A51D56" w:rsidRPr="00AA1804" w:rsidRDefault="00A51D56" w:rsidP="00A51D56">
      <w:pPr>
        <w:ind w:right="125"/>
        <w:jc w:val="both"/>
        <w:rPr>
          <w:rFonts w:eastAsia="Arial"/>
        </w:rPr>
      </w:pPr>
      <w:r>
        <w:rPr>
          <w:rFonts w:eastAsia="Arial"/>
          <w:i/>
          <w:iCs/>
        </w:rPr>
        <w:t xml:space="preserve">The </w:t>
      </w:r>
      <w:r w:rsidRPr="00AA1804">
        <w:rPr>
          <w:rFonts w:eastAsia="Arial"/>
          <w:i/>
          <w:iCs/>
        </w:rPr>
        <w:t>injection of water containing substances resulting from the operations for exploration and extraction of hydrocarbons or mining activities, and injection of water for technical reasons, into geological formations from which hydrocarbons or other substances have been extracted</w:t>
      </w:r>
      <w:r w:rsidR="00D466CA">
        <w:rPr>
          <w:rFonts w:eastAsia="Arial"/>
          <w:i/>
          <w:iCs/>
        </w:rPr>
        <w:t>.</w:t>
      </w:r>
    </w:p>
    <w:p w14:paraId="5292A94E" w14:textId="2186820F" w:rsidR="00A51D56" w:rsidRDefault="009D0684" w:rsidP="00A51D56">
      <w:pPr>
        <w:ind w:right="125"/>
        <w:jc w:val="both"/>
        <w:rPr>
          <w:rFonts w:eastAsia="Arial"/>
        </w:rPr>
      </w:pPr>
      <w:r>
        <w:rPr>
          <w:rFonts w:eastAsia="Arial"/>
        </w:rPr>
        <w:t xml:space="preserve">This exemption can be found in Article 11(3)(j) WFD and also within paragraph 8(a) of Schedule 22 of the 2016 Regulations. </w:t>
      </w:r>
      <w:r w:rsidR="00A51D56">
        <w:rPr>
          <w:rFonts w:eastAsia="Arial"/>
        </w:rPr>
        <w:t xml:space="preserve">We are satisfied that this </w:t>
      </w:r>
      <w:r w:rsidR="00A47BF2">
        <w:rPr>
          <w:rFonts w:eastAsia="Arial"/>
        </w:rPr>
        <w:t xml:space="preserve">re-injection </w:t>
      </w:r>
      <w:r w:rsidR="00A51D56">
        <w:rPr>
          <w:rFonts w:eastAsia="Arial"/>
        </w:rPr>
        <w:t xml:space="preserve">activity meets the above exemption. A permit can only be granted </w:t>
      </w:r>
      <w:r>
        <w:rPr>
          <w:rFonts w:eastAsia="Arial"/>
        </w:rPr>
        <w:t xml:space="preserve">in these </w:t>
      </w:r>
      <w:r>
        <w:rPr>
          <w:rFonts w:eastAsia="Arial"/>
        </w:rPr>
        <w:lastRenderedPageBreak/>
        <w:t xml:space="preserve">circumstances </w:t>
      </w:r>
      <w:r w:rsidR="00A51D56" w:rsidRPr="00AA1804">
        <w:rPr>
          <w:rFonts w:eastAsia="Arial"/>
        </w:rPr>
        <w:t>provided it does not compromise the achievement of any of the environmental objectives relating to groundwater in Article 4 of the Water F</w:t>
      </w:r>
      <w:r w:rsidR="00A51D56">
        <w:rPr>
          <w:rFonts w:eastAsia="Arial"/>
        </w:rPr>
        <w:t xml:space="preserve">ramework </w:t>
      </w:r>
      <w:r w:rsidR="00A51D56" w:rsidRPr="00AA1804">
        <w:rPr>
          <w:rFonts w:eastAsia="Arial"/>
        </w:rPr>
        <w:t>D</w:t>
      </w:r>
      <w:r w:rsidR="00A51D56">
        <w:rPr>
          <w:rFonts w:eastAsia="Arial"/>
        </w:rPr>
        <w:t>irective</w:t>
      </w:r>
      <w:r w:rsidR="00A51D56" w:rsidRPr="00AA1804">
        <w:rPr>
          <w:rFonts w:eastAsia="Arial"/>
        </w:rPr>
        <w:t xml:space="preserve">. </w:t>
      </w:r>
      <w:r w:rsidR="00A51D56">
        <w:rPr>
          <w:rFonts w:eastAsia="Arial"/>
        </w:rPr>
        <w:t>We have</w:t>
      </w:r>
      <w:r w:rsidR="00A51D56" w:rsidRPr="00AA1804">
        <w:rPr>
          <w:rFonts w:eastAsia="Arial"/>
        </w:rPr>
        <w:t xml:space="preserve"> given detailed consideration to the proposal </w:t>
      </w:r>
      <w:r w:rsidR="00A51D56">
        <w:rPr>
          <w:rFonts w:eastAsia="Arial"/>
        </w:rPr>
        <w:t xml:space="preserve">and </w:t>
      </w:r>
      <w:r w:rsidR="00A51D56" w:rsidRPr="00AA1804">
        <w:rPr>
          <w:rFonts w:eastAsia="Arial"/>
        </w:rPr>
        <w:t>we are satisfied that none of the relevant environmental objectives set out in Article 4 of the Water F</w:t>
      </w:r>
      <w:r w:rsidR="00A51D56">
        <w:rPr>
          <w:rFonts w:eastAsia="Arial"/>
        </w:rPr>
        <w:t xml:space="preserve">ramework </w:t>
      </w:r>
      <w:r w:rsidR="00A51D56" w:rsidRPr="00AA1804">
        <w:rPr>
          <w:rFonts w:eastAsia="Arial"/>
        </w:rPr>
        <w:t>D</w:t>
      </w:r>
      <w:r w:rsidR="00A51D56">
        <w:rPr>
          <w:rFonts w:eastAsia="Arial"/>
        </w:rPr>
        <w:t>irective</w:t>
      </w:r>
      <w:r w:rsidR="00A51D56" w:rsidRPr="00AA1804">
        <w:rPr>
          <w:rFonts w:eastAsia="Arial"/>
        </w:rPr>
        <w:t xml:space="preserve"> will be compromised.</w:t>
      </w:r>
    </w:p>
    <w:p w14:paraId="0587EF1E" w14:textId="4038376A" w:rsidR="00C45CB5" w:rsidRPr="00C45CB5" w:rsidRDefault="00C45CB5" w:rsidP="00C45CB5">
      <w:pPr>
        <w:jc w:val="both"/>
        <w:rPr>
          <w:rFonts w:eastAsia="Arial"/>
          <w:b/>
          <w:color w:val="auto"/>
        </w:rPr>
      </w:pPr>
      <w:r w:rsidRPr="00C45CB5">
        <w:rPr>
          <w:rFonts w:eastAsia="Arial"/>
          <w:b/>
          <w:color w:val="auto"/>
        </w:rPr>
        <w:t>Re</w:t>
      </w:r>
      <w:r w:rsidR="00A47BF2">
        <w:rPr>
          <w:rFonts w:eastAsia="Arial"/>
          <w:b/>
          <w:color w:val="auto"/>
        </w:rPr>
        <w:t>-</w:t>
      </w:r>
      <w:r w:rsidRPr="00C45CB5">
        <w:rPr>
          <w:rFonts w:eastAsia="Arial"/>
          <w:b/>
          <w:color w:val="auto"/>
        </w:rPr>
        <w:t>injection at Brockham Oilfield</w:t>
      </w:r>
    </w:p>
    <w:p w14:paraId="5C3D27DC" w14:textId="2E492234" w:rsidR="006C79CF" w:rsidRDefault="006C79CF" w:rsidP="00C45CB5">
      <w:pPr>
        <w:jc w:val="both"/>
        <w:rPr>
          <w:rFonts w:eastAsia="Arial"/>
          <w:color w:val="auto"/>
        </w:rPr>
      </w:pPr>
      <w:r>
        <w:rPr>
          <w:rFonts w:eastAsia="Arial"/>
          <w:color w:val="auto"/>
        </w:rPr>
        <w:t xml:space="preserve">The </w:t>
      </w:r>
      <w:r w:rsidR="00166EFC">
        <w:rPr>
          <w:rFonts w:eastAsia="Arial"/>
          <w:color w:val="auto"/>
        </w:rPr>
        <w:t>Applicant submitted</w:t>
      </w:r>
      <w:r w:rsidR="00107846" w:rsidRPr="00F6400F">
        <w:rPr>
          <w:rFonts w:eastAsia="Arial"/>
          <w:color w:val="auto"/>
        </w:rPr>
        <w:t xml:space="preserve"> a ‘Supplementary Hydrogeological Risk Assessment’ (Supplementary HRA) as part of the application</w:t>
      </w:r>
      <w:r w:rsidR="00107846" w:rsidRPr="00F6400F">
        <w:rPr>
          <w:rStyle w:val="FootnoteReference"/>
          <w:rFonts w:eastAsia="Arial"/>
          <w:color w:val="auto"/>
        </w:rPr>
        <w:footnoteReference w:id="3"/>
      </w:r>
      <w:r w:rsidR="00107846" w:rsidRPr="00F6400F">
        <w:rPr>
          <w:rFonts w:eastAsia="Arial"/>
          <w:color w:val="auto"/>
        </w:rPr>
        <w:t xml:space="preserve">. </w:t>
      </w:r>
      <w:r w:rsidR="005950F0" w:rsidRPr="00F6400F">
        <w:rPr>
          <w:rFonts w:eastAsia="Arial"/>
          <w:color w:val="auto"/>
        </w:rPr>
        <w:t xml:space="preserve">We reviewed the supplementary HRA against our information and conceptual understanding of the location. </w:t>
      </w:r>
      <w:r w:rsidR="00107846" w:rsidRPr="00F6400F">
        <w:rPr>
          <w:rFonts w:eastAsia="Arial"/>
          <w:color w:val="auto"/>
        </w:rPr>
        <w:t>We issued a Schedule 5 Notice on 18/05/21</w:t>
      </w:r>
      <w:r w:rsidR="005950F0" w:rsidRPr="00F6400F">
        <w:rPr>
          <w:rFonts w:eastAsia="Arial"/>
          <w:color w:val="auto"/>
        </w:rPr>
        <w:t xml:space="preserve"> seeking additional information</w:t>
      </w:r>
      <w:r>
        <w:rPr>
          <w:rFonts w:eastAsia="Arial"/>
          <w:color w:val="auto"/>
        </w:rPr>
        <w:t xml:space="preserve"> which included</w:t>
      </w:r>
      <w:r w:rsidR="003E2938">
        <w:rPr>
          <w:rFonts w:eastAsia="Arial"/>
          <w:color w:val="auto"/>
        </w:rPr>
        <w:t xml:space="preserve"> the following key issues</w:t>
      </w:r>
      <w:r>
        <w:rPr>
          <w:rFonts w:eastAsia="Arial"/>
          <w:color w:val="auto"/>
        </w:rPr>
        <w:t>:</w:t>
      </w:r>
    </w:p>
    <w:p w14:paraId="64E25855" w14:textId="1CEA1BF8" w:rsidR="006C79CF" w:rsidRDefault="006C79CF" w:rsidP="006C79CF">
      <w:pPr>
        <w:pStyle w:val="ListParagraph"/>
        <w:numPr>
          <w:ilvl w:val="0"/>
          <w:numId w:val="13"/>
        </w:numPr>
        <w:jc w:val="both"/>
        <w:rPr>
          <w:rFonts w:eastAsia="Arial"/>
          <w:color w:val="auto"/>
        </w:rPr>
      </w:pPr>
      <w:r>
        <w:rPr>
          <w:rFonts w:eastAsia="Arial"/>
          <w:color w:val="auto"/>
        </w:rPr>
        <w:t>Evidence of current reservoir and formation pressures.</w:t>
      </w:r>
    </w:p>
    <w:p w14:paraId="03A1A6A3" w14:textId="09DD0A32" w:rsidR="006C79CF" w:rsidRDefault="006C79CF" w:rsidP="006C79CF">
      <w:pPr>
        <w:pStyle w:val="ListParagraph"/>
        <w:numPr>
          <w:ilvl w:val="0"/>
          <w:numId w:val="13"/>
        </w:numPr>
        <w:jc w:val="both"/>
        <w:rPr>
          <w:rFonts w:eastAsia="Arial"/>
          <w:color w:val="auto"/>
        </w:rPr>
      </w:pPr>
      <w:r>
        <w:rPr>
          <w:rFonts w:eastAsia="Arial"/>
          <w:color w:val="auto"/>
        </w:rPr>
        <w:t>Copies of all procedures refer</w:t>
      </w:r>
      <w:r w:rsidR="00E83A00">
        <w:rPr>
          <w:rFonts w:eastAsia="Arial"/>
          <w:color w:val="auto"/>
        </w:rPr>
        <w:t>enced in the Supplementary HRA.</w:t>
      </w:r>
    </w:p>
    <w:p w14:paraId="086410E1" w14:textId="00E1A007" w:rsidR="006C79CF" w:rsidRDefault="006C79CF" w:rsidP="006C79CF">
      <w:pPr>
        <w:pStyle w:val="ListParagraph"/>
        <w:numPr>
          <w:ilvl w:val="0"/>
          <w:numId w:val="13"/>
        </w:numPr>
        <w:jc w:val="both"/>
        <w:rPr>
          <w:rFonts w:eastAsia="Arial"/>
          <w:color w:val="auto"/>
        </w:rPr>
      </w:pPr>
      <w:r>
        <w:rPr>
          <w:rFonts w:eastAsia="Arial"/>
          <w:color w:val="auto"/>
        </w:rPr>
        <w:t xml:space="preserve">Details regarding bottom hole pressure monitoring. </w:t>
      </w:r>
    </w:p>
    <w:p w14:paraId="5C3FAC45" w14:textId="059D40A1" w:rsidR="006C79CF" w:rsidRDefault="006C79CF" w:rsidP="006C79CF">
      <w:pPr>
        <w:pStyle w:val="ListParagraph"/>
        <w:numPr>
          <w:ilvl w:val="0"/>
          <w:numId w:val="13"/>
        </w:numPr>
        <w:jc w:val="both"/>
        <w:rPr>
          <w:rFonts w:eastAsia="Arial"/>
          <w:color w:val="auto"/>
        </w:rPr>
      </w:pPr>
      <w:r>
        <w:rPr>
          <w:rFonts w:eastAsia="Arial"/>
          <w:color w:val="auto"/>
        </w:rPr>
        <w:t>A</w:t>
      </w:r>
      <w:r w:rsidR="00C34E82">
        <w:rPr>
          <w:rFonts w:eastAsia="Arial"/>
          <w:color w:val="auto"/>
        </w:rPr>
        <w:t xml:space="preserve"> discussion and</w:t>
      </w:r>
      <w:r>
        <w:rPr>
          <w:rFonts w:eastAsia="Arial"/>
          <w:color w:val="auto"/>
        </w:rPr>
        <w:t xml:space="preserve"> evaluation of the 2021 Cement Bond Log. </w:t>
      </w:r>
    </w:p>
    <w:p w14:paraId="280F2DF2" w14:textId="4B9D0A6D" w:rsidR="006C79CF" w:rsidRDefault="00C34E82" w:rsidP="006C79CF">
      <w:pPr>
        <w:pStyle w:val="ListParagraph"/>
        <w:numPr>
          <w:ilvl w:val="0"/>
          <w:numId w:val="13"/>
        </w:numPr>
        <w:jc w:val="both"/>
        <w:rPr>
          <w:rFonts w:eastAsia="Arial"/>
          <w:color w:val="auto"/>
        </w:rPr>
      </w:pPr>
      <w:r>
        <w:rPr>
          <w:rFonts w:eastAsia="Arial"/>
          <w:color w:val="auto"/>
        </w:rPr>
        <w:t>Additional j</w:t>
      </w:r>
      <w:r w:rsidR="006C79CF">
        <w:rPr>
          <w:rFonts w:eastAsia="Arial"/>
          <w:color w:val="auto"/>
        </w:rPr>
        <w:t xml:space="preserve">ustification for the absence of groundwater monitoring. </w:t>
      </w:r>
    </w:p>
    <w:p w14:paraId="45B0361F" w14:textId="62A5D94D" w:rsidR="00E83A00" w:rsidRDefault="00E83A00" w:rsidP="006C79CF">
      <w:pPr>
        <w:pStyle w:val="ListParagraph"/>
        <w:numPr>
          <w:ilvl w:val="0"/>
          <w:numId w:val="13"/>
        </w:numPr>
        <w:jc w:val="both"/>
        <w:rPr>
          <w:rFonts w:eastAsia="Arial"/>
          <w:color w:val="auto"/>
        </w:rPr>
      </w:pPr>
      <w:r>
        <w:rPr>
          <w:rFonts w:eastAsia="Arial"/>
          <w:color w:val="auto"/>
        </w:rPr>
        <w:t>Additional information relating to surface water monitoring and discharge</w:t>
      </w:r>
      <w:r w:rsidR="00C34E82">
        <w:rPr>
          <w:rFonts w:eastAsia="Arial"/>
          <w:color w:val="auto"/>
        </w:rPr>
        <w:t>.</w:t>
      </w:r>
    </w:p>
    <w:p w14:paraId="75534335" w14:textId="54DE35B1" w:rsidR="00E83A00" w:rsidRDefault="00E83A00" w:rsidP="006C79CF">
      <w:pPr>
        <w:pStyle w:val="ListParagraph"/>
        <w:numPr>
          <w:ilvl w:val="0"/>
          <w:numId w:val="13"/>
        </w:numPr>
        <w:jc w:val="both"/>
        <w:rPr>
          <w:rFonts w:eastAsia="Arial"/>
          <w:color w:val="auto"/>
        </w:rPr>
      </w:pPr>
      <w:r>
        <w:rPr>
          <w:rFonts w:eastAsia="Arial"/>
          <w:color w:val="auto"/>
        </w:rPr>
        <w:t>Well cellar construction details.</w:t>
      </w:r>
    </w:p>
    <w:p w14:paraId="6BBE9AB2" w14:textId="2642FF5B" w:rsidR="00E83A00" w:rsidRPr="006C79CF" w:rsidRDefault="00E83A00" w:rsidP="006C79CF">
      <w:pPr>
        <w:pStyle w:val="ListParagraph"/>
        <w:numPr>
          <w:ilvl w:val="0"/>
          <w:numId w:val="13"/>
        </w:numPr>
        <w:jc w:val="both"/>
        <w:rPr>
          <w:rFonts w:eastAsia="Arial"/>
          <w:color w:val="auto"/>
        </w:rPr>
      </w:pPr>
      <w:r>
        <w:rPr>
          <w:rFonts w:eastAsia="Arial"/>
          <w:color w:val="auto"/>
        </w:rPr>
        <w:t xml:space="preserve">A series of clarifications in relation to accompanying procedures. </w:t>
      </w:r>
    </w:p>
    <w:p w14:paraId="0F8E59C9" w14:textId="49CAC46E" w:rsidR="00C34E82" w:rsidRDefault="00C34E82" w:rsidP="00C45CB5">
      <w:pPr>
        <w:jc w:val="both"/>
        <w:rPr>
          <w:rFonts w:eastAsia="Arial"/>
          <w:color w:val="auto"/>
        </w:rPr>
      </w:pPr>
    </w:p>
    <w:p w14:paraId="6F182CCF" w14:textId="1BA7DF02" w:rsidR="003E2938" w:rsidRDefault="00E83A00" w:rsidP="00C45CB5">
      <w:pPr>
        <w:jc w:val="both"/>
      </w:pPr>
      <w:r>
        <w:rPr>
          <w:rFonts w:eastAsia="Arial"/>
          <w:color w:val="auto"/>
        </w:rPr>
        <w:t xml:space="preserve">We received </w:t>
      </w:r>
      <w:r w:rsidR="00283453">
        <w:rPr>
          <w:rFonts w:eastAsia="Arial"/>
          <w:color w:val="auto"/>
        </w:rPr>
        <w:t>the Schedule 5</w:t>
      </w:r>
      <w:r>
        <w:rPr>
          <w:rFonts w:eastAsia="Arial"/>
          <w:color w:val="auto"/>
        </w:rPr>
        <w:t xml:space="preserve"> </w:t>
      </w:r>
      <w:r w:rsidR="00107846" w:rsidRPr="00F6400F">
        <w:rPr>
          <w:rFonts w:eastAsia="Arial"/>
          <w:color w:val="auto"/>
        </w:rPr>
        <w:t>response on 22/06/21</w:t>
      </w:r>
      <w:r w:rsidR="009D0684">
        <w:rPr>
          <w:rFonts w:eastAsia="Arial"/>
          <w:color w:val="auto"/>
        </w:rPr>
        <w:t>,</w:t>
      </w:r>
      <w:r w:rsidR="00107846" w:rsidRPr="00F6400F">
        <w:rPr>
          <w:rFonts w:eastAsia="Arial"/>
          <w:color w:val="auto"/>
        </w:rPr>
        <w:t xml:space="preserve"> which included a revised Supplementary HRA</w:t>
      </w:r>
      <w:r w:rsidR="00107846" w:rsidRPr="00F6400F">
        <w:rPr>
          <w:rStyle w:val="FootnoteReference"/>
          <w:rFonts w:eastAsia="Arial"/>
          <w:color w:val="auto"/>
        </w:rPr>
        <w:footnoteReference w:id="4"/>
      </w:r>
      <w:r w:rsidR="00107846" w:rsidRPr="00F6400F">
        <w:rPr>
          <w:rFonts w:eastAsia="Arial"/>
          <w:color w:val="auto"/>
        </w:rPr>
        <w:t xml:space="preserve">.  </w:t>
      </w:r>
      <w:r w:rsidR="00C45CB5">
        <w:rPr>
          <w:rFonts w:eastAsia="Arial"/>
          <w:color w:val="auto"/>
        </w:rPr>
        <w:t xml:space="preserve">We sent a second Schedule 5 Notice </w:t>
      </w:r>
      <w:r w:rsidR="00C45CB5">
        <w:t xml:space="preserve">on 19/07/21 </w:t>
      </w:r>
      <w:r w:rsidR="002265D1">
        <w:t>seeking further clarifications</w:t>
      </w:r>
      <w:r w:rsidR="003E2938">
        <w:t xml:space="preserve"> in relation to:</w:t>
      </w:r>
    </w:p>
    <w:p w14:paraId="540B0AD5" w14:textId="3BBFDD31" w:rsidR="003E2938" w:rsidRDefault="003E2938" w:rsidP="003E2938">
      <w:pPr>
        <w:pStyle w:val="ListParagraph"/>
        <w:numPr>
          <w:ilvl w:val="0"/>
          <w:numId w:val="14"/>
        </w:numPr>
        <w:jc w:val="both"/>
      </w:pPr>
      <w:r>
        <w:t>Proposals for reconciling the frequent well head pressure readings against monthly bottom hole pressure readings.</w:t>
      </w:r>
    </w:p>
    <w:p w14:paraId="64E4C7DC" w14:textId="63171C54" w:rsidR="003E2938" w:rsidRDefault="003E2938" w:rsidP="003E2938">
      <w:pPr>
        <w:pStyle w:val="ListParagraph"/>
        <w:numPr>
          <w:ilvl w:val="0"/>
          <w:numId w:val="14"/>
        </w:numPr>
        <w:jc w:val="both"/>
      </w:pPr>
      <w:r>
        <w:t>A more detailed evaluation of the Cement Bond Log</w:t>
      </w:r>
      <w:r w:rsidR="00C34E82">
        <w:t>.</w:t>
      </w:r>
    </w:p>
    <w:p w14:paraId="68836FA5" w14:textId="7FFDDB3B" w:rsidR="003E2938" w:rsidRDefault="003E2938" w:rsidP="003E2938">
      <w:pPr>
        <w:pStyle w:val="ListParagraph"/>
        <w:numPr>
          <w:ilvl w:val="0"/>
          <w:numId w:val="14"/>
        </w:numPr>
        <w:jc w:val="both"/>
      </w:pPr>
      <w:r>
        <w:t>The drainage plan and location of penstocks.</w:t>
      </w:r>
    </w:p>
    <w:p w14:paraId="12231C15" w14:textId="77777777" w:rsidR="00283453" w:rsidRDefault="00283453" w:rsidP="006C081E">
      <w:pPr>
        <w:jc w:val="both"/>
      </w:pPr>
    </w:p>
    <w:p w14:paraId="6B267EE1" w14:textId="03A6E498" w:rsidR="00283453" w:rsidRDefault="003E2938" w:rsidP="006C081E">
      <w:pPr>
        <w:jc w:val="both"/>
        <w:rPr>
          <w:rFonts w:eastAsia="Arial"/>
          <w:color w:val="auto"/>
        </w:rPr>
      </w:pPr>
      <w:r>
        <w:t xml:space="preserve">A </w:t>
      </w:r>
      <w:r w:rsidR="00C45CB5">
        <w:t xml:space="preserve">response was received on </w:t>
      </w:r>
      <w:r w:rsidR="002265D1">
        <w:t xml:space="preserve">09/08/21. </w:t>
      </w:r>
      <w:r w:rsidR="00C45CB5">
        <w:t xml:space="preserve">We are satisfied that </w:t>
      </w:r>
      <w:r>
        <w:t>both Schedule 5</w:t>
      </w:r>
      <w:r w:rsidR="00C45CB5">
        <w:t xml:space="preserve"> </w:t>
      </w:r>
      <w:r>
        <w:t>N</w:t>
      </w:r>
      <w:r w:rsidR="00C45CB5">
        <w:t xml:space="preserve">otices have </w:t>
      </w:r>
      <w:r w:rsidR="00C45CB5" w:rsidRPr="006662EA">
        <w:rPr>
          <w:color w:val="auto"/>
        </w:rPr>
        <w:t>been complied with</w:t>
      </w:r>
      <w:r w:rsidR="00BA78AD">
        <w:rPr>
          <w:color w:val="auto"/>
        </w:rPr>
        <w:t>,</w:t>
      </w:r>
      <w:r w:rsidR="006C081E">
        <w:rPr>
          <w:color w:val="auto"/>
        </w:rPr>
        <w:t xml:space="preserve"> and that </w:t>
      </w:r>
      <w:r w:rsidR="00A51D56" w:rsidRPr="00F6400F">
        <w:rPr>
          <w:rFonts w:eastAsia="Arial"/>
          <w:color w:val="auto"/>
        </w:rPr>
        <w:t xml:space="preserve">potential risks to groundwater have been identified and addressed through mitigation measures and controls specified in this </w:t>
      </w:r>
      <w:r w:rsidR="001D5BBA">
        <w:rPr>
          <w:rFonts w:eastAsia="Arial"/>
          <w:color w:val="auto"/>
        </w:rPr>
        <w:t xml:space="preserve">consolidated </w:t>
      </w:r>
      <w:r w:rsidR="00A51D56" w:rsidRPr="00F6400F">
        <w:rPr>
          <w:rFonts w:eastAsia="Arial"/>
          <w:color w:val="auto"/>
        </w:rPr>
        <w:t xml:space="preserve">permit. </w:t>
      </w:r>
      <w:r w:rsidR="009D0A1F">
        <w:rPr>
          <w:rFonts w:eastAsia="Arial"/>
          <w:color w:val="auto"/>
        </w:rPr>
        <w:t xml:space="preserve">The </w:t>
      </w:r>
      <w:r w:rsidR="00283453">
        <w:rPr>
          <w:rFonts w:eastAsia="Arial"/>
          <w:color w:val="auto"/>
        </w:rPr>
        <w:t>Supplementary HRA, when read in conjunction with the HRA</w:t>
      </w:r>
      <w:r w:rsidR="004D51A1">
        <w:rPr>
          <w:rFonts w:eastAsia="Arial"/>
          <w:color w:val="auto"/>
        </w:rPr>
        <w:t xml:space="preserve"> submitted as part of the previous variation</w:t>
      </w:r>
      <w:r w:rsidR="00283453">
        <w:rPr>
          <w:rFonts w:eastAsia="Arial"/>
          <w:color w:val="auto"/>
        </w:rPr>
        <w:t xml:space="preserve">, now addresses the </w:t>
      </w:r>
      <w:r w:rsidR="009D0A1F">
        <w:rPr>
          <w:rFonts w:eastAsia="Arial"/>
          <w:color w:val="auto"/>
        </w:rPr>
        <w:t>concerns raised in the previous variation</w:t>
      </w:r>
      <w:r w:rsidR="001D5BBA">
        <w:rPr>
          <w:rFonts w:eastAsia="Arial"/>
          <w:color w:val="auto"/>
        </w:rPr>
        <w:t xml:space="preserve"> EPR/BL9763IN/V004</w:t>
      </w:r>
      <w:r w:rsidR="00283453">
        <w:rPr>
          <w:rFonts w:eastAsia="Arial"/>
          <w:color w:val="auto"/>
        </w:rPr>
        <w:t xml:space="preserve">. </w:t>
      </w:r>
    </w:p>
    <w:p w14:paraId="2A431EB7" w14:textId="72E20F33" w:rsidR="0099332B" w:rsidRDefault="00483FFE" w:rsidP="006C081E">
      <w:pPr>
        <w:jc w:val="both"/>
        <w:rPr>
          <w:rFonts w:eastAsia="Arial"/>
          <w:color w:val="auto"/>
        </w:rPr>
      </w:pPr>
      <w:r w:rsidRPr="00483FFE">
        <w:rPr>
          <w:rFonts w:eastAsia="Arial"/>
          <w:color w:val="auto"/>
        </w:rPr>
        <w:t xml:space="preserve">We are satisfied that </w:t>
      </w:r>
      <w:r w:rsidR="004D51A1">
        <w:rPr>
          <w:rFonts w:eastAsia="Arial"/>
          <w:color w:val="auto"/>
        </w:rPr>
        <w:t xml:space="preserve">the </w:t>
      </w:r>
      <w:r w:rsidRPr="00483FFE">
        <w:rPr>
          <w:rFonts w:eastAsia="Arial"/>
          <w:color w:val="auto"/>
        </w:rPr>
        <w:t xml:space="preserve">Supplementary HRA has been </w:t>
      </w:r>
      <w:r>
        <w:rPr>
          <w:rFonts w:eastAsia="Arial"/>
          <w:color w:val="auto"/>
        </w:rPr>
        <w:t>completed</w:t>
      </w:r>
      <w:r w:rsidRPr="00483FFE">
        <w:rPr>
          <w:rFonts w:eastAsia="Arial"/>
          <w:color w:val="auto"/>
        </w:rPr>
        <w:t xml:space="preserve"> in accordance with the Environment Agency’s </w:t>
      </w:r>
      <w:r>
        <w:rPr>
          <w:rFonts w:eastAsia="Arial"/>
          <w:color w:val="auto"/>
        </w:rPr>
        <w:t>‘</w:t>
      </w:r>
      <w:r w:rsidRPr="00483FFE">
        <w:rPr>
          <w:rFonts w:eastAsia="Arial"/>
          <w:color w:val="auto"/>
        </w:rPr>
        <w:t xml:space="preserve">Groundwater risk assessment for your </w:t>
      </w:r>
      <w:r w:rsidRPr="00483FFE">
        <w:rPr>
          <w:rFonts w:eastAsia="Arial"/>
          <w:color w:val="auto"/>
        </w:rPr>
        <w:lastRenderedPageBreak/>
        <w:t>environmental permit guidance</w:t>
      </w:r>
      <w:r>
        <w:rPr>
          <w:rFonts w:eastAsia="Arial"/>
          <w:color w:val="auto"/>
        </w:rPr>
        <w:t>’</w:t>
      </w:r>
      <w:r w:rsidRPr="00483FFE">
        <w:rPr>
          <w:rFonts w:eastAsia="Arial"/>
          <w:color w:val="auto"/>
        </w:rPr>
        <w:t xml:space="preserve"> and Onshore Oil and Gas Sector guidance and the potential risks to groundwater have been adequately identified and addressed.</w:t>
      </w:r>
    </w:p>
    <w:p w14:paraId="0E2877CC" w14:textId="17E68B2C" w:rsidR="0099332B" w:rsidRDefault="009D0A1F" w:rsidP="00A51D56">
      <w:pPr>
        <w:ind w:right="125"/>
        <w:jc w:val="both"/>
        <w:rPr>
          <w:rFonts w:eastAsia="Arial"/>
          <w:color w:val="auto"/>
        </w:rPr>
      </w:pPr>
      <w:r>
        <w:rPr>
          <w:rFonts w:eastAsia="Arial"/>
          <w:color w:val="auto"/>
        </w:rPr>
        <w:t>The Supplementary HRA demonstrates</w:t>
      </w:r>
      <w:r w:rsidR="00DB35DD">
        <w:rPr>
          <w:rFonts w:eastAsia="Arial"/>
          <w:color w:val="auto"/>
        </w:rPr>
        <w:t xml:space="preserve"> the importance</w:t>
      </w:r>
      <w:r>
        <w:rPr>
          <w:rFonts w:eastAsia="Arial"/>
          <w:color w:val="auto"/>
        </w:rPr>
        <w:t xml:space="preserve"> of well integrity and robust injection procedures and includes appendices for detailed procedures. There is documentary evidence of pressure testing and evidence of sound well integrity. </w:t>
      </w:r>
    </w:p>
    <w:p w14:paraId="7894AB0E" w14:textId="55ECA77B" w:rsidR="00C45CB5" w:rsidRDefault="00A51D56" w:rsidP="00A51D56">
      <w:pPr>
        <w:ind w:right="125"/>
        <w:jc w:val="both"/>
        <w:rPr>
          <w:rFonts w:eastAsia="Arial"/>
          <w:color w:val="auto"/>
        </w:rPr>
      </w:pPr>
      <w:r w:rsidRPr="00F6400F">
        <w:rPr>
          <w:rFonts w:eastAsia="Arial"/>
          <w:color w:val="auto"/>
        </w:rPr>
        <w:t>The operator has</w:t>
      </w:r>
      <w:r w:rsidR="009D77DB">
        <w:rPr>
          <w:rFonts w:eastAsia="Arial"/>
          <w:color w:val="auto"/>
        </w:rPr>
        <w:t xml:space="preserve"> procedures in place defining the duties, roles and responsibilities in relation to the monitoring of </w:t>
      </w:r>
      <w:r w:rsidR="00333845">
        <w:rPr>
          <w:rFonts w:eastAsia="Arial"/>
          <w:color w:val="auto"/>
        </w:rPr>
        <w:t>injection pressure to ensure the reservoir is not over-pressurised (procedures BRO-ANGPR-00003).</w:t>
      </w:r>
      <w:r w:rsidRPr="00F6400F">
        <w:rPr>
          <w:rFonts w:eastAsia="Arial"/>
          <w:color w:val="auto"/>
        </w:rPr>
        <w:t xml:space="preserve"> The</w:t>
      </w:r>
      <w:r w:rsidR="00333845">
        <w:rPr>
          <w:rFonts w:eastAsia="Arial"/>
          <w:color w:val="auto"/>
        </w:rPr>
        <w:t xml:space="preserve"> Operator has made a commitment to review the procedure at least annually or earlier if required. </w:t>
      </w:r>
    </w:p>
    <w:p w14:paraId="68EEB996" w14:textId="2952909A" w:rsidR="00483FFE" w:rsidRDefault="00483FFE" w:rsidP="00A51D56">
      <w:pPr>
        <w:ind w:right="125"/>
        <w:jc w:val="both"/>
        <w:rPr>
          <w:rFonts w:eastAsia="Arial"/>
          <w:b/>
          <w:color w:val="auto"/>
        </w:rPr>
      </w:pPr>
      <w:r w:rsidRPr="00483FFE">
        <w:rPr>
          <w:rFonts w:eastAsia="Arial"/>
          <w:b/>
          <w:color w:val="auto"/>
        </w:rPr>
        <w:t>Groundwater monitoring</w:t>
      </w:r>
    </w:p>
    <w:p w14:paraId="02545124" w14:textId="420F2EDF" w:rsidR="00483FFE" w:rsidRPr="00483FFE" w:rsidRDefault="005668AD" w:rsidP="00483FFE">
      <w:pPr>
        <w:ind w:right="125"/>
        <w:jc w:val="both"/>
        <w:rPr>
          <w:rFonts w:eastAsia="Arial"/>
          <w:color w:val="auto"/>
        </w:rPr>
      </w:pPr>
      <w:r>
        <w:rPr>
          <w:rFonts w:eastAsia="Arial"/>
          <w:color w:val="auto"/>
        </w:rPr>
        <w:t>We</w:t>
      </w:r>
      <w:r w:rsidR="00483FFE" w:rsidRPr="00483FFE">
        <w:rPr>
          <w:rFonts w:eastAsia="Arial"/>
          <w:color w:val="auto"/>
        </w:rPr>
        <w:t xml:space="preserve"> agree with the conclusions in the</w:t>
      </w:r>
      <w:r w:rsidR="00483FFE">
        <w:rPr>
          <w:rFonts w:eastAsia="Arial"/>
          <w:color w:val="auto"/>
        </w:rPr>
        <w:t xml:space="preserve"> Supplementary</w:t>
      </w:r>
      <w:r w:rsidR="00483FFE" w:rsidRPr="00483FFE">
        <w:rPr>
          <w:rFonts w:eastAsia="Arial"/>
          <w:color w:val="auto"/>
        </w:rPr>
        <w:t xml:space="preserve"> HRA that there is a negligible risk of pollution to groundwater from the re-injection of produced water into the Portland Sandstone formation. </w:t>
      </w:r>
      <w:r w:rsidR="002E1369">
        <w:rPr>
          <w:rFonts w:eastAsia="Arial"/>
          <w:color w:val="auto"/>
        </w:rPr>
        <w:t>At the surface t</w:t>
      </w:r>
      <w:r w:rsidR="00483FFE" w:rsidRPr="00483FFE">
        <w:rPr>
          <w:rFonts w:eastAsia="Arial"/>
          <w:color w:val="auto"/>
        </w:rPr>
        <w:t xml:space="preserve">he site is located on the Weald Clay formation which is </w:t>
      </w:r>
      <w:r w:rsidR="002E1369">
        <w:rPr>
          <w:rFonts w:eastAsia="Arial"/>
          <w:color w:val="auto"/>
        </w:rPr>
        <w:t xml:space="preserve">classed as Unproductive Strata which </w:t>
      </w:r>
      <w:r w:rsidR="00483FFE" w:rsidRPr="00483FFE">
        <w:rPr>
          <w:rFonts w:eastAsia="Arial"/>
          <w:color w:val="auto"/>
        </w:rPr>
        <w:t>has low permeability and negligible significance for water supply or baseflow to rivers. Occasional sandstone and limestone horizons are present in the Weald Clay at approximately 100m below ground level as shown in the well construction logs. If sandstone and limestone horizons are present at shallower depths in the Weald Clay, these would not be considered a sensitive groundwater receptor</w:t>
      </w:r>
      <w:r w:rsidR="00BA78AD">
        <w:rPr>
          <w:rFonts w:eastAsia="Arial"/>
          <w:color w:val="auto"/>
        </w:rPr>
        <w:t>. This is</w:t>
      </w:r>
      <w:r w:rsidR="00483FFE" w:rsidRPr="00483FFE">
        <w:rPr>
          <w:rFonts w:eastAsia="Arial"/>
          <w:color w:val="auto"/>
        </w:rPr>
        <w:t xml:space="preserve"> because the sandstone and limestone horizons are isolated and do not support groundwater abstraction or groundwater dependent features in the site area. The </w:t>
      </w:r>
      <w:r w:rsidR="00E023AD">
        <w:rPr>
          <w:rFonts w:eastAsia="Arial"/>
          <w:color w:val="auto"/>
        </w:rPr>
        <w:t xml:space="preserve">Supplementary </w:t>
      </w:r>
      <w:r w:rsidR="00483FFE" w:rsidRPr="00483FFE">
        <w:rPr>
          <w:rFonts w:eastAsia="Arial"/>
          <w:color w:val="auto"/>
        </w:rPr>
        <w:t xml:space="preserve">HRA confirms that there are no licensed groundwater abstractions or private water supplies sourced from the Weald Clay within 2km of the site. We are satisfied that an intrusive investigation to inform the HRA on the ground conditions in the Weald Clay in the vicinity of the site is not required.  </w:t>
      </w:r>
    </w:p>
    <w:p w14:paraId="5F822701" w14:textId="6B9AD34D" w:rsidR="00483FFE" w:rsidRPr="00483FFE" w:rsidRDefault="00483FFE" w:rsidP="00483FFE">
      <w:pPr>
        <w:ind w:right="125"/>
        <w:jc w:val="both"/>
        <w:rPr>
          <w:rFonts w:eastAsia="Arial"/>
          <w:color w:val="auto"/>
        </w:rPr>
      </w:pPr>
      <w:r w:rsidRPr="00483FFE">
        <w:rPr>
          <w:rFonts w:eastAsia="Arial"/>
          <w:color w:val="auto"/>
        </w:rPr>
        <w:t xml:space="preserve">The Environment Agency </w:t>
      </w:r>
      <w:r w:rsidR="000C40CE">
        <w:rPr>
          <w:rFonts w:eastAsia="Arial"/>
          <w:color w:val="auto"/>
        </w:rPr>
        <w:t xml:space="preserve">is </w:t>
      </w:r>
      <w:r w:rsidRPr="00483FFE">
        <w:rPr>
          <w:rFonts w:eastAsia="Arial"/>
          <w:color w:val="auto"/>
        </w:rPr>
        <w:t xml:space="preserve">satisfied that groundwater monitoring </w:t>
      </w:r>
      <w:r w:rsidR="00E023AD" w:rsidRPr="00E023AD">
        <w:t>is not required at the site because there is no significant risk to any known shallow groundwater receptor</w:t>
      </w:r>
      <w:r w:rsidRPr="00483FFE">
        <w:rPr>
          <w:rFonts w:eastAsia="Arial"/>
          <w:color w:val="auto"/>
        </w:rPr>
        <w:t>s</w:t>
      </w:r>
      <w:r w:rsidR="00E023AD">
        <w:rPr>
          <w:rFonts w:eastAsia="Arial"/>
          <w:color w:val="auto"/>
        </w:rPr>
        <w:t xml:space="preserve"> and s</w:t>
      </w:r>
      <w:r w:rsidRPr="00483FFE">
        <w:rPr>
          <w:rFonts w:eastAsia="Arial"/>
          <w:color w:val="auto"/>
        </w:rPr>
        <w:t>ufficient mitigation measures</w:t>
      </w:r>
      <w:r w:rsidR="00A15EEC">
        <w:rPr>
          <w:rFonts w:eastAsia="Arial"/>
          <w:color w:val="auto"/>
        </w:rPr>
        <w:t xml:space="preserve"> and procedures</w:t>
      </w:r>
      <w:r w:rsidRPr="00483FFE">
        <w:rPr>
          <w:rFonts w:eastAsia="Arial"/>
          <w:color w:val="auto"/>
        </w:rPr>
        <w:t xml:space="preserve"> </w:t>
      </w:r>
      <w:r w:rsidR="00E023AD">
        <w:rPr>
          <w:rFonts w:eastAsia="Arial"/>
          <w:color w:val="auto"/>
        </w:rPr>
        <w:t xml:space="preserve">are </w:t>
      </w:r>
      <w:r w:rsidRPr="00483FFE">
        <w:rPr>
          <w:rFonts w:eastAsia="Arial"/>
          <w:color w:val="auto"/>
        </w:rPr>
        <w:t>in place to prevent any</w:t>
      </w:r>
      <w:r w:rsidR="00BA78AD">
        <w:rPr>
          <w:rFonts w:eastAsia="Arial"/>
          <w:color w:val="auto"/>
        </w:rPr>
        <w:t xml:space="preserve"> potential</w:t>
      </w:r>
      <w:r w:rsidRPr="00483FFE">
        <w:rPr>
          <w:rFonts w:eastAsia="Arial"/>
          <w:color w:val="auto"/>
        </w:rPr>
        <w:t xml:space="preserve"> impact on groundwater.</w:t>
      </w:r>
    </w:p>
    <w:p w14:paraId="74B0347A" w14:textId="77777777" w:rsidR="002D6623" w:rsidRPr="006662EA" w:rsidRDefault="002D6623" w:rsidP="002D6623">
      <w:pPr>
        <w:pStyle w:val="Sectiontitle"/>
        <w:rPr>
          <w:color w:val="auto"/>
        </w:rPr>
      </w:pPr>
      <w:r w:rsidRPr="006662EA">
        <w:rPr>
          <w:color w:val="auto"/>
        </w:rPr>
        <w:t>Decision considerations</w:t>
      </w:r>
    </w:p>
    <w:bookmarkEnd w:id="2"/>
    <w:p w14:paraId="07F35D8C" w14:textId="77777777" w:rsidR="002D6623" w:rsidRPr="006662EA" w:rsidRDefault="002D6623" w:rsidP="002D6623">
      <w:pPr>
        <w:pStyle w:val="Topictitle"/>
        <w:rPr>
          <w:color w:val="auto"/>
        </w:rPr>
      </w:pPr>
      <w:r w:rsidRPr="006662EA">
        <w:rPr>
          <w:color w:val="auto"/>
        </w:rPr>
        <w:t>Confidential information</w:t>
      </w:r>
    </w:p>
    <w:p w14:paraId="1E58789C" w14:textId="4B984516" w:rsidR="002D6623" w:rsidRPr="006662EA" w:rsidRDefault="002D6623" w:rsidP="002D6623">
      <w:pPr>
        <w:rPr>
          <w:color w:val="auto"/>
        </w:rPr>
      </w:pPr>
      <w:r w:rsidRPr="006662EA">
        <w:rPr>
          <w:color w:val="auto"/>
        </w:rPr>
        <w:t xml:space="preserve">A claim for commercial or industrial confidentiality has </w:t>
      </w:r>
      <w:r w:rsidR="00657983" w:rsidRPr="006662EA">
        <w:rPr>
          <w:color w:val="auto"/>
        </w:rPr>
        <w:t>not</w:t>
      </w:r>
      <w:r w:rsidRPr="006662EA">
        <w:rPr>
          <w:color w:val="auto"/>
        </w:rPr>
        <w:t xml:space="preserve"> been made.</w:t>
      </w:r>
    </w:p>
    <w:p w14:paraId="56E1D45F" w14:textId="77777777" w:rsidR="002D6623" w:rsidRPr="006662EA" w:rsidRDefault="002D6623" w:rsidP="002D6623">
      <w:pPr>
        <w:pStyle w:val="Topictitle"/>
        <w:rPr>
          <w:color w:val="auto"/>
        </w:rPr>
      </w:pPr>
      <w:r w:rsidRPr="006662EA">
        <w:rPr>
          <w:color w:val="auto"/>
        </w:rPr>
        <w:t>Identifying confidential information</w:t>
      </w:r>
    </w:p>
    <w:p w14:paraId="237DCC6D" w14:textId="6E0FA806" w:rsidR="005E11F4" w:rsidRPr="006662EA" w:rsidRDefault="002D6623" w:rsidP="002D6623">
      <w:pPr>
        <w:rPr>
          <w:color w:val="auto"/>
        </w:rPr>
      </w:pPr>
      <w:r w:rsidRPr="006662EA">
        <w:rPr>
          <w:color w:val="auto"/>
        </w:rPr>
        <w:t xml:space="preserve">We have </w:t>
      </w:r>
      <w:r w:rsidR="0003394D" w:rsidRPr="006662EA">
        <w:rPr>
          <w:color w:val="auto"/>
        </w:rPr>
        <w:t>not</w:t>
      </w:r>
      <w:r w:rsidR="00657983" w:rsidRPr="006662EA">
        <w:rPr>
          <w:b/>
          <w:color w:val="auto"/>
        </w:rPr>
        <w:t xml:space="preserve"> </w:t>
      </w:r>
      <w:r w:rsidRPr="006662EA">
        <w:rPr>
          <w:color w:val="auto"/>
        </w:rPr>
        <w:t>identified information provided as part of the application that we consider to be confidential.</w:t>
      </w:r>
      <w:r w:rsidR="005E11F4" w:rsidRPr="006662EA">
        <w:rPr>
          <w:color w:val="auto"/>
        </w:rPr>
        <w:t xml:space="preserve"> </w:t>
      </w:r>
    </w:p>
    <w:p w14:paraId="71226F55" w14:textId="14445043" w:rsidR="002D6623" w:rsidRPr="006662EA" w:rsidRDefault="002D6623" w:rsidP="002D6623">
      <w:pPr>
        <w:rPr>
          <w:color w:val="auto"/>
        </w:rPr>
      </w:pPr>
      <w:r w:rsidRPr="006662EA">
        <w:rPr>
          <w:color w:val="auto"/>
        </w:rPr>
        <w:lastRenderedPageBreak/>
        <w:t>The decision was taken in accordance with our guidance on confidentiality.</w:t>
      </w:r>
    </w:p>
    <w:p w14:paraId="7432A6E6" w14:textId="2DBDD3CA" w:rsidR="00657983" w:rsidRPr="006662EA" w:rsidRDefault="00456E58" w:rsidP="00657983">
      <w:pPr>
        <w:pStyle w:val="Topictitle"/>
        <w:rPr>
          <w:b w:val="0"/>
          <w:color w:val="auto"/>
          <w:sz w:val="26"/>
          <w:szCs w:val="26"/>
        </w:rPr>
      </w:pPr>
      <w:r w:rsidRPr="006662EA">
        <w:rPr>
          <w:color w:val="auto"/>
        </w:rPr>
        <w:t>Consultation</w:t>
      </w:r>
    </w:p>
    <w:p w14:paraId="7D4E244B" w14:textId="29F10820" w:rsidR="00657983" w:rsidRPr="006662EA" w:rsidRDefault="00DF30C2" w:rsidP="00657983">
      <w:pPr>
        <w:rPr>
          <w:color w:val="auto"/>
        </w:rPr>
      </w:pPr>
      <w:r w:rsidRPr="006662EA">
        <w:rPr>
          <w:color w:val="auto"/>
        </w:rPr>
        <w:t xml:space="preserve">The consultation requirements were identified in accordance with the Environmental Permitting (England and Wales) Regulations (2016) and our </w:t>
      </w:r>
      <w:r w:rsidR="00456E58" w:rsidRPr="006662EA">
        <w:rPr>
          <w:color w:val="auto"/>
        </w:rPr>
        <w:t>public participation statement.</w:t>
      </w:r>
      <w:r w:rsidR="00657983" w:rsidRPr="006662EA">
        <w:rPr>
          <w:color w:val="auto"/>
        </w:rPr>
        <w:t xml:space="preserve"> </w:t>
      </w:r>
    </w:p>
    <w:p w14:paraId="640BE829" w14:textId="57D2401C" w:rsidR="00DF30C2" w:rsidRPr="006662EA" w:rsidRDefault="00DF30C2" w:rsidP="00380A08">
      <w:pPr>
        <w:rPr>
          <w:color w:val="auto"/>
        </w:rPr>
      </w:pPr>
      <w:r w:rsidRPr="006662EA">
        <w:rPr>
          <w:color w:val="auto"/>
        </w:rPr>
        <w:t>The application was pu</w:t>
      </w:r>
      <w:r w:rsidR="0056222B" w:rsidRPr="006662EA">
        <w:rPr>
          <w:color w:val="auto"/>
        </w:rPr>
        <w:t>blicised on the GOV.UK website</w:t>
      </w:r>
      <w:r w:rsidR="00157CD2">
        <w:rPr>
          <w:color w:val="auto"/>
        </w:rPr>
        <w:t xml:space="preserve"> from 23 March 2021 to 4 May 2021</w:t>
      </w:r>
      <w:r w:rsidR="0056222B" w:rsidRPr="006662EA">
        <w:rPr>
          <w:color w:val="auto"/>
        </w:rPr>
        <w:t>.</w:t>
      </w:r>
    </w:p>
    <w:p w14:paraId="3801AB4E" w14:textId="437764EA" w:rsidR="00DF30C2" w:rsidRPr="006662EA" w:rsidRDefault="00DF30C2" w:rsidP="00380A08">
      <w:pPr>
        <w:rPr>
          <w:color w:val="auto"/>
        </w:rPr>
      </w:pPr>
      <w:r w:rsidRPr="006662EA">
        <w:rPr>
          <w:color w:val="auto"/>
        </w:rPr>
        <w:t>We consider this application to be</w:t>
      </w:r>
      <w:r w:rsidR="00111976" w:rsidRPr="006662EA">
        <w:rPr>
          <w:color w:val="auto"/>
        </w:rPr>
        <w:t xml:space="preserve"> of high public interest and so</w:t>
      </w:r>
      <w:r w:rsidR="00657983" w:rsidRPr="006662EA">
        <w:rPr>
          <w:color w:val="auto"/>
        </w:rPr>
        <w:t xml:space="preserve"> </w:t>
      </w:r>
      <w:r w:rsidR="00241AB9" w:rsidRPr="006662EA">
        <w:rPr>
          <w:color w:val="auto"/>
        </w:rPr>
        <w:t xml:space="preserve">we extended the period of consultation with the public from four weeks to six weeks. </w:t>
      </w:r>
    </w:p>
    <w:p w14:paraId="2D6BFDD6" w14:textId="213FA50A" w:rsidR="00DF30C2" w:rsidRPr="006662EA" w:rsidRDefault="00DF30C2" w:rsidP="00380A08">
      <w:pPr>
        <w:rPr>
          <w:color w:val="auto"/>
        </w:rPr>
      </w:pPr>
      <w:r w:rsidRPr="006662EA">
        <w:rPr>
          <w:color w:val="auto"/>
        </w:rPr>
        <w:t>We consult</w:t>
      </w:r>
      <w:r w:rsidR="00111976" w:rsidRPr="006662EA">
        <w:rPr>
          <w:color w:val="auto"/>
        </w:rPr>
        <w:t>ed the following organisations:</w:t>
      </w:r>
    </w:p>
    <w:p w14:paraId="56673B06" w14:textId="3B0E60F6" w:rsidR="00241AB9" w:rsidRPr="006662EA" w:rsidRDefault="00241AB9" w:rsidP="001C4B08">
      <w:pPr>
        <w:pStyle w:val="ListParagraph"/>
        <w:numPr>
          <w:ilvl w:val="0"/>
          <w:numId w:val="6"/>
        </w:numPr>
        <w:rPr>
          <w:color w:val="auto"/>
        </w:rPr>
      </w:pPr>
      <w:r w:rsidRPr="006662EA">
        <w:rPr>
          <w:color w:val="auto"/>
        </w:rPr>
        <w:t>Local Authority – Environmental Health</w:t>
      </w:r>
    </w:p>
    <w:p w14:paraId="469AC899" w14:textId="76EAEFC5" w:rsidR="00241AB9" w:rsidRPr="006662EA" w:rsidRDefault="00241AB9" w:rsidP="001C4B08">
      <w:pPr>
        <w:pStyle w:val="ListParagraph"/>
        <w:numPr>
          <w:ilvl w:val="0"/>
          <w:numId w:val="6"/>
        </w:numPr>
        <w:rPr>
          <w:color w:val="auto"/>
        </w:rPr>
      </w:pPr>
      <w:r w:rsidRPr="006662EA">
        <w:rPr>
          <w:color w:val="auto"/>
        </w:rPr>
        <w:t>Health and Safety Executive (HSE)</w:t>
      </w:r>
    </w:p>
    <w:p w14:paraId="31AA8CDE" w14:textId="6A2F5BBA" w:rsidR="00241AB9" w:rsidRPr="006662EA" w:rsidRDefault="00241AB9" w:rsidP="001C4B08">
      <w:pPr>
        <w:pStyle w:val="ListParagraph"/>
        <w:numPr>
          <w:ilvl w:val="0"/>
          <w:numId w:val="6"/>
        </w:numPr>
        <w:rPr>
          <w:color w:val="auto"/>
        </w:rPr>
      </w:pPr>
      <w:r w:rsidRPr="006662EA">
        <w:rPr>
          <w:color w:val="auto"/>
        </w:rPr>
        <w:t>Fire and Rescue</w:t>
      </w:r>
    </w:p>
    <w:p w14:paraId="2DFD5194" w14:textId="418135E0" w:rsidR="00241AB9" w:rsidRPr="006662EA" w:rsidRDefault="00241AB9" w:rsidP="001C4B08">
      <w:pPr>
        <w:pStyle w:val="ListParagraph"/>
        <w:numPr>
          <w:ilvl w:val="0"/>
          <w:numId w:val="6"/>
        </w:numPr>
        <w:rPr>
          <w:color w:val="auto"/>
        </w:rPr>
      </w:pPr>
      <w:r w:rsidRPr="006662EA">
        <w:rPr>
          <w:color w:val="auto"/>
        </w:rPr>
        <w:t>Director of Public Health</w:t>
      </w:r>
    </w:p>
    <w:p w14:paraId="35DEDAEB" w14:textId="14FC9750" w:rsidR="00241AB9" w:rsidRPr="006662EA" w:rsidRDefault="00241AB9" w:rsidP="001C4B08">
      <w:pPr>
        <w:pStyle w:val="ListParagraph"/>
        <w:numPr>
          <w:ilvl w:val="0"/>
          <w:numId w:val="6"/>
        </w:numPr>
        <w:rPr>
          <w:color w:val="auto"/>
        </w:rPr>
      </w:pPr>
      <w:r w:rsidRPr="006662EA">
        <w:rPr>
          <w:color w:val="auto"/>
        </w:rPr>
        <w:t>Public Health England</w:t>
      </w:r>
    </w:p>
    <w:p w14:paraId="39458FBC" w14:textId="2D621E99" w:rsidR="00241AB9" w:rsidRPr="006662EA" w:rsidRDefault="00241AB9" w:rsidP="001C4B08">
      <w:pPr>
        <w:pStyle w:val="ListParagraph"/>
        <w:numPr>
          <w:ilvl w:val="0"/>
          <w:numId w:val="6"/>
        </w:numPr>
        <w:rPr>
          <w:color w:val="auto"/>
        </w:rPr>
      </w:pPr>
      <w:r w:rsidRPr="006662EA">
        <w:rPr>
          <w:color w:val="auto"/>
        </w:rPr>
        <w:t xml:space="preserve">Mineral Planning Authority </w:t>
      </w:r>
    </w:p>
    <w:p w14:paraId="3CA7F790" w14:textId="0061AC76" w:rsidR="00241AB9" w:rsidRPr="006662EA" w:rsidRDefault="00241AB9" w:rsidP="001C4B08">
      <w:pPr>
        <w:pStyle w:val="ListParagraph"/>
        <w:numPr>
          <w:ilvl w:val="0"/>
          <w:numId w:val="6"/>
        </w:numPr>
        <w:rPr>
          <w:color w:val="auto"/>
        </w:rPr>
      </w:pPr>
      <w:r w:rsidRPr="006662EA">
        <w:rPr>
          <w:color w:val="auto"/>
        </w:rPr>
        <w:t>Oil and Gas Authority</w:t>
      </w:r>
    </w:p>
    <w:p w14:paraId="3E21E7EF" w14:textId="77777777" w:rsidR="00241AB9" w:rsidRPr="006662EA" w:rsidRDefault="00241AB9" w:rsidP="00241AB9">
      <w:pPr>
        <w:pStyle w:val="ListParagraph"/>
        <w:numPr>
          <w:ilvl w:val="0"/>
          <w:numId w:val="0"/>
        </w:numPr>
        <w:ind w:left="720"/>
        <w:rPr>
          <w:color w:val="auto"/>
        </w:rPr>
      </w:pPr>
    </w:p>
    <w:p w14:paraId="049FFE45" w14:textId="1DC69408" w:rsidR="00DF30C2" w:rsidRPr="006662EA" w:rsidRDefault="00DF30C2" w:rsidP="00DF30C2">
      <w:pPr>
        <w:rPr>
          <w:color w:val="auto"/>
        </w:rPr>
      </w:pPr>
      <w:r w:rsidRPr="006662EA">
        <w:rPr>
          <w:color w:val="auto"/>
        </w:rPr>
        <w:t>The comments and our responses are summarised in the</w:t>
      </w:r>
      <w:r w:rsidR="00F87CFB" w:rsidRPr="006662EA">
        <w:rPr>
          <w:color w:val="auto"/>
        </w:rPr>
        <w:t xml:space="preserve"> </w:t>
      </w:r>
      <w:hyperlink w:anchor="Consultation_Responses" w:tooltip="Link to 'Consultation responses' section of this document" w:history="1">
        <w:r w:rsidR="00F87CFB" w:rsidRPr="006662EA">
          <w:rPr>
            <w:rStyle w:val="Hyperlink"/>
            <w:color w:val="auto"/>
          </w:rPr>
          <w:t>consultation responses</w:t>
        </w:r>
      </w:hyperlink>
      <w:r w:rsidR="00F87CFB" w:rsidRPr="006662EA">
        <w:rPr>
          <w:color w:val="auto"/>
        </w:rPr>
        <w:t xml:space="preserve"> </w:t>
      </w:r>
      <w:r w:rsidR="001C45ED" w:rsidRPr="006662EA">
        <w:rPr>
          <w:color w:val="auto"/>
        </w:rPr>
        <w:t>section.</w:t>
      </w:r>
    </w:p>
    <w:p w14:paraId="1D5DB1B3" w14:textId="0D635472" w:rsidR="00CC2550" w:rsidRPr="001B6752" w:rsidRDefault="00016979" w:rsidP="00CC2550">
      <w:pPr>
        <w:pStyle w:val="Topictitle"/>
        <w:rPr>
          <w:color w:val="auto"/>
        </w:rPr>
      </w:pPr>
      <w:r w:rsidRPr="001B6752">
        <w:rPr>
          <w:color w:val="auto"/>
        </w:rPr>
        <w:t>The regulated facility</w:t>
      </w:r>
    </w:p>
    <w:p w14:paraId="1424CAF5" w14:textId="6F9DBEBA" w:rsidR="00CC2550" w:rsidRPr="001B6752" w:rsidRDefault="00CC2550" w:rsidP="00CC2550">
      <w:pPr>
        <w:rPr>
          <w:b/>
          <w:color w:val="auto"/>
          <w:sz w:val="26"/>
          <w:szCs w:val="26"/>
        </w:rPr>
      </w:pPr>
      <w:r w:rsidRPr="001B6752">
        <w:rPr>
          <w:color w:val="auto"/>
        </w:rPr>
        <w:t>We considered the extent and nature of the</w:t>
      </w:r>
      <w:r w:rsidR="00B444B1" w:rsidRPr="001B6752">
        <w:rPr>
          <w:color w:val="auto"/>
        </w:rPr>
        <w:t xml:space="preserve"> facility</w:t>
      </w:r>
      <w:r w:rsidR="00241AB9" w:rsidRPr="001B6752">
        <w:rPr>
          <w:color w:val="auto"/>
        </w:rPr>
        <w:t xml:space="preserve"> </w:t>
      </w:r>
      <w:r w:rsidRPr="001B6752">
        <w:rPr>
          <w:color w:val="auto"/>
        </w:rPr>
        <w:t>at the site in accordance with</w:t>
      </w:r>
      <w:r w:rsidR="00B444B1" w:rsidRPr="001B6752">
        <w:rPr>
          <w:color w:val="auto"/>
        </w:rPr>
        <w:t xml:space="preserve"> RGN2 ‘Understanding the mean</w:t>
      </w:r>
      <w:r w:rsidR="003744EB" w:rsidRPr="001B6752">
        <w:rPr>
          <w:color w:val="auto"/>
        </w:rPr>
        <w:t>ing of regulated facility’.</w:t>
      </w:r>
    </w:p>
    <w:p w14:paraId="7BF27EA7" w14:textId="0C0FAB8D" w:rsidR="00CC2550" w:rsidRPr="001B6752" w:rsidRDefault="00CC2550" w:rsidP="00CC2550">
      <w:pPr>
        <w:rPr>
          <w:color w:val="auto"/>
        </w:rPr>
      </w:pPr>
      <w:r w:rsidRPr="001B6752">
        <w:rPr>
          <w:color w:val="auto"/>
        </w:rPr>
        <w:t>The extent of the</w:t>
      </w:r>
      <w:r w:rsidR="0063190D" w:rsidRPr="001B6752">
        <w:rPr>
          <w:color w:val="auto"/>
        </w:rPr>
        <w:t xml:space="preserve"> facility</w:t>
      </w:r>
      <w:r w:rsidR="003744EB" w:rsidRPr="001B6752">
        <w:rPr>
          <w:color w:val="auto"/>
        </w:rPr>
        <w:t xml:space="preserve"> is</w:t>
      </w:r>
      <w:r w:rsidR="0063190D" w:rsidRPr="001B6752">
        <w:rPr>
          <w:color w:val="auto"/>
        </w:rPr>
        <w:t xml:space="preserve"> </w:t>
      </w:r>
      <w:r w:rsidRPr="001B6752">
        <w:rPr>
          <w:color w:val="auto"/>
        </w:rPr>
        <w:t>defined in</w:t>
      </w:r>
      <w:r w:rsidR="0063190D" w:rsidRPr="001B6752">
        <w:rPr>
          <w:color w:val="auto"/>
        </w:rPr>
        <w:t xml:space="preserve"> </w:t>
      </w:r>
      <w:r w:rsidR="003744EB" w:rsidRPr="001B6752">
        <w:rPr>
          <w:color w:val="auto"/>
        </w:rPr>
        <w:t>the site plan and in</w:t>
      </w:r>
      <w:r w:rsidRPr="001B6752">
        <w:rPr>
          <w:color w:val="auto"/>
        </w:rPr>
        <w:t xml:space="preserve"> the permit. The activities are defin</w:t>
      </w:r>
      <w:r w:rsidR="001C45ED" w:rsidRPr="001B6752">
        <w:rPr>
          <w:color w:val="auto"/>
        </w:rPr>
        <w:t>ed in table S1.1 of the permit.</w:t>
      </w:r>
    </w:p>
    <w:p w14:paraId="4F25AC17" w14:textId="73E3826E" w:rsidR="009B2790" w:rsidRPr="001B6752" w:rsidRDefault="003744EB" w:rsidP="009B2790">
      <w:pPr>
        <w:pStyle w:val="Topictitle"/>
        <w:rPr>
          <w:color w:val="auto"/>
        </w:rPr>
      </w:pPr>
      <w:r w:rsidRPr="001B6752">
        <w:rPr>
          <w:color w:val="auto"/>
        </w:rPr>
        <w:t>The site</w:t>
      </w:r>
    </w:p>
    <w:p w14:paraId="339E80D3" w14:textId="0C305919" w:rsidR="009B2790" w:rsidRPr="001B6752" w:rsidRDefault="009B2790" w:rsidP="009B2790">
      <w:pPr>
        <w:rPr>
          <w:color w:val="auto"/>
        </w:rPr>
      </w:pPr>
      <w:r w:rsidRPr="001B6752">
        <w:rPr>
          <w:color w:val="auto"/>
        </w:rPr>
        <w:t xml:space="preserve">The operator has provided a </w:t>
      </w:r>
      <w:r w:rsidR="003744EB" w:rsidRPr="001B6752">
        <w:rPr>
          <w:color w:val="auto"/>
        </w:rPr>
        <w:t>plan</w:t>
      </w:r>
      <w:r w:rsidRPr="001B6752">
        <w:rPr>
          <w:color w:val="auto"/>
        </w:rPr>
        <w:t xml:space="preserve"> which </w:t>
      </w:r>
      <w:r w:rsidR="00B0019B" w:rsidRPr="001B6752">
        <w:rPr>
          <w:color w:val="auto"/>
        </w:rPr>
        <w:t>we consider to be satisfactory.</w:t>
      </w:r>
    </w:p>
    <w:p w14:paraId="62C0E203" w14:textId="7EAF4896" w:rsidR="009B2790" w:rsidRPr="001B6752" w:rsidRDefault="002A072F" w:rsidP="009B2790">
      <w:pPr>
        <w:rPr>
          <w:color w:val="auto"/>
        </w:rPr>
      </w:pPr>
      <w:r w:rsidRPr="001B6752">
        <w:rPr>
          <w:color w:val="auto"/>
        </w:rPr>
        <w:t xml:space="preserve">This </w:t>
      </w:r>
      <w:r w:rsidR="009B2790" w:rsidRPr="001B6752">
        <w:rPr>
          <w:color w:val="auto"/>
        </w:rPr>
        <w:t>show</w:t>
      </w:r>
      <w:r w:rsidRPr="001B6752">
        <w:rPr>
          <w:color w:val="auto"/>
        </w:rPr>
        <w:t>s</w:t>
      </w:r>
      <w:r w:rsidR="009B2790" w:rsidRPr="001B6752">
        <w:rPr>
          <w:color w:val="auto"/>
        </w:rPr>
        <w:t xml:space="preserve"> the extent of the site of the facility.</w:t>
      </w:r>
    </w:p>
    <w:p w14:paraId="3779525E" w14:textId="3E9A8F1A" w:rsidR="002A072F" w:rsidRPr="001B6752" w:rsidRDefault="009B2790" w:rsidP="002A072F">
      <w:pPr>
        <w:rPr>
          <w:b/>
          <w:color w:val="auto"/>
          <w:sz w:val="26"/>
          <w:szCs w:val="26"/>
        </w:rPr>
      </w:pPr>
      <w:r w:rsidRPr="001B6752">
        <w:rPr>
          <w:color w:val="auto"/>
        </w:rPr>
        <w:t xml:space="preserve">The </w:t>
      </w:r>
      <w:r w:rsidR="00B0019B" w:rsidRPr="001B6752">
        <w:rPr>
          <w:color w:val="auto"/>
        </w:rPr>
        <w:t>plan is included in the permit.</w:t>
      </w:r>
    </w:p>
    <w:p w14:paraId="6C6E20FC" w14:textId="040A4859" w:rsidR="00123F9F" w:rsidRPr="001B6752" w:rsidRDefault="002A072F" w:rsidP="00123F9F">
      <w:pPr>
        <w:pStyle w:val="Topictitle"/>
        <w:rPr>
          <w:color w:val="auto"/>
        </w:rPr>
      </w:pPr>
      <w:r w:rsidRPr="001B6752">
        <w:rPr>
          <w:color w:val="auto"/>
        </w:rPr>
        <w:t>Waste management plan</w:t>
      </w:r>
    </w:p>
    <w:p w14:paraId="0D004D75" w14:textId="38872D07" w:rsidR="003502E3" w:rsidRPr="001B6752" w:rsidRDefault="00123F9F" w:rsidP="002A072F">
      <w:pPr>
        <w:rPr>
          <w:color w:val="auto"/>
        </w:rPr>
      </w:pPr>
      <w:r w:rsidRPr="001B6752">
        <w:rPr>
          <w:color w:val="auto"/>
        </w:rPr>
        <w:t>The operator has provided a waste management plan whi</w:t>
      </w:r>
      <w:r w:rsidR="00954DAC" w:rsidRPr="001B6752">
        <w:rPr>
          <w:color w:val="auto"/>
        </w:rPr>
        <w:t>ch we consider is satisfactory.</w:t>
      </w:r>
    </w:p>
    <w:p w14:paraId="1A727D8C" w14:textId="77777777" w:rsidR="003502E3" w:rsidRDefault="003502E3" w:rsidP="003502E3">
      <w:pPr>
        <w:pStyle w:val="Topictitle"/>
      </w:pPr>
      <w:r>
        <w:lastRenderedPageBreak/>
        <w:t>Nature conservation, landscape, heritage and protected species and habitat designations</w:t>
      </w:r>
    </w:p>
    <w:p w14:paraId="35472BB7" w14:textId="74483E6F" w:rsidR="003502E3" w:rsidRPr="001B6752" w:rsidRDefault="003502E3" w:rsidP="003502E3">
      <w:pPr>
        <w:rPr>
          <w:color w:val="auto"/>
        </w:rPr>
      </w:pPr>
      <w:r>
        <w:t>W</w:t>
      </w:r>
      <w:r w:rsidRPr="001B6752">
        <w:rPr>
          <w:color w:val="auto"/>
        </w:rPr>
        <w:t>e have checked the location of the application to assess if it is within the screening distances we consider relevant for impacts on nature conservation, landscape, heritage and protected species and habitat de</w:t>
      </w:r>
      <w:r w:rsidR="00016979" w:rsidRPr="001B6752">
        <w:rPr>
          <w:color w:val="auto"/>
        </w:rPr>
        <w:t xml:space="preserve">signations. The application is </w:t>
      </w:r>
      <w:r w:rsidRPr="001B6752">
        <w:rPr>
          <w:color w:val="auto"/>
        </w:rPr>
        <w:t xml:space="preserve">within our screening distances </w:t>
      </w:r>
      <w:r w:rsidR="00283453">
        <w:rPr>
          <w:color w:val="auto"/>
        </w:rPr>
        <w:t>for the following designation:</w:t>
      </w:r>
      <w:r w:rsidRPr="001B6752">
        <w:rPr>
          <w:color w:val="auto"/>
        </w:rPr>
        <w:t xml:space="preserve"> </w:t>
      </w:r>
    </w:p>
    <w:p w14:paraId="53121B2F" w14:textId="26F86AE9" w:rsidR="008877D3" w:rsidRPr="00283453" w:rsidRDefault="008877D3" w:rsidP="00283453">
      <w:pPr>
        <w:pStyle w:val="ListParagraph"/>
        <w:numPr>
          <w:ilvl w:val="0"/>
          <w:numId w:val="15"/>
        </w:numPr>
        <w:spacing w:after="60" w:line="240" w:lineRule="auto"/>
        <w:rPr>
          <w:rFonts w:cs="Arial"/>
          <w:color w:val="auto"/>
          <w:szCs w:val="20"/>
          <w:lang w:eastAsia="en-GB"/>
        </w:rPr>
      </w:pPr>
      <w:r w:rsidRPr="00283453">
        <w:rPr>
          <w:rFonts w:cs="Arial"/>
          <w:color w:val="auto"/>
          <w:szCs w:val="20"/>
          <w:lang w:eastAsia="en-GB"/>
        </w:rPr>
        <w:t>Mol</w:t>
      </w:r>
      <w:r w:rsidR="00283453">
        <w:rPr>
          <w:rFonts w:cs="Arial"/>
          <w:color w:val="auto"/>
          <w:szCs w:val="20"/>
          <w:lang w:eastAsia="en-GB"/>
        </w:rPr>
        <w:t>e Gap to Reigate Escarpment S</w:t>
      </w:r>
      <w:r w:rsidR="001D5BBA">
        <w:rPr>
          <w:rFonts w:cs="Arial"/>
          <w:color w:val="auto"/>
          <w:szCs w:val="20"/>
          <w:lang w:eastAsia="en-GB"/>
        </w:rPr>
        <w:t xml:space="preserve">pecial </w:t>
      </w:r>
      <w:r w:rsidR="00283453">
        <w:rPr>
          <w:rFonts w:cs="Arial"/>
          <w:color w:val="auto"/>
          <w:szCs w:val="20"/>
          <w:lang w:eastAsia="en-GB"/>
        </w:rPr>
        <w:t>A</w:t>
      </w:r>
      <w:r w:rsidR="001D5BBA">
        <w:rPr>
          <w:rFonts w:cs="Arial"/>
          <w:color w:val="auto"/>
          <w:szCs w:val="20"/>
          <w:lang w:eastAsia="en-GB"/>
        </w:rPr>
        <w:t xml:space="preserve">rea of </w:t>
      </w:r>
      <w:r w:rsidR="00283453">
        <w:rPr>
          <w:rFonts w:cs="Arial"/>
          <w:color w:val="auto"/>
          <w:szCs w:val="20"/>
          <w:lang w:eastAsia="en-GB"/>
        </w:rPr>
        <w:t>C</w:t>
      </w:r>
      <w:r w:rsidR="001D5BBA">
        <w:rPr>
          <w:rFonts w:cs="Arial"/>
          <w:color w:val="auto"/>
          <w:szCs w:val="20"/>
          <w:lang w:eastAsia="en-GB"/>
        </w:rPr>
        <w:t>onservation</w:t>
      </w:r>
      <w:r w:rsidR="00283453">
        <w:rPr>
          <w:rFonts w:cs="Arial"/>
          <w:color w:val="auto"/>
          <w:szCs w:val="20"/>
          <w:lang w:eastAsia="en-GB"/>
        </w:rPr>
        <w:t xml:space="preserve"> -</w:t>
      </w:r>
      <w:r w:rsidRPr="00283453">
        <w:rPr>
          <w:rFonts w:cs="Arial"/>
          <w:color w:val="auto"/>
          <w:szCs w:val="20"/>
          <w:lang w:eastAsia="en-GB"/>
        </w:rPr>
        <w:t xml:space="preserve"> 2.5km north of the site.</w:t>
      </w:r>
    </w:p>
    <w:p w14:paraId="057DA941" w14:textId="77777777" w:rsidR="008877D3" w:rsidRPr="001B6752" w:rsidRDefault="008877D3" w:rsidP="008877D3">
      <w:pPr>
        <w:spacing w:after="60" w:line="240" w:lineRule="auto"/>
        <w:rPr>
          <w:rFonts w:cs="Arial"/>
          <w:color w:val="auto"/>
          <w:szCs w:val="20"/>
          <w:lang w:eastAsia="en-GB"/>
        </w:rPr>
      </w:pPr>
    </w:p>
    <w:p w14:paraId="5AA05C8B" w14:textId="5B079BA6" w:rsidR="003502E3" w:rsidRPr="001B6752" w:rsidRDefault="003502E3" w:rsidP="003502E3">
      <w:pPr>
        <w:rPr>
          <w:color w:val="auto"/>
        </w:rPr>
      </w:pPr>
      <w:r w:rsidRPr="001B6752">
        <w:rPr>
          <w:color w:val="auto"/>
        </w:rPr>
        <w:t>We have assessed the application and its potential to affect sites of nature conservation, landscape, heritage and protected species and habitat designations identified in the nature conservation screening report as part of the permitting process.</w:t>
      </w:r>
      <w:r w:rsidR="00A17D29" w:rsidRPr="001B6752">
        <w:rPr>
          <w:b/>
          <w:color w:val="auto"/>
          <w:sz w:val="26"/>
          <w:szCs w:val="26"/>
        </w:rPr>
        <w:t xml:space="preserve"> </w:t>
      </w:r>
    </w:p>
    <w:p w14:paraId="550B2A85" w14:textId="4D09DF45" w:rsidR="003502E3" w:rsidRPr="001B6752" w:rsidRDefault="003502E3" w:rsidP="003502E3">
      <w:pPr>
        <w:rPr>
          <w:color w:val="auto"/>
        </w:rPr>
      </w:pPr>
      <w:r w:rsidRPr="001B6752">
        <w:rPr>
          <w:color w:val="auto"/>
        </w:rPr>
        <w:t xml:space="preserve">We consider that the application will not affect any site of nature conservation, landscape and heritage, and/or protected </w:t>
      </w:r>
      <w:r w:rsidR="00A17D29" w:rsidRPr="001B6752">
        <w:rPr>
          <w:color w:val="auto"/>
        </w:rPr>
        <w:t>species or habitats identified.</w:t>
      </w:r>
    </w:p>
    <w:p w14:paraId="59EA30DE" w14:textId="29CCFEB9" w:rsidR="008810BD" w:rsidRPr="001B6752" w:rsidRDefault="008810BD" w:rsidP="003502E3">
      <w:pPr>
        <w:rPr>
          <w:color w:val="auto"/>
        </w:rPr>
      </w:pPr>
      <w:r w:rsidRPr="001B6752">
        <w:rPr>
          <w:color w:val="auto"/>
        </w:rPr>
        <w:t xml:space="preserve">There are no changes to point source emissions to air, sewer or water as a result of the variation. </w:t>
      </w:r>
    </w:p>
    <w:p w14:paraId="2BB61252" w14:textId="66C9BED6" w:rsidR="003502E3" w:rsidRPr="001B6752" w:rsidRDefault="003502E3" w:rsidP="003502E3">
      <w:pPr>
        <w:rPr>
          <w:color w:val="auto"/>
        </w:rPr>
      </w:pPr>
      <w:r w:rsidRPr="001B6752">
        <w:rPr>
          <w:color w:val="auto"/>
        </w:rPr>
        <w:t>We have not consulted Natural England</w:t>
      </w:r>
      <w:r w:rsidR="00054897" w:rsidRPr="001B6752">
        <w:rPr>
          <w:color w:val="auto"/>
        </w:rPr>
        <w:t>.</w:t>
      </w:r>
    </w:p>
    <w:p w14:paraId="2FA8566A" w14:textId="6DC081AF" w:rsidR="007E16DC" w:rsidRPr="001B6752" w:rsidRDefault="003502E3" w:rsidP="003502E3">
      <w:pPr>
        <w:rPr>
          <w:color w:val="auto"/>
        </w:rPr>
      </w:pPr>
      <w:r w:rsidRPr="001B6752">
        <w:rPr>
          <w:color w:val="auto"/>
        </w:rPr>
        <w:t>The decision was taken i</w:t>
      </w:r>
      <w:r w:rsidR="008877D3" w:rsidRPr="001B6752">
        <w:rPr>
          <w:color w:val="auto"/>
        </w:rPr>
        <w:t>n accordance with our guidance.</w:t>
      </w:r>
    </w:p>
    <w:p w14:paraId="668F90BE" w14:textId="7CD225CA" w:rsidR="007E16DC" w:rsidRPr="001B6752" w:rsidRDefault="008810BD" w:rsidP="007E16DC">
      <w:pPr>
        <w:pStyle w:val="Topictitle"/>
        <w:rPr>
          <w:color w:val="auto"/>
        </w:rPr>
      </w:pPr>
      <w:r w:rsidRPr="001B6752">
        <w:rPr>
          <w:color w:val="auto"/>
        </w:rPr>
        <w:t>Environmental risk</w:t>
      </w:r>
    </w:p>
    <w:p w14:paraId="13CB9744" w14:textId="3F0E7468" w:rsidR="008810BD" w:rsidRPr="001B6752" w:rsidRDefault="007E16DC" w:rsidP="008810BD">
      <w:pPr>
        <w:rPr>
          <w:color w:val="auto"/>
        </w:rPr>
      </w:pPr>
      <w:r w:rsidRPr="001B6752">
        <w:rPr>
          <w:color w:val="auto"/>
        </w:rPr>
        <w:t>We have reviewed the operator's assessment of the enviro</w:t>
      </w:r>
      <w:r w:rsidR="00961163" w:rsidRPr="001B6752">
        <w:rPr>
          <w:color w:val="auto"/>
        </w:rPr>
        <w:t>nmental risk from the facility.</w:t>
      </w:r>
      <w:r w:rsidR="008810BD" w:rsidRPr="001B6752">
        <w:rPr>
          <w:color w:val="auto"/>
        </w:rPr>
        <w:t xml:space="preserve"> </w:t>
      </w:r>
    </w:p>
    <w:p w14:paraId="59DEE166" w14:textId="28947DBE" w:rsidR="007E16DC" w:rsidRDefault="007E16DC" w:rsidP="007E16DC">
      <w:pPr>
        <w:rPr>
          <w:color w:val="auto"/>
        </w:rPr>
      </w:pPr>
      <w:r w:rsidRPr="001B6752">
        <w:rPr>
          <w:color w:val="auto"/>
        </w:rPr>
        <w:t>The operator’s r</w:t>
      </w:r>
      <w:r w:rsidR="00961163" w:rsidRPr="001B6752">
        <w:rPr>
          <w:color w:val="auto"/>
        </w:rPr>
        <w:t>isk assessment is satisfactory.</w:t>
      </w:r>
    </w:p>
    <w:p w14:paraId="3660B931" w14:textId="0F88342F" w:rsidR="00D71CEF" w:rsidRPr="001B6752" w:rsidRDefault="00D71CEF" w:rsidP="00D71CEF">
      <w:pPr>
        <w:pStyle w:val="Topictitle"/>
        <w:rPr>
          <w:color w:val="auto"/>
        </w:rPr>
      </w:pPr>
      <w:r>
        <w:rPr>
          <w:color w:val="auto"/>
        </w:rPr>
        <w:t>O</w:t>
      </w:r>
      <w:r w:rsidRPr="001B6752">
        <w:rPr>
          <w:color w:val="auto"/>
        </w:rPr>
        <w:t>perating techniques</w:t>
      </w:r>
    </w:p>
    <w:p w14:paraId="2AE33E8F" w14:textId="77777777" w:rsidR="00D71CEF" w:rsidRPr="00FE04D6" w:rsidRDefault="00D71CEF" w:rsidP="00D71CEF">
      <w:pPr>
        <w:rPr>
          <w:color w:val="auto"/>
        </w:rPr>
      </w:pPr>
      <w:r w:rsidRPr="00FE04D6">
        <w:rPr>
          <w:color w:val="auto"/>
        </w:rPr>
        <w:t>The operating techniques that the applicant must use are specified in table S1.2 in the environmental permit.</w:t>
      </w:r>
    </w:p>
    <w:p w14:paraId="286FB246" w14:textId="59FD7DA2" w:rsidR="006F2B26" w:rsidRPr="001B6752" w:rsidRDefault="00DC7CB3" w:rsidP="006F2B26">
      <w:pPr>
        <w:pStyle w:val="Topictitle"/>
        <w:rPr>
          <w:color w:val="auto"/>
        </w:rPr>
      </w:pPr>
      <w:r w:rsidRPr="001B6752">
        <w:rPr>
          <w:color w:val="auto"/>
        </w:rPr>
        <w:t>Ge</w:t>
      </w:r>
      <w:r w:rsidR="00C5456F" w:rsidRPr="001B6752">
        <w:rPr>
          <w:color w:val="auto"/>
        </w:rPr>
        <w:t>neral operating techniques</w:t>
      </w:r>
    </w:p>
    <w:p w14:paraId="60129C41" w14:textId="0BED6EE1" w:rsidR="006F2B26" w:rsidRPr="001B6752" w:rsidRDefault="006F2B26" w:rsidP="009A44CF">
      <w:pPr>
        <w:rPr>
          <w:color w:val="auto"/>
        </w:rPr>
      </w:pPr>
      <w:r w:rsidRPr="001B6752">
        <w:rPr>
          <w:color w:val="auto"/>
        </w:rPr>
        <w:t>We have reviewed the techniques used by the operator and compared these with the relevant guidance notes and we consider them to represent appropriat</w:t>
      </w:r>
      <w:r w:rsidR="00DC7CB3" w:rsidRPr="001B6752">
        <w:rPr>
          <w:color w:val="auto"/>
        </w:rPr>
        <w:t>e techniques for the facility.</w:t>
      </w:r>
    </w:p>
    <w:p w14:paraId="61EC3381" w14:textId="570841BA" w:rsidR="00205E33" w:rsidRPr="00FE04D6" w:rsidRDefault="005B3F5A" w:rsidP="00205E33">
      <w:pPr>
        <w:pStyle w:val="Topictitle"/>
        <w:rPr>
          <w:color w:val="auto"/>
        </w:rPr>
      </w:pPr>
      <w:r w:rsidRPr="00FE04D6">
        <w:rPr>
          <w:color w:val="auto"/>
        </w:rPr>
        <w:lastRenderedPageBreak/>
        <w:t>Emission limits</w:t>
      </w:r>
    </w:p>
    <w:p w14:paraId="6D7FD56D" w14:textId="1B6E0E7B" w:rsidR="001B6752" w:rsidRPr="00FE04D6" w:rsidRDefault="00205E33" w:rsidP="001B6752">
      <w:pPr>
        <w:rPr>
          <w:color w:val="auto"/>
        </w:rPr>
      </w:pPr>
      <w:r w:rsidRPr="00FE04D6">
        <w:rPr>
          <w:color w:val="auto"/>
        </w:rPr>
        <w:t xml:space="preserve">Emissions limits have been </w:t>
      </w:r>
      <w:r w:rsidR="00CF5938" w:rsidRPr="00FE04D6">
        <w:rPr>
          <w:color w:val="auto"/>
        </w:rPr>
        <w:t xml:space="preserve">added </w:t>
      </w:r>
      <w:r w:rsidR="001B6752" w:rsidRPr="00FE04D6">
        <w:rPr>
          <w:color w:val="auto"/>
        </w:rPr>
        <w:t>to table S3.2 for the discharge, W2, to groun</w:t>
      </w:r>
      <w:r w:rsidR="00D52CFB">
        <w:rPr>
          <w:color w:val="auto"/>
        </w:rPr>
        <w:t>dwater as a result of activity</w:t>
      </w:r>
      <w:r w:rsidR="001B6752" w:rsidRPr="00FE04D6">
        <w:rPr>
          <w:color w:val="auto"/>
        </w:rPr>
        <w:t xml:space="preserve"> AR11</w:t>
      </w:r>
      <w:r w:rsidR="00D52CFB">
        <w:rPr>
          <w:color w:val="auto"/>
        </w:rPr>
        <w:t>.</w:t>
      </w:r>
    </w:p>
    <w:p w14:paraId="36A4E5DF" w14:textId="398CA104" w:rsidR="00205E33" w:rsidRPr="00FE04D6" w:rsidRDefault="00205E33" w:rsidP="001B6752">
      <w:pPr>
        <w:rPr>
          <w:color w:val="auto"/>
        </w:rPr>
      </w:pPr>
      <w:r w:rsidRPr="00FE04D6">
        <w:rPr>
          <w:color w:val="auto"/>
        </w:rPr>
        <w:t xml:space="preserve">We have </w:t>
      </w:r>
      <w:r w:rsidR="001B6752" w:rsidRPr="00FE04D6">
        <w:rPr>
          <w:color w:val="auto"/>
        </w:rPr>
        <w:t>included these limits based on the information provided in the Supplementary H</w:t>
      </w:r>
      <w:r w:rsidR="004D0C02">
        <w:rPr>
          <w:color w:val="auto"/>
        </w:rPr>
        <w:t>RA.</w:t>
      </w:r>
      <w:r w:rsidR="001B6752" w:rsidRPr="00FE04D6">
        <w:rPr>
          <w:color w:val="auto"/>
        </w:rPr>
        <w:t xml:space="preserve"> </w:t>
      </w:r>
    </w:p>
    <w:p w14:paraId="7B5DC713" w14:textId="6A9F65A8" w:rsidR="00C91741" w:rsidRPr="00FE04D6" w:rsidRDefault="005B3F5A" w:rsidP="00C91741">
      <w:pPr>
        <w:pStyle w:val="Topictitle"/>
        <w:rPr>
          <w:color w:val="auto"/>
        </w:rPr>
      </w:pPr>
      <w:r w:rsidRPr="00FE04D6">
        <w:rPr>
          <w:color w:val="auto"/>
        </w:rPr>
        <w:t>Monitoring</w:t>
      </w:r>
    </w:p>
    <w:p w14:paraId="4220D293" w14:textId="1C4146E2" w:rsidR="00FE04D6" w:rsidRPr="00FE04D6" w:rsidRDefault="0087382E" w:rsidP="0087382E">
      <w:pPr>
        <w:rPr>
          <w:rFonts w:eastAsia="Arial" w:cs="Arial"/>
          <w:color w:val="auto"/>
        </w:rPr>
      </w:pPr>
      <w:r w:rsidRPr="00FE04D6">
        <w:rPr>
          <w:rFonts w:eastAsia="Arial" w:cs="Arial"/>
          <w:color w:val="auto"/>
        </w:rPr>
        <w:t>We have added</w:t>
      </w:r>
      <w:r w:rsidR="00FE04D6" w:rsidRPr="00FE04D6">
        <w:rPr>
          <w:rFonts w:eastAsia="Arial" w:cs="Arial"/>
          <w:color w:val="auto"/>
        </w:rPr>
        <w:t xml:space="preserve"> the following</w:t>
      </w:r>
      <w:r w:rsidRPr="00FE04D6">
        <w:rPr>
          <w:rFonts w:eastAsia="Arial" w:cs="Arial"/>
          <w:color w:val="auto"/>
        </w:rPr>
        <w:t xml:space="preserve"> monitoring</w:t>
      </w:r>
      <w:r w:rsidR="00FE04D6" w:rsidRPr="00FE04D6">
        <w:rPr>
          <w:rFonts w:eastAsia="Arial" w:cs="Arial"/>
          <w:color w:val="auto"/>
        </w:rPr>
        <w:t xml:space="preserve"> parameters:</w:t>
      </w:r>
    </w:p>
    <w:p w14:paraId="1EFC2C0D" w14:textId="2F6FB4A6" w:rsidR="00FE04D6" w:rsidRPr="00FE04D6" w:rsidRDefault="0087382E" w:rsidP="00FE04D6">
      <w:pPr>
        <w:pStyle w:val="ListParagraph"/>
        <w:numPr>
          <w:ilvl w:val="0"/>
          <w:numId w:val="15"/>
        </w:numPr>
        <w:rPr>
          <w:color w:val="auto"/>
        </w:rPr>
      </w:pPr>
      <w:r w:rsidRPr="00FE04D6">
        <w:rPr>
          <w:rFonts w:eastAsia="Arial" w:cs="Arial"/>
          <w:color w:val="auto"/>
        </w:rPr>
        <w:t xml:space="preserve">rate and volume of produced water </w:t>
      </w:r>
      <w:r w:rsidR="00A47BF2">
        <w:rPr>
          <w:rFonts w:eastAsia="Arial" w:cs="Arial"/>
          <w:color w:val="auto"/>
        </w:rPr>
        <w:t>re-injec</w:t>
      </w:r>
      <w:r w:rsidRPr="00FE04D6">
        <w:rPr>
          <w:rFonts w:eastAsia="Arial" w:cs="Arial"/>
          <w:color w:val="auto"/>
        </w:rPr>
        <w:t xml:space="preserve">ted </w:t>
      </w:r>
      <w:r w:rsidR="00FE04D6" w:rsidRPr="00FE04D6">
        <w:rPr>
          <w:rFonts w:eastAsia="Arial" w:cs="Arial"/>
          <w:color w:val="auto"/>
        </w:rPr>
        <w:t>via W2 (BRX3)</w:t>
      </w:r>
    </w:p>
    <w:p w14:paraId="34915F76" w14:textId="145A1ED9" w:rsidR="00C91741" w:rsidRPr="00FE04D6" w:rsidRDefault="0087382E" w:rsidP="00FE04D6">
      <w:pPr>
        <w:pStyle w:val="ListParagraph"/>
        <w:numPr>
          <w:ilvl w:val="0"/>
          <w:numId w:val="15"/>
        </w:numPr>
        <w:rPr>
          <w:color w:val="auto"/>
        </w:rPr>
      </w:pPr>
      <w:r w:rsidRPr="00FE04D6">
        <w:rPr>
          <w:rFonts w:eastAsia="Arial" w:cs="Arial"/>
          <w:color w:val="auto"/>
        </w:rPr>
        <w:t xml:space="preserve">concentrations and volumes of chemicals added to the produced water prior to </w:t>
      </w:r>
      <w:r w:rsidR="00A47BF2">
        <w:rPr>
          <w:rFonts w:eastAsia="Arial" w:cs="Arial"/>
          <w:color w:val="auto"/>
        </w:rPr>
        <w:t>re-injec</w:t>
      </w:r>
      <w:r w:rsidRPr="00FE04D6">
        <w:rPr>
          <w:rFonts w:eastAsia="Arial" w:cs="Arial"/>
          <w:color w:val="auto"/>
        </w:rPr>
        <w:t>tion</w:t>
      </w:r>
      <w:r w:rsidR="00FE04D6" w:rsidRPr="00FE04D6">
        <w:rPr>
          <w:rFonts w:eastAsia="Arial" w:cs="Arial"/>
          <w:color w:val="auto"/>
        </w:rPr>
        <w:t xml:space="preserve"> via W2 (BRX3)</w:t>
      </w:r>
      <w:r w:rsidRPr="00FE04D6">
        <w:rPr>
          <w:rFonts w:eastAsia="Arial" w:cs="Arial"/>
          <w:color w:val="auto"/>
        </w:rPr>
        <w:t xml:space="preserve">. </w:t>
      </w:r>
    </w:p>
    <w:p w14:paraId="7FD7B30B" w14:textId="77777777" w:rsidR="00FE04D6" w:rsidRPr="00FE04D6" w:rsidRDefault="00FE04D6" w:rsidP="00FE04D6">
      <w:pPr>
        <w:pStyle w:val="ListParagraph"/>
        <w:numPr>
          <w:ilvl w:val="0"/>
          <w:numId w:val="0"/>
        </w:numPr>
        <w:ind w:left="720"/>
        <w:rPr>
          <w:color w:val="auto"/>
        </w:rPr>
      </w:pPr>
    </w:p>
    <w:p w14:paraId="4807F9B9" w14:textId="49BB219F" w:rsidR="00C91741" w:rsidRPr="00FE04D6" w:rsidRDefault="00C91741" w:rsidP="00202495">
      <w:pPr>
        <w:rPr>
          <w:color w:val="auto"/>
        </w:rPr>
      </w:pPr>
      <w:r w:rsidRPr="00FE04D6">
        <w:rPr>
          <w:color w:val="auto"/>
        </w:rPr>
        <w:t>We made these decisions in accordance with</w:t>
      </w:r>
      <w:r w:rsidR="00FE04D6" w:rsidRPr="00FE04D6">
        <w:rPr>
          <w:color w:val="auto"/>
        </w:rPr>
        <w:t xml:space="preserve"> the requirements of our Onshore Oil and Gas Sector Guidance and the Groundwater Directive.</w:t>
      </w:r>
    </w:p>
    <w:p w14:paraId="276E68AD" w14:textId="1571AEB6" w:rsidR="00202495" w:rsidRPr="00FE04D6" w:rsidRDefault="00C91741" w:rsidP="0087382E">
      <w:pPr>
        <w:rPr>
          <w:color w:val="auto"/>
        </w:rPr>
      </w:pPr>
      <w:r w:rsidRPr="00FE04D6">
        <w:rPr>
          <w:color w:val="auto"/>
        </w:rPr>
        <w:t>Based on the inform</w:t>
      </w:r>
      <w:r w:rsidR="0087382E" w:rsidRPr="00FE04D6">
        <w:rPr>
          <w:color w:val="auto"/>
        </w:rPr>
        <w:t>ation in the application we are</w:t>
      </w:r>
      <w:r w:rsidRPr="00FE04D6">
        <w:rPr>
          <w:color w:val="auto"/>
        </w:rPr>
        <w:t xml:space="preserve"> satisfied that the operator’s techniques, personnel and equipment have either MCERTS certification or MCERT</w:t>
      </w:r>
      <w:r w:rsidR="005150F6" w:rsidRPr="00FE04D6">
        <w:rPr>
          <w:color w:val="auto"/>
        </w:rPr>
        <w:t>S accreditation as appropriate.</w:t>
      </w:r>
    </w:p>
    <w:p w14:paraId="2B53AE11" w14:textId="3EC4EC3C" w:rsidR="00915AEE" w:rsidRPr="00FE04D6" w:rsidRDefault="00FE04D6" w:rsidP="00915AEE">
      <w:pPr>
        <w:pStyle w:val="Topictitle"/>
        <w:rPr>
          <w:color w:val="auto"/>
        </w:rPr>
      </w:pPr>
      <w:r w:rsidRPr="00FE04D6">
        <w:rPr>
          <w:color w:val="auto"/>
        </w:rPr>
        <w:t>Reporting</w:t>
      </w:r>
    </w:p>
    <w:p w14:paraId="54A5D1A3" w14:textId="2F4C2C70" w:rsidR="00915AEE" w:rsidRPr="00FE04D6" w:rsidRDefault="00915AEE" w:rsidP="00915AEE">
      <w:pPr>
        <w:rPr>
          <w:b/>
          <w:color w:val="auto"/>
          <w:sz w:val="26"/>
          <w:szCs w:val="26"/>
        </w:rPr>
      </w:pPr>
      <w:r w:rsidRPr="00FE04D6">
        <w:rPr>
          <w:color w:val="auto"/>
        </w:rPr>
        <w:t xml:space="preserve">We have </w:t>
      </w:r>
      <w:r w:rsidR="00FE04D6" w:rsidRPr="00FE04D6">
        <w:rPr>
          <w:color w:val="auto"/>
        </w:rPr>
        <w:t xml:space="preserve">added </w:t>
      </w:r>
      <w:r w:rsidRPr="00FE04D6">
        <w:rPr>
          <w:color w:val="auto"/>
        </w:rPr>
        <w:t>reporting in the permi</w:t>
      </w:r>
      <w:r w:rsidR="00091518" w:rsidRPr="00FE04D6">
        <w:rPr>
          <w:color w:val="auto"/>
        </w:rPr>
        <w:t>t for the following parameters:</w:t>
      </w:r>
    </w:p>
    <w:p w14:paraId="0A19A24F" w14:textId="184CF0E3" w:rsidR="00FE04D6" w:rsidRPr="00FE04D6" w:rsidRDefault="00FE04D6" w:rsidP="00FE04D6">
      <w:pPr>
        <w:pStyle w:val="ListParagraph"/>
        <w:numPr>
          <w:ilvl w:val="0"/>
          <w:numId w:val="15"/>
        </w:numPr>
        <w:rPr>
          <w:color w:val="auto"/>
        </w:rPr>
      </w:pPr>
      <w:r w:rsidRPr="00FE04D6">
        <w:rPr>
          <w:rFonts w:eastAsia="Arial" w:cs="Arial"/>
          <w:color w:val="auto"/>
        </w:rPr>
        <w:t xml:space="preserve">rate and volume of produced water </w:t>
      </w:r>
      <w:r w:rsidR="00A47BF2">
        <w:rPr>
          <w:rFonts w:eastAsia="Arial" w:cs="Arial"/>
          <w:color w:val="auto"/>
        </w:rPr>
        <w:t>re-injec</w:t>
      </w:r>
      <w:r w:rsidRPr="00FE04D6">
        <w:rPr>
          <w:rFonts w:eastAsia="Arial" w:cs="Arial"/>
          <w:color w:val="auto"/>
        </w:rPr>
        <w:t>ted via W2 (BRX3)</w:t>
      </w:r>
    </w:p>
    <w:p w14:paraId="16EF82F3" w14:textId="5EC5F95F" w:rsidR="00FE04D6" w:rsidRPr="00FE04D6" w:rsidRDefault="00FE04D6" w:rsidP="00915AEE">
      <w:pPr>
        <w:pStyle w:val="ListParagraph"/>
        <w:numPr>
          <w:ilvl w:val="0"/>
          <w:numId w:val="15"/>
        </w:numPr>
        <w:rPr>
          <w:color w:val="auto"/>
        </w:rPr>
      </w:pPr>
      <w:r w:rsidRPr="00FE04D6">
        <w:rPr>
          <w:rFonts w:eastAsia="Arial" w:cs="Arial"/>
          <w:color w:val="auto"/>
        </w:rPr>
        <w:t xml:space="preserve">concentrations and volumes of chemicals added to the produced water prior to </w:t>
      </w:r>
      <w:r w:rsidR="00A47BF2">
        <w:rPr>
          <w:rFonts w:eastAsia="Arial" w:cs="Arial"/>
          <w:color w:val="auto"/>
        </w:rPr>
        <w:t>re-injec</w:t>
      </w:r>
      <w:r w:rsidRPr="00FE04D6">
        <w:rPr>
          <w:rFonts w:eastAsia="Arial" w:cs="Arial"/>
          <w:color w:val="auto"/>
        </w:rPr>
        <w:t xml:space="preserve">tion via W2 (BRX3). </w:t>
      </w:r>
    </w:p>
    <w:p w14:paraId="23A795A9" w14:textId="77777777" w:rsidR="00FE04D6" w:rsidRPr="00FE04D6" w:rsidRDefault="00FE04D6" w:rsidP="00FE04D6">
      <w:pPr>
        <w:pStyle w:val="ListParagraph"/>
        <w:numPr>
          <w:ilvl w:val="0"/>
          <w:numId w:val="0"/>
        </w:numPr>
        <w:ind w:left="720"/>
        <w:rPr>
          <w:color w:val="auto"/>
        </w:rPr>
      </w:pPr>
    </w:p>
    <w:p w14:paraId="316CDFD7" w14:textId="77777777" w:rsidR="00FE04D6" w:rsidRPr="00FE04D6" w:rsidRDefault="00FE04D6" w:rsidP="00FE04D6">
      <w:pPr>
        <w:rPr>
          <w:color w:val="auto"/>
        </w:rPr>
      </w:pPr>
      <w:r w:rsidRPr="00FE04D6">
        <w:rPr>
          <w:color w:val="auto"/>
        </w:rPr>
        <w:t>We made these decisions in accordance with the requirements of our Onshore Oil and Gas Sector Guidance and the Groundwater Directive.</w:t>
      </w:r>
    </w:p>
    <w:p w14:paraId="6FD76AED" w14:textId="696122BC" w:rsidR="00484B55" w:rsidRPr="00FE04D6" w:rsidRDefault="00FE04D6" w:rsidP="00484B55">
      <w:pPr>
        <w:pStyle w:val="Topictitle"/>
        <w:rPr>
          <w:color w:val="auto"/>
        </w:rPr>
      </w:pPr>
      <w:r w:rsidRPr="00FE04D6">
        <w:rPr>
          <w:color w:val="auto"/>
        </w:rPr>
        <w:t>Management system</w:t>
      </w:r>
    </w:p>
    <w:p w14:paraId="1C9B01D5" w14:textId="62A2675C" w:rsidR="00484B55" w:rsidRPr="00FE04D6" w:rsidRDefault="00484B55" w:rsidP="00484B55">
      <w:pPr>
        <w:rPr>
          <w:color w:val="auto"/>
        </w:rPr>
      </w:pPr>
      <w:r w:rsidRPr="00FE04D6">
        <w:rPr>
          <w:color w:val="auto"/>
        </w:rPr>
        <w:t>We are not aware of any reason to consider that the operator will not have the management system to enable it to comply with the permit conditions.</w:t>
      </w:r>
    </w:p>
    <w:p w14:paraId="01A1FEC8" w14:textId="0B642D6F" w:rsidR="00484B55" w:rsidRPr="00FE04D6" w:rsidRDefault="00484B55" w:rsidP="00484B55">
      <w:pPr>
        <w:rPr>
          <w:color w:val="auto"/>
        </w:rPr>
      </w:pPr>
      <w:r w:rsidRPr="00FE04D6">
        <w:rPr>
          <w:color w:val="auto"/>
        </w:rPr>
        <w:t>The decision was taken in accordance with the guidance on operator competence and how to develop a management sy</w:t>
      </w:r>
      <w:r w:rsidR="00091518" w:rsidRPr="00FE04D6">
        <w:rPr>
          <w:color w:val="auto"/>
        </w:rPr>
        <w:t>stem for environmental permits.</w:t>
      </w:r>
    </w:p>
    <w:p w14:paraId="31131C90" w14:textId="1D2FBC37" w:rsidR="00484B55" w:rsidRPr="00FE04D6" w:rsidRDefault="00484B55" w:rsidP="00484B55">
      <w:pPr>
        <w:rPr>
          <w:color w:val="auto"/>
        </w:rPr>
      </w:pPr>
      <w:r w:rsidRPr="00FE04D6">
        <w:rPr>
          <w:color w:val="auto"/>
        </w:rPr>
        <w:t xml:space="preserve">We only review a summary of the management system during determination. The applicant submitted their full management system. We have therefore only reviewed the summary points. </w:t>
      </w:r>
    </w:p>
    <w:p w14:paraId="453B8240" w14:textId="4B5448FF" w:rsidR="00484B55" w:rsidRPr="00FE04D6" w:rsidRDefault="00484B55" w:rsidP="00484B55">
      <w:pPr>
        <w:rPr>
          <w:color w:val="auto"/>
        </w:rPr>
      </w:pPr>
      <w:r w:rsidRPr="00FE04D6">
        <w:rPr>
          <w:color w:val="auto"/>
        </w:rPr>
        <w:lastRenderedPageBreak/>
        <w:t>A full review of the management system is under</w:t>
      </w:r>
      <w:r w:rsidR="00091518" w:rsidRPr="00FE04D6">
        <w:rPr>
          <w:color w:val="auto"/>
        </w:rPr>
        <w:t>taken during compliance checks.</w:t>
      </w:r>
    </w:p>
    <w:p w14:paraId="2D4DE199" w14:textId="430F7860" w:rsidR="00484B55" w:rsidRPr="00FE04D6" w:rsidRDefault="001246D6" w:rsidP="00484B55">
      <w:pPr>
        <w:pStyle w:val="Topictitle"/>
        <w:rPr>
          <w:color w:val="auto"/>
        </w:rPr>
      </w:pPr>
      <w:r w:rsidRPr="00FE04D6">
        <w:rPr>
          <w:color w:val="auto"/>
        </w:rPr>
        <w:t>Previous performance</w:t>
      </w:r>
    </w:p>
    <w:p w14:paraId="696B0E89" w14:textId="1AA97708" w:rsidR="00484B55" w:rsidRPr="00FE04D6" w:rsidRDefault="00484B55" w:rsidP="00484B55">
      <w:pPr>
        <w:rPr>
          <w:color w:val="auto"/>
        </w:rPr>
      </w:pPr>
      <w:r w:rsidRPr="00FE04D6">
        <w:rPr>
          <w:color w:val="auto"/>
        </w:rPr>
        <w:t>We have assessed operator competence. There is no known reason to consider the applicant will not com</w:t>
      </w:r>
      <w:r w:rsidR="008D6C1A" w:rsidRPr="00FE04D6">
        <w:rPr>
          <w:color w:val="auto"/>
        </w:rPr>
        <w:t>ply with the permit conditions.</w:t>
      </w:r>
    </w:p>
    <w:p w14:paraId="0638693A" w14:textId="0CD8F2FD" w:rsidR="00326B56" w:rsidRPr="00FE04D6" w:rsidRDefault="001246D6" w:rsidP="00326B56">
      <w:pPr>
        <w:pStyle w:val="Topictitle"/>
        <w:rPr>
          <w:color w:val="auto"/>
        </w:rPr>
      </w:pPr>
      <w:r w:rsidRPr="00FE04D6">
        <w:rPr>
          <w:color w:val="auto"/>
        </w:rPr>
        <w:t>Financial competence</w:t>
      </w:r>
    </w:p>
    <w:p w14:paraId="7F157FF0" w14:textId="0C4CB4BD" w:rsidR="00326B56" w:rsidRPr="00FE04D6" w:rsidRDefault="00326B56" w:rsidP="00326B56">
      <w:pPr>
        <w:rPr>
          <w:color w:val="auto"/>
        </w:rPr>
      </w:pPr>
      <w:r w:rsidRPr="00FE04D6">
        <w:rPr>
          <w:color w:val="auto"/>
        </w:rPr>
        <w:t>There is no known reason to consider that the operator will not be financially able to comply with the permit c</w:t>
      </w:r>
      <w:r w:rsidR="00016979" w:rsidRPr="00FE04D6">
        <w:rPr>
          <w:color w:val="auto"/>
        </w:rPr>
        <w:t>onditions.</w:t>
      </w:r>
    </w:p>
    <w:p w14:paraId="76DA28EC" w14:textId="79DA199D" w:rsidR="00326B56" w:rsidRPr="00FE04D6" w:rsidRDefault="001246D6" w:rsidP="00326B56">
      <w:pPr>
        <w:pStyle w:val="Topictitle"/>
        <w:rPr>
          <w:color w:val="auto"/>
        </w:rPr>
      </w:pPr>
      <w:r w:rsidRPr="00FE04D6">
        <w:rPr>
          <w:color w:val="auto"/>
        </w:rPr>
        <w:t>Financial provision</w:t>
      </w:r>
    </w:p>
    <w:p w14:paraId="628A381F" w14:textId="26C20F12" w:rsidR="00326B56" w:rsidRPr="00FE04D6" w:rsidRDefault="00326B56" w:rsidP="00326B56">
      <w:pPr>
        <w:rPr>
          <w:color w:val="auto"/>
        </w:rPr>
      </w:pPr>
      <w:r w:rsidRPr="00FE04D6">
        <w:rPr>
          <w:color w:val="auto"/>
        </w:rPr>
        <w:t>We are satisfied that the operator has made the necessary financia</w:t>
      </w:r>
      <w:r w:rsidR="00016979" w:rsidRPr="00FE04D6">
        <w:rPr>
          <w:color w:val="auto"/>
        </w:rPr>
        <w:t>l provision.</w:t>
      </w:r>
    </w:p>
    <w:p w14:paraId="062A7653" w14:textId="77777777" w:rsidR="00527AAD" w:rsidRPr="00FE04D6" w:rsidRDefault="00527AAD" w:rsidP="00527AAD">
      <w:pPr>
        <w:pStyle w:val="Topictitle"/>
        <w:rPr>
          <w:color w:val="auto"/>
        </w:rPr>
      </w:pPr>
      <w:r w:rsidRPr="00FE04D6">
        <w:rPr>
          <w:color w:val="auto"/>
        </w:rPr>
        <w:t>Growth duty</w:t>
      </w:r>
    </w:p>
    <w:p w14:paraId="260A10B1" w14:textId="77777777" w:rsidR="00527AAD" w:rsidRDefault="00527AAD" w:rsidP="00527AAD">
      <w:r>
        <w:t xml:space="preserve">We have considered our duty to have regard to the desirability of promoting economic growth set out in section 108(1) of the Deregulation Act 2015 and the guidance issued under section 110 of that Act in deciding whether to grant this permit variation. </w:t>
      </w:r>
    </w:p>
    <w:p w14:paraId="6B2F152A" w14:textId="77777777" w:rsidR="00527AAD" w:rsidRDefault="00527AAD" w:rsidP="00527AAD">
      <w:r>
        <w:t>Paragraph 1.3 of the guidance says:</w:t>
      </w:r>
    </w:p>
    <w:p w14:paraId="084BD550" w14:textId="77777777" w:rsidR="00527AAD" w:rsidRDefault="00527AAD" w:rsidP="00527AAD">
      <w:r>
        <w:t>“The primary role of regulators, in delivering regulation, is to achieve the regulatory outcomes for which they are responsible. For a number of regulators, these regulatory outcomes include an explicit reference to development or growth. The growth duty establishes economic growth as a factor that all specified regulators should have regard to, alongside the delivery of the protections set out in the relevant legislation.”</w:t>
      </w:r>
    </w:p>
    <w:p w14:paraId="604304A6" w14:textId="58B6C039" w:rsidR="00527AAD" w:rsidRDefault="00527AAD" w:rsidP="00527AAD">
      <w:r>
        <w:t xml:space="preserve">We have addressed the legislative requirements and environmental standards to be set for this operation in the body of the </w:t>
      </w:r>
      <w:r w:rsidR="007A7028">
        <w:t>decision document</w:t>
      </w:r>
      <w:r>
        <w:t xml:space="preserve"> above. The guidance is clear at paragraph 1.5 that the growth duty does not legitimise non-compliance and its purpose is not to achieve or pursue economic growth at the expense of necessary protections.</w:t>
      </w:r>
    </w:p>
    <w:p w14:paraId="0616430D" w14:textId="77777777" w:rsidR="00527AAD" w:rsidRDefault="00527AAD" w:rsidP="00527AAD">
      <w:r>
        <w:t>We consider the requirements and standards we have set in this permit are reasonable and necessary to avoid a risk of an unacceptable level of pollution. This also promotes growth amongst legitimate operators because the standards applied to the operator are consistent across businesses in this sector and have been set to achieve the required legislative standards.</w:t>
      </w:r>
    </w:p>
    <w:p w14:paraId="35C8B1F3" w14:textId="77777777" w:rsidR="00447A14" w:rsidRDefault="00447A14" w:rsidP="00417950">
      <w:pPr>
        <w:pStyle w:val="Sectiontitle"/>
        <w:rPr>
          <w:color w:val="auto"/>
        </w:rPr>
      </w:pPr>
      <w:bookmarkStart w:id="3" w:name="Consultation_Responses"/>
    </w:p>
    <w:bookmarkEnd w:id="3"/>
    <w:p w14:paraId="0BD6B778" w14:textId="77777777" w:rsidR="00C86C24" w:rsidRDefault="00C86C24" w:rsidP="00417950">
      <w:pPr>
        <w:rPr>
          <w:color w:val="auto"/>
        </w:rPr>
        <w:sectPr w:rsidR="00C86C24" w:rsidSect="00711CDF">
          <w:headerReference w:type="even" r:id="rId13"/>
          <w:headerReference w:type="default" r:id="rId14"/>
          <w:footerReference w:type="even" r:id="rId15"/>
          <w:footerReference w:type="default" r:id="rId16"/>
          <w:headerReference w:type="first" r:id="rId17"/>
          <w:footerReference w:type="first" r:id="rId18"/>
          <w:pgSz w:w="11906" w:h="16838"/>
          <w:pgMar w:top="1440" w:right="1841" w:bottom="1440" w:left="1418" w:header="708" w:footer="708" w:gutter="0"/>
          <w:cols w:space="708"/>
          <w:titlePg/>
          <w:docGrid w:linePitch="360"/>
        </w:sectPr>
      </w:pPr>
    </w:p>
    <w:p w14:paraId="06FC940F" w14:textId="77777777" w:rsidR="00447A14" w:rsidRPr="00EE23D7" w:rsidRDefault="00447A14" w:rsidP="00447A14">
      <w:pPr>
        <w:pStyle w:val="Sectiontitle"/>
        <w:rPr>
          <w:color w:val="auto"/>
        </w:rPr>
      </w:pPr>
      <w:r w:rsidRPr="00EE23D7">
        <w:rPr>
          <w:color w:val="auto"/>
        </w:rPr>
        <w:lastRenderedPageBreak/>
        <w:t>Consultation Responses</w:t>
      </w:r>
    </w:p>
    <w:p w14:paraId="4AA97851" w14:textId="5C693623" w:rsidR="00417950" w:rsidRPr="00AB0794" w:rsidRDefault="00417950" w:rsidP="00417950">
      <w:pPr>
        <w:rPr>
          <w:rFonts w:cs="Arial"/>
          <w:color w:val="auto"/>
        </w:rPr>
      </w:pPr>
      <w:r w:rsidRPr="00AB0794">
        <w:rPr>
          <w:rFonts w:cs="Arial"/>
          <w:color w:val="auto"/>
        </w:rPr>
        <w:t>The following summarises the responses to consult</w:t>
      </w:r>
      <w:r w:rsidR="001246D6" w:rsidRPr="00AB0794">
        <w:rPr>
          <w:rFonts w:cs="Arial"/>
          <w:color w:val="auto"/>
        </w:rPr>
        <w:t xml:space="preserve">ation with other organisations and </w:t>
      </w:r>
      <w:r w:rsidR="00CF5938" w:rsidRPr="00AB0794">
        <w:rPr>
          <w:rFonts w:cs="Arial"/>
          <w:color w:val="auto"/>
        </w:rPr>
        <w:t>our notice on GOV.UK for the public</w:t>
      </w:r>
      <w:r w:rsidR="001246D6" w:rsidRPr="00AB0794">
        <w:rPr>
          <w:rFonts w:cs="Arial"/>
          <w:color w:val="auto"/>
        </w:rPr>
        <w:t xml:space="preserve"> </w:t>
      </w:r>
      <w:r w:rsidRPr="00AB0794">
        <w:rPr>
          <w:rFonts w:cs="Arial"/>
          <w:color w:val="auto"/>
        </w:rPr>
        <w:t>and the way in which we have considered thes</w:t>
      </w:r>
      <w:r w:rsidR="00016979" w:rsidRPr="00AB0794">
        <w:rPr>
          <w:rFonts w:cs="Arial"/>
          <w:color w:val="auto"/>
        </w:rPr>
        <w:t>e in the determination process.</w:t>
      </w:r>
    </w:p>
    <w:p w14:paraId="62799DCE" w14:textId="28563963" w:rsidR="00417950" w:rsidRPr="00A31F8A" w:rsidRDefault="00417950" w:rsidP="00417950">
      <w:pPr>
        <w:pStyle w:val="Topictitle"/>
        <w:rPr>
          <w:rFonts w:cs="Arial"/>
          <w:color w:val="auto"/>
          <w:sz w:val="28"/>
          <w:szCs w:val="24"/>
        </w:rPr>
      </w:pPr>
      <w:r w:rsidRPr="00A31F8A">
        <w:rPr>
          <w:rFonts w:cs="Arial"/>
          <w:color w:val="auto"/>
          <w:sz w:val="28"/>
          <w:szCs w:val="24"/>
        </w:rPr>
        <w:t>Responses from organisations listed in the consultation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7264A6" w:rsidRPr="00AB0794" w14:paraId="7B838522" w14:textId="77777777" w:rsidTr="00ED411C">
        <w:trPr>
          <w:cantSplit/>
        </w:trPr>
        <w:tc>
          <w:tcPr>
            <w:tcW w:w="5000" w:type="pct"/>
          </w:tcPr>
          <w:p w14:paraId="156C6C4D" w14:textId="77777777" w:rsidR="007264A6" w:rsidRPr="00AB0794" w:rsidRDefault="007264A6" w:rsidP="007264A6">
            <w:pPr>
              <w:spacing w:after="0" w:line="240" w:lineRule="auto"/>
              <w:ind w:right="113"/>
              <w:rPr>
                <w:rFonts w:eastAsia="Times New Roman" w:cs="Arial"/>
                <w:b/>
                <w:color w:val="auto"/>
              </w:rPr>
            </w:pPr>
            <w:r w:rsidRPr="00AB0794">
              <w:rPr>
                <w:rFonts w:eastAsia="Times New Roman" w:cs="Arial"/>
                <w:b/>
                <w:color w:val="auto"/>
              </w:rPr>
              <w:t>Response received from</w:t>
            </w:r>
          </w:p>
        </w:tc>
      </w:tr>
      <w:tr w:rsidR="007264A6" w:rsidRPr="00AB0794" w14:paraId="6F6E5642" w14:textId="77777777" w:rsidTr="00ED411C">
        <w:trPr>
          <w:cantSplit/>
        </w:trPr>
        <w:tc>
          <w:tcPr>
            <w:tcW w:w="5000" w:type="pct"/>
          </w:tcPr>
          <w:p w14:paraId="7F976E45" w14:textId="3C7109B0" w:rsidR="007264A6" w:rsidRPr="00AB0794" w:rsidRDefault="007264A6" w:rsidP="007264A6">
            <w:pPr>
              <w:spacing w:after="0" w:line="240" w:lineRule="auto"/>
              <w:ind w:right="113"/>
              <w:rPr>
                <w:rFonts w:eastAsia="Times New Roman" w:cs="Arial"/>
                <w:color w:val="auto"/>
              </w:rPr>
            </w:pPr>
            <w:r w:rsidRPr="00AB0794">
              <w:rPr>
                <w:rFonts w:cs="Arial"/>
                <w:color w:val="auto"/>
              </w:rPr>
              <w:t xml:space="preserve">Health and Safety </w:t>
            </w:r>
            <w:r w:rsidR="008941B8">
              <w:rPr>
                <w:rFonts w:cs="Arial"/>
                <w:color w:val="auto"/>
              </w:rPr>
              <w:t>Executive</w:t>
            </w:r>
          </w:p>
        </w:tc>
      </w:tr>
      <w:tr w:rsidR="007264A6" w:rsidRPr="00AB0794" w14:paraId="72FAABDF" w14:textId="77777777" w:rsidTr="00ED411C">
        <w:trPr>
          <w:cantSplit/>
        </w:trPr>
        <w:tc>
          <w:tcPr>
            <w:tcW w:w="5000" w:type="pct"/>
          </w:tcPr>
          <w:p w14:paraId="76F0124B" w14:textId="77777777" w:rsidR="007264A6" w:rsidRPr="00AB0794" w:rsidRDefault="007264A6" w:rsidP="007264A6">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7264A6" w:rsidRPr="00AB0794" w14:paraId="4A92B559" w14:textId="77777777" w:rsidTr="00ED411C">
        <w:trPr>
          <w:cantSplit/>
        </w:trPr>
        <w:tc>
          <w:tcPr>
            <w:tcW w:w="5000" w:type="pct"/>
          </w:tcPr>
          <w:p w14:paraId="15A0881E" w14:textId="6309DB63" w:rsidR="007264A6" w:rsidRPr="00AB0794" w:rsidRDefault="007264A6" w:rsidP="007264A6">
            <w:pPr>
              <w:spacing w:after="0" w:line="240" w:lineRule="auto"/>
              <w:ind w:right="113"/>
              <w:rPr>
                <w:rFonts w:eastAsia="Times New Roman" w:cs="Arial"/>
                <w:color w:val="auto"/>
              </w:rPr>
            </w:pPr>
            <w:r w:rsidRPr="00AB0794">
              <w:rPr>
                <w:rFonts w:cs="Arial"/>
                <w:color w:val="auto"/>
              </w:rPr>
              <w:t>No objections</w:t>
            </w:r>
            <w:r w:rsidR="004D0C02" w:rsidRPr="00AB0794">
              <w:rPr>
                <w:rFonts w:cs="Arial"/>
                <w:color w:val="auto"/>
              </w:rPr>
              <w:t>.</w:t>
            </w:r>
          </w:p>
        </w:tc>
      </w:tr>
      <w:tr w:rsidR="007264A6" w:rsidRPr="00AB0794" w14:paraId="3F8D8AE3" w14:textId="77777777" w:rsidTr="00ED411C">
        <w:trPr>
          <w:cantSplit/>
        </w:trPr>
        <w:tc>
          <w:tcPr>
            <w:tcW w:w="5000" w:type="pct"/>
          </w:tcPr>
          <w:p w14:paraId="7943F7FD" w14:textId="77777777" w:rsidR="007264A6" w:rsidRPr="00AB0794" w:rsidRDefault="007264A6" w:rsidP="007264A6">
            <w:pPr>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7264A6" w:rsidRPr="00AB0794" w14:paraId="4C52B3C8" w14:textId="77777777" w:rsidTr="00ED411C">
        <w:trPr>
          <w:cantSplit/>
        </w:trPr>
        <w:tc>
          <w:tcPr>
            <w:tcW w:w="5000" w:type="pct"/>
          </w:tcPr>
          <w:p w14:paraId="3416088C" w14:textId="77777777" w:rsidR="007264A6" w:rsidRPr="00AB0794" w:rsidRDefault="007264A6" w:rsidP="007264A6">
            <w:pPr>
              <w:spacing w:after="0" w:line="240" w:lineRule="auto"/>
              <w:ind w:right="113"/>
              <w:rPr>
                <w:rFonts w:eastAsia="Times New Roman" w:cs="Arial"/>
                <w:color w:val="auto"/>
              </w:rPr>
            </w:pPr>
            <w:r w:rsidRPr="00AB0794">
              <w:rPr>
                <w:rFonts w:eastAsia="Times New Roman" w:cs="Arial"/>
                <w:color w:val="auto"/>
              </w:rPr>
              <w:t>None needed.</w:t>
            </w:r>
          </w:p>
        </w:tc>
      </w:tr>
    </w:tbl>
    <w:p w14:paraId="289FE29B" w14:textId="77777777" w:rsidR="007264A6" w:rsidRPr="00AB0794" w:rsidRDefault="007264A6" w:rsidP="00417950">
      <w:pPr>
        <w:rPr>
          <w:rFonts w:cs="Arial"/>
          <w:color w:val="auto"/>
        </w:rPr>
      </w:pPr>
    </w:p>
    <w:p w14:paraId="7F412F43" w14:textId="77777777" w:rsidR="004D0C02" w:rsidRPr="00AB0794" w:rsidRDefault="004D0C02" w:rsidP="00417950">
      <w:pPr>
        <w:rPr>
          <w:rFonts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0E4631" w:rsidRPr="00AB0794" w14:paraId="69F06660" w14:textId="77777777" w:rsidTr="00ED411C">
        <w:trPr>
          <w:cantSplit/>
        </w:trPr>
        <w:tc>
          <w:tcPr>
            <w:tcW w:w="5000" w:type="pct"/>
          </w:tcPr>
          <w:p w14:paraId="52AA4A47"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lastRenderedPageBreak/>
              <w:t>Response received from</w:t>
            </w:r>
          </w:p>
        </w:tc>
      </w:tr>
      <w:tr w:rsidR="000E4631" w:rsidRPr="00AB0794" w14:paraId="42C9773B" w14:textId="77777777" w:rsidTr="00ED411C">
        <w:trPr>
          <w:cantSplit/>
        </w:trPr>
        <w:tc>
          <w:tcPr>
            <w:tcW w:w="5000" w:type="pct"/>
          </w:tcPr>
          <w:p w14:paraId="46944FE2" w14:textId="766EC096" w:rsidR="000E4631" w:rsidRPr="00AB0794" w:rsidRDefault="000E4631" w:rsidP="00ED411C">
            <w:pPr>
              <w:spacing w:after="0" w:line="240" w:lineRule="auto"/>
              <w:ind w:right="113"/>
              <w:rPr>
                <w:rFonts w:eastAsia="Times New Roman" w:cs="Arial"/>
                <w:color w:val="auto"/>
              </w:rPr>
            </w:pPr>
            <w:r w:rsidRPr="00AB0794">
              <w:rPr>
                <w:rFonts w:cs="Arial"/>
                <w:color w:val="auto"/>
              </w:rPr>
              <w:t>Public Health England</w:t>
            </w:r>
          </w:p>
        </w:tc>
      </w:tr>
      <w:tr w:rsidR="000E4631" w:rsidRPr="00AB0794" w14:paraId="1DD8472B" w14:textId="77777777" w:rsidTr="00ED411C">
        <w:trPr>
          <w:cantSplit/>
        </w:trPr>
        <w:tc>
          <w:tcPr>
            <w:tcW w:w="5000" w:type="pct"/>
          </w:tcPr>
          <w:p w14:paraId="45EFDC03"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0E4631" w:rsidRPr="00AB0794" w14:paraId="5E758CF7" w14:textId="77777777" w:rsidTr="00ED411C">
        <w:trPr>
          <w:cantSplit/>
        </w:trPr>
        <w:tc>
          <w:tcPr>
            <w:tcW w:w="5000" w:type="pct"/>
          </w:tcPr>
          <w:p w14:paraId="02BF1C7F" w14:textId="5AC91A17" w:rsidR="004D0C02" w:rsidRPr="00AB0794" w:rsidRDefault="000E4631" w:rsidP="009326EE">
            <w:pPr>
              <w:spacing w:after="60"/>
              <w:rPr>
                <w:rFonts w:cs="Arial"/>
                <w:color w:val="auto"/>
              </w:rPr>
            </w:pPr>
            <w:r w:rsidRPr="00AB0794">
              <w:rPr>
                <w:rFonts w:cs="Arial"/>
                <w:color w:val="auto"/>
              </w:rPr>
              <w:t xml:space="preserve">PHE note that the </w:t>
            </w:r>
            <w:r w:rsidR="004D0C02" w:rsidRPr="00AB0794">
              <w:rPr>
                <w:rFonts w:cs="Arial"/>
                <w:color w:val="auto"/>
              </w:rPr>
              <w:t>HRA</w:t>
            </w:r>
            <w:r w:rsidRPr="00AB0794">
              <w:rPr>
                <w:rFonts w:cs="Arial"/>
                <w:color w:val="auto"/>
              </w:rPr>
              <w:t xml:space="preserve"> requires hydrogeological expertise and regulatory interpretation. </w:t>
            </w:r>
          </w:p>
          <w:p w14:paraId="31BA8C7B" w14:textId="78B4F10D" w:rsidR="000E4631" w:rsidRPr="00AB0794" w:rsidRDefault="000E4631" w:rsidP="009326EE">
            <w:pPr>
              <w:spacing w:after="60"/>
              <w:rPr>
                <w:rFonts w:cs="Arial"/>
                <w:color w:val="auto"/>
              </w:rPr>
            </w:pPr>
            <w:r w:rsidRPr="00AB0794">
              <w:rPr>
                <w:rFonts w:cs="Arial"/>
                <w:color w:val="auto"/>
              </w:rPr>
              <w:t xml:space="preserve">They recognise that the Environment Agency will consider the hydrogeological risks and address any issues with well integrity and that produced water </w:t>
            </w:r>
            <w:r w:rsidR="00A47BF2" w:rsidRPr="00AB0794">
              <w:rPr>
                <w:rFonts w:cs="Arial"/>
                <w:color w:val="auto"/>
              </w:rPr>
              <w:t>re-injec</w:t>
            </w:r>
            <w:r w:rsidRPr="00AB0794">
              <w:rPr>
                <w:rFonts w:cs="Arial"/>
                <w:color w:val="auto"/>
              </w:rPr>
              <w:t>tion will be subject to appropriate controls to prevent pollution of groundwater.</w:t>
            </w:r>
          </w:p>
          <w:p w14:paraId="0D2EFB90" w14:textId="4F3C25CE" w:rsidR="000E4631" w:rsidRPr="00AB0794" w:rsidRDefault="000E4631" w:rsidP="009326EE">
            <w:pPr>
              <w:spacing w:after="60"/>
              <w:rPr>
                <w:rFonts w:eastAsia="Times New Roman" w:cs="Arial"/>
                <w:color w:val="auto"/>
              </w:rPr>
            </w:pPr>
            <w:r w:rsidRPr="00AB0794">
              <w:rPr>
                <w:rFonts w:cs="Arial"/>
                <w:color w:val="auto"/>
              </w:rPr>
              <w:t xml:space="preserve">Additional points raised in relation to transportation off-site but PHE acknowledge this is a consideration of the planning permission rather than the environmental permit. </w:t>
            </w:r>
          </w:p>
        </w:tc>
      </w:tr>
      <w:tr w:rsidR="000E4631" w:rsidRPr="00AB0794" w14:paraId="4CE2631C" w14:textId="77777777" w:rsidTr="00ED411C">
        <w:trPr>
          <w:cantSplit/>
        </w:trPr>
        <w:tc>
          <w:tcPr>
            <w:tcW w:w="5000" w:type="pct"/>
          </w:tcPr>
          <w:p w14:paraId="5EADCEC6"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0E4631" w:rsidRPr="00AB0794" w14:paraId="593E94D5" w14:textId="77777777" w:rsidTr="00ED411C">
        <w:trPr>
          <w:cantSplit/>
        </w:trPr>
        <w:tc>
          <w:tcPr>
            <w:tcW w:w="5000" w:type="pct"/>
          </w:tcPr>
          <w:p w14:paraId="24011991" w14:textId="428B51A0" w:rsidR="000E4631" w:rsidRPr="00AB0794" w:rsidRDefault="000E4631" w:rsidP="007A7028">
            <w:pPr>
              <w:spacing w:after="60"/>
              <w:rPr>
                <w:rFonts w:eastAsia="Times New Roman" w:cs="Arial"/>
                <w:color w:val="auto"/>
              </w:rPr>
            </w:pPr>
            <w:r w:rsidRPr="00AB0794">
              <w:rPr>
                <w:rFonts w:cs="Arial"/>
                <w:color w:val="auto"/>
              </w:rPr>
              <w:t>We have reviewed the Supplementary H</w:t>
            </w:r>
            <w:r w:rsidR="004D0C02" w:rsidRPr="00AB0794">
              <w:rPr>
                <w:rFonts w:cs="Arial"/>
                <w:color w:val="auto"/>
              </w:rPr>
              <w:t>RA</w:t>
            </w:r>
            <w:r w:rsidRPr="00AB0794">
              <w:rPr>
                <w:rFonts w:cs="Arial"/>
                <w:color w:val="auto"/>
              </w:rPr>
              <w:t xml:space="preserve"> provided by the applicant, against our information and conceptual understanding of the location. We are satisfied that the well integrity and potential risks to groundwater have been adequately identified and addressed.</w:t>
            </w:r>
            <w:r w:rsidR="006853CE" w:rsidRPr="00AB0794">
              <w:rPr>
                <w:rFonts w:cs="Arial"/>
                <w:color w:val="auto"/>
              </w:rPr>
              <w:t xml:space="preserve"> See the key issues section of this </w:t>
            </w:r>
            <w:r w:rsidR="007A7028" w:rsidRPr="00AB0794">
              <w:rPr>
                <w:rFonts w:cs="Arial"/>
                <w:color w:val="auto"/>
              </w:rPr>
              <w:t>decision document</w:t>
            </w:r>
            <w:r w:rsidR="006853CE" w:rsidRPr="00AB0794">
              <w:rPr>
                <w:rFonts w:cs="Arial"/>
                <w:color w:val="auto"/>
              </w:rPr>
              <w:t xml:space="preserve"> for more information. </w:t>
            </w:r>
          </w:p>
        </w:tc>
      </w:tr>
    </w:tbl>
    <w:p w14:paraId="1BC794F5" w14:textId="77777777" w:rsidR="000E4631" w:rsidRPr="00AB0794" w:rsidRDefault="000E4631" w:rsidP="00417950">
      <w:pPr>
        <w:rPr>
          <w:rFonts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0E4631" w:rsidRPr="00AB0794" w14:paraId="2F4233BA" w14:textId="77777777" w:rsidTr="00ED411C">
        <w:trPr>
          <w:cantSplit/>
        </w:trPr>
        <w:tc>
          <w:tcPr>
            <w:tcW w:w="5000" w:type="pct"/>
          </w:tcPr>
          <w:p w14:paraId="45963A2A"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Response received from</w:t>
            </w:r>
          </w:p>
        </w:tc>
      </w:tr>
      <w:tr w:rsidR="000E4631" w:rsidRPr="00AB0794" w14:paraId="09C5A76D" w14:textId="77777777" w:rsidTr="00ED411C">
        <w:trPr>
          <w:cantSplit/>
        </w:trPr>
        <w:tc>
          <w:tcPr>
            <w:tcW w:w="5000" w:type="pct"/>
          </w:tcPr>
          <w:p w14:paraId="19C73194" w14:textId="1E3996A7" w:rsidR="000E4631" w:rsidRPr="00AB0794" w:rsidRDefault="000E4631" w:rsidP="00ED411C">
            <w:pPr>
              <w:spacing w:after="0" w:line="240" w:lineRule="auto"/>
              <w:ind w:right="113"/>
              <w:rPr>
                <w:rFonts w:eastAsia="Times New Roman" w:cs="Arial"/>
                <w:color w:val="auto"/>
              </w:rPr>
            </w:pPr>
            <w:r w:rsidRPr="00AB0794">
              <w:rPr>
                <w:rFonts w:cs="Arial"/>
                <w:color w:val="auto"/>
              </w:rPr>
              <w:t>Surrey Fire and Rescue Service</w:t>
            </w:r>
          </w:p>
        </w:tc>
      </w:tr>
      <w:tr w:rsidR="000E4631" w:rsidRPr="00AB0794" w14:paraId="76E87D80" w14:textId="77777777" w:rsidTr="00ED411C">
        <w:trPr>
          <w:cantSplit/>
        </w:trPr>
        <w:tc>
          <w:tcPr>
            <w:tcW w:w="5000" w:type="pct"/>
          </w:tcPr>
          <w:p w14:paraId="7EB4BDF6"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0E4631" w:rsidRPr="00AB0794" w14:paraId="7F6BB28D" w14:textId="77777777" w:rsidTr="00ED411C">
        <w:trPr>
          <w:cantSplit/>
        </w:trPr>
        <w:tc>
          <w:tcPr>
            <w:tcW w:w="5000" w:type="pct"/>
          </w:tcPr>
          <w:p w14:paraId="6FFAC78F" w14:textId="77777777" w:rsidR="004D0C02" w:rsidRPr="00AB0794" w:rsidRDefault="000E4631" w:rsidP="009326EE">
            <w:pPr>
              <w:spacing w:after="60"/>
              <w:rPr>
                <w:rFonts w:cs="Arial"/>
                <w:color w:val="auto"/>
              </w:rPr>
            </w:pPr>
            <w:r w:rsidRPr="00AB0794">
              <w:rPr>
                <w:rFonts w:cs="Arial"/>
                <w:color w:val="auto"/>
              </w:rPr>
              <w:t xml:space="preserve">No objections raised in relation to the environmental permit. </w:t>
            </w:r>
          </w:p>
          <w:p w14:paraId="50239082" w14:textId="04D4351A" w:rsidR="000E4631" w:rsidRPr="00AB0794" w:rsidRDefault="000E4631" w:rsidP="004D0C02">
            <w:pPr>
              <w:spacing w:after="60"/>
              <w:rPr>
                <w:rFonts w:eastAsia="Times New Roman" w:cs="Arial"/>
                <w:color w:val="auto"/>
              </w:rPr>
            </w:pPr>
            <w:r w:rsidRPr="00AB0794">
              <w:rPr>
                <w:rFonts w:cs="Arial"/>
                <w:color w:val="auto"/>
              </w:rPr>
              <w:t xml:space="preserve">The Fire and Rescue Service </w:t>
            </w:r>
            <w:r w:rsidR="004D0C02" w:rsidRPr="00AB0794">
              <w:rPr>
                <w:rFonts w:cs="Arial"/>
                <w:color w:val="auto"/>
              </w:rPr>
              <w:t>highlighted the</w:t>
            </w:r>
            <w:r w:rsidRPr="00AB0794">
              <w:rPr>
                <w:rFonts w:cs="Arial"/>
                <w:color w:val="auto"/>
              </w:rPr>
              <w:t xml:space="preserve"> requiremen</w:t>
            </w:r>
            <w:r w:rsidR="004D0C02" w:rsidRPr="00AB0794">
              <w:rPr>
                <w:rFonts w:cs="Arial"/>
                <w:color w:val="auto"/>
              </w:rPr>
              <w:t>t for a</w:t>
            </w:r>
            <w:r w:rsidRPr="00AB0794">
              <w:rPr>
                <w:rFonts w:cs="Arial"/>
                <w:color w:val="auto"/>
              </w:rPr>
              <w:t xml:space="preserve"> responsible person to undertake an assessment of the risks from fire to the site.</w:t>
            </w:r>
          </w:p>
        </w:tc>
      </w:tr>
      <w:tr w:rsidR="000E4631" w:rsidRPr="00AB0794" w14:paraId="606828B0" w14:textId="77777777" w:rsidTr="00ED411C">
        <w:trPr>
          <w:cantSplit/>
        </w:trPr>
        <w:tc>
          <w:tcPr>
            <w:tcW w:w="5000" w:type="pct"/>
          </w:tcPr>
          <w:p w14:paraId="61ADB791"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0E4631" w:rsidRPr="00AB0794" w14:paraId="3EE42AC7" w14:textId="77777777" w:rsidTr="00ED411C">
        <w:trPr>
          <w:cantSplit/>
        </w:trPr>
        <w:tc>
          <w:tcPr>
            <w:tcW w:w="5000" w:type="pct"/>
          </w:tcPr>
          <w:p w14:paraId="16EDE12D" w14:textId="45692806" w:rsidR="000E4631" w:rsidRPr="00AB0794" w:rsidRDefault="004D0C02" w:rsidP="007A7028">
            <w:pPr>
              <w:spacing w:after="0" w:line="240" w:lineRule="auto"/>
              <w:ind w:right="113"/>
              <w:rPr>
                <w:rFonts w:eastAsia="Times New Roman" w:cs="Arial"/>
                <w:color w:val="auto"/>
              </w:rPr>
            </w:pPr>
            <w:r w:rsidRPr="00AB0794">
              <w:rPr>
                <w:rFonts w:eastAsia="Times New Roman" w:cs="Arial"/>
                <w:color w:val="auto"/>
              </w:rPr>
              <w:lastRenderedPageBreak/>
              <w:t>The changes as a result of this variation do not change the fire risk therefore we consider this</w:t>
            </w:r>
            <w:r w:rsidR="007A7028" w:rsidRPr="00AB0794">
              <w:rPr>
                <w:rFonts w:eastAsia="Times New Roman" w:cs="Arial"/>
                <w:color w:val="auto"/>
              </w:rPr>
              <w:t xml:space="preserve"> concern not relevant to this </w:t>
            </w:r>
            <w:r w:rsidR="00771631" w:rsidRPr="00AB0794">
              <w:rPr>
                <w:rFonts w:eastAsia="Times New Roman" w:cs="Arial"/>
                <w:color w:val="auto"/>
              </w:rPr>
              <w:t>existing variation application</w:t>
            </w:r>
          </w:p>
        </w:tc>
      </w:tr>
    </w:tbl>
    <w:p w14:paraId="2A10122E" w14:textId="77777777" w:rsidR="000E4631" w:rsidRPr="00AB0794" w:rsidRDefault="000E4631" w:rsidP="00417950">
      <w:pPr>
        <w:rPr>
          <w:rFonts w:cs="Arial"/>
          <w:color w:val="auto"/>
        </w:rPr>
      </w:pPr>
    </w:p>
    <w:p w14:paraId="4772391F" w14:textId="66E5479C" w:rsidR="002F6967" w:rsidRPr="00A31F8A" w:rsidRDefault="002F6967" w:rsidP="002F6967">
      <w:pPr>
        <w:pStyle w:val="Topictitle"/>
        <w:rPr>
          <w:rFonts w:cs="Arial"/>
          <w:color w:val="auto"/>
          <w:sz w:val="28"/>
          <w:szCs w:val="24"/>
        </w:rPr>
      </w:pPr>
      <w:r w:rsidRPr="00A31F8A">
        <w:rPr>
          <w:rFonts w:cs="Arial"/>
          <w:color w:val="auto"/>
          <w:sz w:val="28"/>
          <w:szCs w:val="24"/>
        </w:rPr>
        <w:t xml:space="preserve">Representations from local MPs, assembly members, councillors and </w:t>
      </w:r>
      <w:r w:rsidR="0000700A" w:rsidRPr="00A31F8A">
        <w:rPr>
          <w:rFonts w:cs="Arial"/>
          <w:color w:val="auto"/>
          <w:sz w:val="28"/>
          <w:szCs w:val="24"/>
        </w:rPr>
        <w:t>parish/town community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0E4631" w:rsidRPr="00AB0794" w14:paraId="4B94B08D" w14:textId="77777777" w:rsidTr="00ED411C">
        <w:trPr>
          <w:cantSplit/>
        </w:trPr>
        <w:tc>
          <w:tcPr>
            <w:tcW w:w="5000" w:type="pct"/>
          </w:tcPr>
          <w:p w14:paraId="33046B49" w14:textId="77777777" w:rsidR="000E4631" w:rsidRPr="00AB0794" w:rsidRDefault="000E4631" w:rsidP="000C5069">
            <w:pPr>
              <w:keepLines/>
              <w:spacing w:after="0" w:line="240" w:lineRule="auto"/>
              <w:ind w:right="113"/>
              <w:rPr>
                <w:rFonts w:eastAsia="Times New Roman" w:cs="Arial"/>
                <w:b/>
                <w:color w:val="auto"/>
              </w:rPr>
            </w:pPr>
            <w:r w:rsidRPr="00AB0794">
              <w:rPr>
                <w:rFonts w:eastAsia="Times New Roman" w:cs="Arial"/>
                <w:b/>
                <w:color w:val="auto"/>
              </w:rPr>
              <w:t>Response received from</w:t>
            </w:r>
          </w:p>
        </w:tc>
      </w:tr>
      <w:tr w:rsidR="000E4631" w:rsidRPr="00AB0794" w14:paraId="70A2279C" w14:textId="77777777" w:rsidTr="00ED411C">
        <w:trPr>
          <w:cantSplit/>
        </w:trPr>
        <w:tc>
          <w:tcPr>
            <w:tcW w:w="5000" w:type="pct"/>
          </w:tcPr>
          <w:p w14:paraId="2245F3AE" w14:textId="2A03661B" w:rsidR="000E4631" w:rsidRPr="00AB0794" w:rsidRDefault="000E4631" w:rsidP="000C5069">
            <w:pPr>
              <w:keepLines/>
              <w:spacing w:after="0" w:line="240" w:lineRule="auto"/>
              <w:ind w:right="113"/>
              <w:rPr>
                <w:rFonts w:eastAsia="Times New Roman" w:cs="Arial"/>
                <w:color w:val="auto"/>
              </w:rPr>
            </w:pPr>
            <w:r w:rsidRPr="00AB0794">
              <w:rPr>
                <w:rFonts w:cs="Arial"/>
                <w:color w:val="auto"/>
              </w:rPr>
              <w:t>Brockham Parish Counci</w:t>
            </w:r>
            <w:r w:rsidR="004E58A1" w:rsidRPr="00AB0794">
              <w:rPr>
                <w:rFonts w:cs="Arial"/>
                <w:color w:val="auto"/>
              </w:rPr>
              <w:t>l</w:t>
            </w:r>
          </w:p>
        </w:tc>
      </w:tr>
      <w:tr w:rsidR="000E4631" w:rsidRPr="00AB0794" w14:paraId="1AA75A3C" w14:textId="77777777" w:rsidTr="00ED411C">
        <w:trPr>
          <w:cantSplit/>
        </w:trPr>
        <w:tc>
          <w:tcPr>
            <w:tcW w:w="5000" w:type="pct"/>
          </w:tcPr>
          <w:p w14:paraId="17D67DDE" w14:textId="77777777" w:rsidR="000E4631" w:rsidRPr="00AB0794" w:rsidRDefault="000E4631" w:rsidP="000C5069">
            <w:pPr>
              <w:keepLines/>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0E4631" w:rsidRPr="00AB0794" w14:paraId="4B86610F" w14:textId="77777777" w:rsidTr="00ED411C">
        <w:trPr>
          <w:cantSplit/>
        </w:trPr>
        <w:tc>
          <w:tcPr>
            <w:tcW w:w="5000" w:type="pct"/>
          </w:tcPr>
          <w:p w14:paraId="3A71F337" w14:textId="396647AD" w:rsidR="000E4631" w:rsidRPr="00AB0794" w:rsidRDefault="00217AC7" w:rsidP="009326EE">
            <w:pPr>
              <w:pStyle w:val="Default"/>
              <w:keepLines/>
              <w:spacing w:after="60" w:line="259" w:lineRule="auto"/>
              <w:rPr>
                <w:color w:val="auto"/>
              </w:rPr>
            </w:pPr>
            <w:r w:rsidRPr="00AB0794">
              <w:rPr>
                <w:color w:val="auto"/>
              </w:rPr>
              <w:t>The main concerns identified are</w:t>
            </w:r>
            <w:r w:rsidR="00094187" w:rsidRPr="00AB0794">
              <w:rPr>
                <w:color w:val="auto"/>
              </w:rPr>
              <w:t>:</w:t>
            </w:r>
          </w:p>
          <w:p w14:paraId="408C6B1C" w14:textId="28379758" w:rsidR="000E4631" w:rsidRPr="00AB0794" w:rsidRDefault="000E4631" w:rsidP="009326EE">
            <w:pPr>
              <w:pStyle w:val="Default"/>
              <w:keepLines/>
              <w:numPr>
                <w:ilvl w:val="0"/>
                <w:numId w:val="19"/>
              </w:numPr>
              <w:spacing w:after="60" w:line="259" w:lineRule="auto"/>
              <w:rPr>
                <w:color w:val="auto"/>
              </w:rPr>
            </w:pPr>
            <w:r w:rsidRPr="00AB0794">
              <w:rPr>
                <w:color w:val="auto"/>
              </w:rPr>
              <w:t xml:space="preserve">The composition of the </w:t>
            </w:r>
            <w:r w:rsidR="00A47BF2" w:rsidRPr="00AB0794">
              <w:rPr>
                <w:color w:val="auto"/>
              </w:rPr>
              <w:t>re-injec</w:t>
            </w:r>
            <w:r w:rsidRPr="00AB0794">
              <w:rPr>
                <w:color w:val="auto"/>
              </w:rPr>
              <w:t>tion waste fluid</w:t>
            </w:r>
            <w:r w:rsidR="00094187" w:rsidRPr="00AB0794">
              <w:rPr>
                <w:color w:val="auto"/>
              </w:rPr>
              <w:t xml:space="preserve"> ha</w:t>
            </w:r>
            <w:r w:rsidR="007A7028" w:rsidRPr="00AB0794">
              <w:rPr>
                <w:color w:val="auto"/>
              </w:rPr>
              <w:t>ving</w:t>
            </w:r>
            <w:r w:rsidR="00094187" w:rsidRPr="00AB0794">
              <w:rPr>
                <w:color w:val="auto"/>
              </w:rPr>
              <w:t xml:space="preserve"> the potential to introduce pollution to groundwater</w:t>
            </w:r>
            <w:r w:rsidRPr="00AB0794">
              <w:rPr>
                <w:color w:val="auto"/>
              </w:rPr>
              <w:t xml:space="preserve">. </w:t>
            </w:r>
          </w:p>
          <w:p w14:paraId="5FE8D306" w14:textId="1579E902" w:rsidR="00094187" w:rsidRPr="00AB0794" w:rsidRDefault="00094187" w:rsidP="009326EE">
            <w:pPr>
              <w:pStyle w:val="Default"/>
              <w:keepLines/>
              <w:numPr>
                <w:ilvl w:val="0"/>
                <w:numId w:val="19"/>
              </w:numPr>
              <w:spacing w:after="60" w:line="259" w:lineRule="auto"/>
              <w:rPr>
                <w:color w:val="auto"/>
              </w:rPr>
            </w:pPr>
            <w:r w:rsidRPr="00AB0794">
              <w:rPr>
                <w:color w:val="auto"/>
              </w:rPr>
              <w:t>The operator ha</w:t>
            </w:r>
            <w:r w:rsidR="007A7028" w:rsidRPr="00AB0794">
              <w:rPr>
                <w:color w:val="auto"/>
              </w:rPr>
              <w:t>ving</w:t>
            </w:r>
            <w:r w:rsidRPr="00AB0794">
              <w:rPr>
                <w:color w:val="auto"/>
              </w:rPr>
              <w:t xml:space="preserve"> a poor history of compliance with the permit conditions. </w:t>
            </w:r>
            <w:r w:rsidR="000E4631" w:rsidRPr="00AB0794">
              <w:rPr>
                <w:color w:val="auto"/>
              </w:rPr>
              <w:t xml:space="preserve"> </w:t>
            </w:r>
          </w:p>
          <w:p w14:paraId="5EF886F4" w14:textId="79FB86BF" w:rsidR="000E4631" w:rsidRPr="00AB0794" w:rsidRDefault="00094187" w:rsidP="009326EE">
            <w:pPr>
              <w:pStyle w:val="Default"/>
              <w:keepLines/>
              <w:numPr>
                <w:ilvl w:val="0"/>
                <w:numId w:val="19"/>
              </w:numPr>
              <w:spacing w:after="60" w:line="259" w:lineRule="auto"/>
              <w:rPr>
                <w:color w:val="auto"/>
              </w:rPr>
            </w:pPr>
            <w:r w:rsidRPr="00AB0794">
              <w:rPr>
                <w:color w:val="auto"/>
              </w:rPr>
              <w:t xml:space="preserve">The need for assurance that the Operator has satisfactorily completed conditions set in the previous variation to reduce the impact on the environment. </w:t>
            </w:r>
          </w:p>
          <w:p w14:paraId="25F78ECF" w14:textId="48C67DCF" w:rsidR="00A15EEC" w:rsidRPr="00AB0794" w:rsidRDefault="00A15EEC" w:rsidP="009326EE">
            <w:pPr>
              <w:pStyle w:val="Default"/>
              <w:keepLines/>
              <w:numPr>
                <w:ilvl w:val="0"/>
                <w:numId w:val="19"/>
              </w:numPr>
              <w:spacing w:after="60" w:line="259" w:lineRule="auto"/>
              <w:rPr>
                <w:rFonts w:eastAsia="Times New Roman"/>
                <w:color w:val="auto"/>
              </w:rPr>
            </w:pPr>
            <w:r w:rsidRPr="00AB0794">
              <w:rPr>
                <w:color w:val="auto"/>
              </w:rPr>
              <w:t>Whether there are there suitable procedures for m</w:t>
            </w:r>
            <w:r w:rsidR="000E4631" w:rsidRPr="00AB0794">
              <w:rPr>
                <w:color w:val="auto"/>
              </w:rPr>
              <w:t xml:space="preserve">onitoring </w:t>
            </w:r>
            <w:r w:rsidRPr="00AB0794">
              <w:rPr>
                <w:color w:val="auto"/>
              </w:rPr>
              <w:t xml:space="preserve">and recording of </w:t>
            </w:r>
            <w:r w:rsidR="00A47BF2" w:rsidRPr="00AB0794">
              <w:rPr>
                <w:color w:val="auto"/>
              </w:rPr>
              <w:t>re-injec</w:t>
            </w:r>
            <w:r w:rsidRPr="00AB0794">
              <w:rPr>
                <w:color w:val="auto"/>
              </w:rPr>
              <w:t xml:space="preserve">tion </w:t>
            </w:r>
            <w:r w:rsidR="000E4631" w:rsidRPr="00AB0794">
              <w:rPr>
                <w:color w:val="auto"/>
              </w:rPr>
              <w:t>to ensure that in the event of contamination of the water table or land, such contamination is detected early and remedia</w:t>
            </w:r>
            <w:r w:rsidRPr="00AB0794">
              <w:rPr>
                <w:color w:val="auto"/>
              </w:rPr>
              <w:t>l action undertaken immediately.</w:t>
            </w:r>
          </w:p>
          <w:p w14:paraId="213D6632" w14:textId="00A08594" w:rsidR="000E4631" w:rsidRPr="00AB0794" w:rsidRDefault="000E4631" w:rsidP="009326EE">
            <w:pPr>
              <w:pStyle w:val="Default"/>
              <w:keepLines/>
              <w:numPr>
                <w:ilvl w:val="0"/>
                <w:numId w:val="19"/>
              </w:numPr>
              <w:spacing w:after="60" w:line="259" w:lineRule="auto"/>
              <w:rPr>
                <w:rFonts w:eastAsia="Times New Roman"/>
                <w:color w:val="auto"/>
              </w:rPr>
            </w:pPr>
            <w:r w:rsidRPr="00AB0794">
              <w:rPr>
                <w:color w:val="auto"/>
              </w:rPr>
              <w:t>The</w:t>
            </w:r>
            <w:r w:rsidR="00094187" w:rsidRPr="00AB0794">
              <w:rPr>
                <w:color w:val="auto"/>
              </w:rPr>
              <w:t xml:space="preserve"> potential for seismic activity as a result of re-injection. </w:t>
            </w:r>
            <w:r w:rsidRPr="00AB0794">
              <w:rPr>
                <w:color w:val="auto"/>
              </w:rPr>
              <w:t xml:space="preserve"> </w:t>
            </w:r>
          </w:p>
        </w:tc>
      </w:tr>
      <w:tr w:rsidR="000E4631" w:rsidRPr="00AB0794" w14:paraId="0D4113E1" w14:textId="77777777" w:rsidTr="00ED411C">
        <w:trPr>
          <w:cantSplit/>
        </w:trPr>
        <w:tc>
          <w:tcPr>
            <w:tcW w:w="5000" w:type="pct"/>
          </w:tcPr>
          <w:p w14:paraId="7D464E91" w14:textId="77777777" w:rsidR="000E4631" w:rsidRPr="00AB0794" w:rsidRDefault="000E4631" w:rsidP="000C5069">
            <w:pPr>
              <w:keepLines/>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0E4631" w:rsidRPr="00AB0794" w14:paraId="7F435607" w14:textId="77777777" w:rsidTr="000C5069">
        <w:tc>
          <w:tcPr>
            <w:tcW w:w="5000" w:type="pct"/>
          </w:tcPr>
          <w:p w14:paraId="29FBE7CF" w14:textId="77777777" w:rsidR="00A15EEC" w:rsidRPr="00AB0794" w:rsidRDefault="008E37C1" w:rsidP="009326EE">
            <w:pPr>
              <w:pStyle w:val="ListParagraph"/>
              <w:keepLines/>
              <w:numPr>
                <w:ilvl w:val="0"/>
                <w:numId w:val="17"/>
              </w:numPr>
              <w:autoSpaceDE w:val="0"/>
              <w:autoSpaceDN w:val="0"/>
              <w:adjustRightInd w:val="0"/>
              <w:spacing w:after="60"/>
              <w:contextualSpacing w:val="0"/>
              <w:rPr>
                <w:rFonts w:cs="Arial"/>
              </w:rPr>
            </w:pPr>
            <w:r w:rsidRPr="00AB0794">
              <w:rPr>
                <w:rFonts w:cs="Arial"/>
              </w:rPr>
              <w:t>Produced water is derived from the extraction of oil from oil-bearing strata and as such would be expected to contain hazardous substances in the form of naturally formed dissolved hydrocarbons. The principle of re-injecting produced water for support of oil production activities is acceptable under the current regulatory regimes in the UK.</w:t>
            </w:r>
          </w:p>
          <w:p w14:paraId="5A23B5FE" w14:textId="6F618BFB" w:rsidR="008E37C1" w:rsidRPr="00AB0794" w:rsidRDefault="008E37C1" w:rsidP="00771631">
            <w:pPr>
              <w:pStyle w:val="ListParagraph"/>
              <w:keepLines/>
              <w:numPr>
                <w:ilvl w:val="0"/>
                <w:numId w:val="0"/>
              </w:numPr>
              <w:autoSpaceDE w:val="0"/>
              <w:autoSpaceDN w:val="0"/>
              <w:adjustRightInd w:val="0"/>
              <w:spacing w:after="60"/>
              <w:ind w:left="720"/>
              <w:contextualSpacing w:val="0"/>
              <w:rPr>
                <w:rFonts w:cs="Arial"/>
              </w:rPr>
            </w:pPr>
            <w:r w:rsidRPr="00AB0794">
              <w:rPr>
                <w:rFonts w:cs="Arial"/>
              </w:rPr>
              <w:t xml:space="preserve">Additive chemicals intrinsic to the extraction of oil will also be present in any </w:t>
            </w:r>
            <w:r w:rsidR="00A47BF2" w:rsidRPr="00AB0794">
              <w:rPr>
                <w:rFonts w:cs="Arial"/>
              </w:rPr>
              <w:t>re-injec</w:t>
            </w:r>
            <w:r w:rsidRPr="00AB0794">
              <w:rPr>
                <w:rFonts w:cs="Arial"/>
              </w:rPr>
              <w:t>ted produced water.</w:t>
            </w:r>
          </w:p>
          <w:p w14:paraId="4ED38B49" w14:textId="6407247E" w:rsidR="00373210" w:rsidRPr="00AB0794" w:rsidRDefault="008E37C1" w:rsidP="00771631">
            <w:pPr>
              <w:pStyle w:val="ListParagraph"/>
              <w:keepLines/>
              <w:numPr>
                <w:ilvl w:val="0"/>
                <w:numId w:val="0"/>
              </w:numPr>
              <w:autoSpaceDE w:val="0"/>
              <w:autoSpaceDN w:val="0"/>
              <w:adjustRightInd w:val="0"/>
              <w:spacing w:after="60"/>
              <w:ind w:left="720"/>
              <w:contextualSpacing w:val="0"/>
              <w:rPr>
                <w:rFonts w:cs="Arial"/>
              </w:rPr>
            </w:pPr>
            <w:r w:rsidRPr="00AB0794">
              <w:rPr>
                <w:rFonts w:cs="Arial"/>
              </w:rPr>
              <w:lastRenderedPageBreak/>
              <w:t xml:space="preserve">We have reviewed the Supplementary HRA and are satisfied </w:t>
            </w:r>
            <w:r w:rsidR="00A96B01" w:rsidRPr="00AB0794">
              <w:rPr>
                <w:rFonts w:cs="Arial"/>
              </w:rPr>
              <w:t>that the</w:t>
            </w:r>
            <w:r w:rsidRPr="00AB0794">
              <w:rPr>
                <w:rFonts w:cs="Arial"/>
              </w:rPr>
              <w:t xml:space="preserve"> return of this produced water into oil-bearing strata will not result in any unpermitted discharges to other water-bearing strata. </w:t>
            </w:r>
          </w:p>
          <w:p w14:paraId="055FA811" w14:textId="1F91AE01" w:rsidR="000C5069" w:rsidRPr="00AB0794" w:rsidRDefault="008E37C1" w:rsidP="00771631">
            <w:pPr>
              <w:pStyle w:val="ListParagraph"/>
              <w:keepLines/>
              <w:numPr>
                <w:ilvl w:val="0"/>
                <w:numId w:val="17"/>
              </w:numPr>
              <w:autoSpaceDE w:val="0"/>
              <w:autoSpaceDN w:val="0"/>
              <w:adjustRightInd w:val="0"/>
              <w:spacing w:after="60"/>
              <w:contextualSpacing w:val="0"/>
              <w:rPr>
                <w:rFonts w:cs="Arial"/>
              </w:rPr>
            </w:pPr>
            <w:r w:rsidRPr="00AB0794">
              <w:rPr>
                <w:rFonts w:cs="Arial"/>
              </w:rPr>
              <w:t xml:space="preserve">We acknowledge </w:t>
            </w:r>
            <w:r w:rsidR="00A044D3" w:rsidRPr="00AB0794">
              <w:rPr>
                <w:rFonts w:cs="Arial"/>
              </w:rPr>
              <w:t xml:space="preserve">historic </w:t>
            </w:r>
            <w:r w:rsidRPr="00AB0794">
              <w:rPr>
                <w:rFonts w:cs="Arial"/>
              </w:rPr>
              <w:t xml:space="preserve">issues in respect </w:t>
            </w:r>
            <w:r w:rsidR="00A044D3" w:rsidRPr="00AB0794">
              <w:rPr>
                <w:rFonts w:cs="Arial"/>
              </w:rPr>
              <w:t xml:space="preserve">to operator competence. </w:t>
            </w:r>
            <w:r w:rsidRPr="00AB0794">
              <w:rPr>
                <w:rFonts w:cs="Arial"/>
              </w:rPr>
              <w:t xml:space="preserve">There are sufficient controls in the permit to </w:t>
            </w:r>
            <w:r w:rsidR="00A044D3" w:rsidRPr="00AB0794">
              <w:rPr>
                <w:rFonts w:cs="Arial"/>
              </w:rPr>
              <w:t xml:space="preserve">both </w:t>
            </w:r>
            <w:r w:rsidRPr="00AB0794">
              <w:rPr>
                <w:rFonts w:cs="Arial"/>
              </w:rPr>
              <w:t xml:space="preserve">ensure the operator will operate in a competent manner, and </w:t>
            </w:r>
            <w:r w:rsidR="00A044D3" w:rsidRPr="00AB0794">
              <w:rPr>
                <w:rFonts w:cs="Arial"/>
              </w:rPr>
              <w:t xml:space="preserve">also to </w:t>
            </w:r>
            <w:r w:rsidRPr="00AB0794">
              <w:rPr>
                <w:rFonts w:cs="Arial"/>
              </w:rPr>
              <w:t>allow us to take measures to bring them into compliance as</w:t>
            </w:r>
            <w:r w:rsidR="00956442">
              <w:rPr>
                <w:rFonts w:cs="Arial"/>
              </w:rPr>
              <w:t xml:space="preserve"> and if</w:t>
            </w:r>
            <w:r w:rsidRPr="00AB0794">
              <w:rPr>
                <w:rFonts w:cs="Arial"/>
              </w:rPr>
              <w:t xml:space="preserve"> required. The </w:t>
            </w:r>
            <w:r w:rsidR="00A044D3" w:rsidRPr="00AB0794">
              <w:rPr>
                <w:rFonts w:cs="Arial"/>
              </w:rPr>
              <w:t xml:space="preserve">changes as part of this variation </w:t>
            </w:r>
            <w:r w:rsidRPr="00AB0794">
              <w:rPr>
                <w:rFonts w:cs="Arial"/>
              </w:rPr>
              <w:t xml:space="preserve">will update the activities permitted and help </w:t>
            </w:r>
            <w:r w:rsidR="00F60F0F">
              <w:rPr>
                <w:rFonts w:cs="Arial"/>
              </w:rPr>
              <w:t>maintain</w:t>
            </w:r>
            <w:r w:rsidRPr="00AB0794">
              <w:rPr>
                <w:rFonts w:cs="Arial"/>
              </w:rPr>
              <w:t xml:space="preserve"> </w:t>
            </w:r>
            <w:r w:rsidR="00A044D3" w:rsidRPr="00AB0794">
              <w:rPr>
                <w:rFonts w:cs="Arial"/>
              </w:rPr>
              <w:t xml:space="preserve">future </w:t>
            </w:r>
            <w:r w:rsidRPr="00AB0794">
              <w:rPr>
                <w:rFonts w:cs="Arial"/>
              </w:rPr>
              <w:t>compliance.</w:t>
            </w:r>
          </w:p>
          <w:p w14:paraId="22856ED0" w14:textId="65FE9FF3" w:rsidR="00A15EEC" w:rsidRPr="00AB0794" w:rsidRDefault="000C5069" w:rsidP="00771631">
            <w:pPr>
              <w:pStyle w:val="ListParagraph"/>
              <w:keepLines/>
              <w:numPr>
                <w:ilvl w:val="0"/>
                <w:numId w:val="17"/>
              </w:numPr>
              <w:autoSpaceDE w:val="0"/>
              <w:autoSpaceDN w:val="0"/>
              <w:adjustRightInd w:val="0"/>
              <w:spacing w:after="60"/>
              <w:contextualSpacing w:val="0"/>
              <w:rPr>
                <w:rFonts w:cs="Arial"/>
              </w:rPr>
            </w:pPr>
            <w:r w:rsidRPr="00AB0794">
              <w:rPr>
                <w:rFonts w:cs="Arial"/>
              </w:rPr>
              <w:t xml:space="preserve">There are a number of improvement conditions and </w:t>
            </w:r>
            <w:r w:rsidR="00576082">
              <w:rPr>
                <w:rFonts w:cs="Arial"/>
              </w:rPr>
              <w:t xml:space="preserve">a </w:t>
            </w:r>
            <w:r w:rsidRPr="00AB0794">
              <w:rPr>
                <w:rFonts w:cs="Arial"/>
              </w:rPr>
              <w:t xml:space="preserve">pre-operational condition set in the permit. As part of this variation we have marked any completed improvement conditions as such. Where pre-operational conditions are complete they </w:t>
            </w:r>
            <w:r w:rsidR="007A7028" w:rsidRPr="00AB0794">
              <w:rPr>
                <w:rFonts w:cs="Arial"/>
              </w:rPr>
              <w:t xml:space="preserve">have been </w:t>
            </w:r>
            <w:r w:rsidRPr="00AB0794">
              <w:rPr>
                <w:rFonts w:cs="Arial"/>
              </w:rPr>
              <w:t>removed from the permit.</w:t>
            </w:r>
          </w:p>
          <w:p w14:paraId="57008731" w14:textId="52DED719" w:rsidR="00A15EEC" w:rsidRPr="00AB0794" w:rsidRDefault="00A15EEC" w:rsidP="00771631">
            <w:pPr>
              <w:pStyle w:val="ListParagraph"/>
              <w:keepLines/>
              <w:numPr>
                <w:ilvl w:val="0"/>
                <w:numId w:val="17"/>
              </w:numPr>
              <w:autoSpaceDE w:val="0"/>
              <w:autoSpaceDN w:val="0"/>
              <w:adjustRightInd w:val="0"/>
              <w:spacing w:after="60"/>
              <w:contextualSpacing w:val="0"/>
              <w:rPr>
                <w:rFonts w:cs="Arial"/>
              </w:rPr>
            </w:pPr>
            <w:r w:rsidRPr="00AB0794">
              <w:rPr>
                <w:rFonts w:eastAsia="Arial" w:cs="Arial"/>
                <w:color w:val="auto"/>
              </w:rPr>
              <w:t xml:space="preserve">The Environment Agency is satisfied that groundwater monitoring </w:t>
            </w:r>
            <w:r w:rsidRPr="00AB0794">
              <w:rPr>
                <w:rFonts w:cs="Arial"/>
              </w:rPr>
              <w:t>is not required at the site</w:t>
            </w:r>
            <w:r w:rsidR="00956442">
              <w:rPr>
                <w:rFonts w:cs="Arial"/>
              </w:rPr>
              <w:t>. This is</w:t>
            </w:r>
            <w:r w:rsidRPr="00AB0794">
              <w:rPr>
                <w:rFonts w:cs="Arial"/>
              </w:rPr>
              <w:t xml:space="preserve"> because there is no significant risk to any known shallow groundwater receptor</w:t>
            </w:r>
            <w:r w:rsidRPr="00AB0794">
              <w:rPr>
                <w:rFonts w:eastAsia="Arial" w:cs="Arial"/>
                <w:color w:val="auto"/>
              </w:rPr>
              <w:t>s and sufficient mitigation measures and procedures are in place to prevent any</w:t>
            </w:r>
            <w:r w:rsidR="00956442">
              <w:rPr>
                <w:rFonts w:eastAsia="Arial" w:cs="Arial"/>
                <w:color w:val="auto"/>
              </w:rPr>
              <w:t xml:space="preserve"> potential</w:t>
            </w:r>
            <w:r w:rsidRPr="00AB0794">
              <w:rPr>
                <w:rFonts w:eastAsia="Arial" w:cs="Arial"/>
                <w:color w:val="auto"/>
              </w:rPr>
              <w:t xml:space="preserve"> impact on groundwater. See the key issues section of this </w:t>
            </w:r>
            <w:r w:rsidR="007A7028" w:rsidRPr="00AB0794">
              <w:rPr>
                <w:rFonts w:eastAsia="Arial" w:cs="Arial"/>
                <w:color w:val="auto"/>
              </w:rPr>
              <w:t>decision document</w:t>
            </w:r>
            <w:r w:rsidRPr="00AB0794">
              <w:rPr>
                <w:rFonts w:eastAsia="Arial" w:cs="Arial"/>
                <w:color w:val="auto"/>
              </w:rPr>
              <w:t xml:space="preserve"> for more information. </w:t>
            </w:r>
          </w:p>
          <w:p w14:paraId="14A45451" w14:textId="47329215" w:rsidR="000E4631" w:rsidRPr="00AB0794" w:rsidRDefault="00A15EEC" w:rsidP="00930FEF">
            <w:pPr>
              <w:pStyle w:val="ListParagraph"/>
              <w:keepLines/>
              <w:numPr>
                <w:ilvl w:val="0"/>
                <w:numId w:val="17"/>
              </w:numPr>
              <w:tabs>
                <w:tab w:val="left" w:pos="-720"/>
              </w:tabs>
              <w:autoSpaceDE w:val="0"/>
              <w:autoSpaceDN w:val="0"/>
              <w:adjustRightInd w:val="0"/>
              <w:spacing w:after="60"/>
              <w:contextualSpacing w:val="0"/>
              <w:rPr>
                <w:rFonts w:eastAsia="Times New Roman" w:cs="Arial"/>
                <w:color w:val="auto"/>
              </w:rPr>
            </w:pPr>
            <w:r w:rsidRPr="00AB0794">
              <w:rPr>
                <w:rFonts w:cs="Arial"/>
              </w:rPr>
              <w:t xml:space="preserve">The Environment Agency has not requested additional 2D </w:t>
            </w:r>
            <w:r w:rsidR="007A7028" w:rsidRPr="00AB0794">
              <w:rPr>
                <w:rFonts w:cs="Arial"/>
              </w:rPr>
              <w:t xml:space="preserve">or </w:t>
            </w:r>
            <w:r w:rsidRPr="00AB0794">
              <w:rPr>
                <w:rFonts w:cs="Arial"/>
              </w:rPr>
              <w:t>3D seismic data. We are satisfied that sufficient information has been presented on the geology and hydrogeology in the HRA</w:t>
            </w:r>
            <w:r w:rsidR="00930FEF">
              <w:rPr>
                <w:rFonts w:cs="Arial"/>
              </w:rPr>
              <w:t>. We are satisfied that the information has been pres</w:t>
            </w:r>
            <w:r w:rsidR="009D47A5">
              <w:rPr>
                <w:rFonts w:cs="Arial"/>
              </w:rPr>
              <w:t>ented</w:t>
            </w:r>
            <w:r w:rsidRPr="00AB0794">
              <w:rPr>
                <w:rFonts w:cs="Arial"/>
              </w:rPr>
              <w:t xml:space="preserve"> in accordance with the Environment Agency’s Groundwater risk assessment for your environmental permit guidance and Onshore Oil and Gas Sector Guidance. </w:t>
            </w:r>
          </w:p>
        </w:tc>
      </w:tr>
    </w:tbl>
    <w:p w14:paraId="1C458B79" w14:textId="77777777" w:rsidR="000E4631" w:rsidRPr="00AB0794" w:rsidRDefault="000E4631" w:rsidP="002F6967">
      <w:pPr>
        <w:rPr>
          <w:rFonts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793F59" w:rsidRPr="00AB0794" w14:paraId="250A2CED" w14:textId="77777777" w:rsidTr="007A7028">
        <w:tc>
          <w:tcPr>
            <w:tcW w:w="5000" w:type="pct"/>
          </w:tcPr>
          <w:p w14:paraId="1A0AA289" w14:textId="77777777" w:rsidR="00793F59" w:rsidRPr="00AB0794" w:rsidRDefault="00793F59" w:rsidP="005C3C45">
            <w:pPr>
              <w:keepLines/>
              <w:spacing w:after="0" w:line="240" w:lineRule="auto"/>
              <w:ind w:right="113"/>
              <w:rPr>
                <w:rFonts w:eastAsia="Times New Roman" w:cs="Arial"/>
                <w:b/>
                <w:color w:val="auto"/>
              </w:rPr>
            </w:pPr>
            <w:r w:rsidRPr="00AB0794">
              <w:rPr>
                <w:rFonts w:eastAsia="Times New Roman" w:cs="Arial"/>
                <w:b/>
                <w:color w:val="auto"/>
              </w:rPr>
              <w:t>Response received from</w:t>
            </w:r>
          </w:p>
        </w:tc>
      </w:tr>
      <w:tr w:rsidR="00793F59" w:rsidRPr="00AB0794" w14:paraId="105A73CB" w14:textId="77777777" w:rsidTr="007A7028">
        <w:tc>
          <w:tcPr>
            <w:tcW w:w="5000" w:type="pct"/>
          </w:tcPr>
          <w:p w14:paraId="126A3AB2" w14:textId="6EFC8AB9" w:rsidR="00793F59" w:rsidRPr="00AB0794" w:rsidRDefault="00793F59" w:rsidP="005C3C45">
            <w:pPr>
              <w:keepLines/>
              <w:spacing w:after="0" w:line="240" w:lineRule="auto"/>
              <w:ind w:right="113"/>
              <w:rPr>
                <w:rFonts w:eastAsia="Times New Roman" w:cs="Arial"/>
                <w:color w:val="auto"/>
              </w:rPr>
            </w:pPr>
            <w:r w:rsidRPr="00AB0794">
              <w:rPr>
                <w:rFonts w:cs="Arial"/>
                <w:color w:val="auto"/>
              </w:rPr>
              <w:t xml:space="preserve">County Councillor for Dorking Rural Division at Surrey: </w:t>
            </w:r>
            <w:proofErr w:type="spellStart"/>
            <w:r w:rsidRPr="00AB0794">
              <w:rPr>
                <w:rFonts w:cs="Arial"/>
                <w:color w:val="auto"/>
              </w:rPr>
              <w:t>Helyn</w:t>
            </w:r>
            <w:proofErr w:type="spellEnd"/>
            <w:r w:rsidRPr="00AB0794">
              <w:rPr>
                <w:rFonts w:cs="Arial"/>
                <w:color w:val="auto"/>
              </w:rPr>
              <w:t xml:space="preserve"> Clack</w:t>
            </w:r>
          </w:p>
        </w:tc>
      </w:tr>
      <w:tr w:rsidR="00793F59" w:rsidRPr="00AB0794" w14:paraId="4A05D8BC" w14:textId="77777777" w:rsidTr="007A7028">
        <w:tc>
          <w:tcPr>
            <w:tcW w:w="5000" w:type="pct"/>
          </w:tcPr>
          <w:p w14:paraId="7918DDE7" w14:textId="77777777" w:rsidR="00793F59" w:rsidRPr="00AB0794" w:rsidRDefault="00793F59" w:rsidP="005C3C45">
            <w:pPr>
              <w:keepLines/>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793F59" w:rsidRPr="00AB0794" w14:paraId="7491C2DD" w14:textId="77777777" w:rsidTr="007A7028">
        <w:tc>
          <w:tcPr>
            <w:tcW w:w="5000" w:type="pct"/>
          </w:tcPr>
          <w:p w14:paraId="5D587AD6" w14:textId="77777777" w:rsidR="00793F59" w:rsidRPr="00AB0794" w:rsidRDefault="00793F59" w:rsidP="005C3C45">
            <w:pPr>
              <w:pStyle w:val="Default"/>
              <w:keepLines/>
              <w:spacing w:after="60" w:line="259" w:lineRule="auto"/>
              <w:rPr>
                <w:color w:val="auto"/>
              </w:rPr>
            </w:pPr>
            <w:r w:rsidRPr="00AB0794">
              <w:rPr>
                <w:color w:val="auto"/>
              </w:rPr>
              <w:t>The main concerns identified are:</w:t>
            </w:r>
          </w:p>
          <w:p w14:paraId="266D5C14" w14:textId="74E8F9B5" w:rsidR="00793F59" w:rsidRPr="00AB0794" w:rsidRDefault="00793F59" w:rsidP="00793F59">
            <w:pPr>
              <w:pStyle w:val="Default"/>
              <w:keepLines/>
              <w:numPr>
                <w:ilvl w:val="0"/>
                <w:numId w:val="28"/>
              </w:numPr>
              <w:spacing w:after="60" w:line="259" w:lineRule="auto"/>
              <w:rPr>
                <w:color w:val="auto"/>
              </w:rPr>
            </w:pPr>
            <w:r w:rsidRPr="00AB0794">
              <w:rPr>
                <w:color w:val="auto"/>
              </w:rPr>
              <w:t xml:space="preserve">Concern that waste should be dealt with at source and not transported for disposal elsewhere. </w:t>
            </w:r>
          </w:p>
          <w:p w14:paraId="5B0AC97E" w14:textId="77777777" w:rsidR="00793F59" w:rsidRPr="00AB0794" w:rsidRDefault="00793F59" w:rsidP="00793F59">
            <w:pPr>
              <w:pStyle w:val="Default"/>
              <w:keepLines/>
              <w:numPr>
                <w:ilvl w:val="0"/>
                <w:numId w:val="28"/>
              </w:numPr>
              <w:spacing w:after="60" w:line="259" w:lineRule="auto"/>
              <w:rPr>
                <w:rFonts w:eastAsia="Times New Roman"/>
                <w:color w:val="auto"/>
              </w:rPr>
            </w:pPr>
            <w:r w:rsidRPr="00AB0794">
              <w:rPr>
                <w:color w:val="auto"/>
              </w:rPr>
              <w:lastRenderedPageBreak/>
              <w:t xml:space="preserve">Concern about the potential for seismic activity as a result of re-injection.  </w:t>
            </w:r>
          </w:p>
          <w:p w14:paraId="186E497D" w14:textId="77777777" w:rsidR="00793F59" w:rsidRPr="00AB0794" w:rsidRDefault="00793F59" w:rsidP="00793F59">
            <w:pPr>
              <w:pStyle w:val="Default"/>
              <w:keepLines/>
              <w:numPr>
                <w:ilvl w:val="0"/>
                <w:numId w:val="28"/>
              </w:numPr>
              <w:spacing w:after="60" w:line="259" w:lineRule="auto"/>
              <w:rPr>
                <w:rFonts w:eastAsia="Times New Roman"/>
                <w:color w:val="auto"/>
              </w:rPr>
            </w:pPr>
            <w:r w:rsidRPr="00AB0794">
              <w:rPr>
                <w:color w:val="auto"/>
              </w:rPr>
              <w:t xml:space="preserve">Concern about increased flooding and that flooding containing toxic contaminants. </w:t>
            </w:r>
          </w:p>
          <w:p w14:paraId="7220EF85" w14:textId="243B21C1" w:rsidR="00793F59" w:rsidRPr="00AB0794" w:rsidRDefault="00793F59" w:rsidP="00771631">
            <w:pPr>
              <w:pStyle w:val="Default"/>
              <w:keepLines/>
              <w:numPr>
                <w:ilvl w:val="0"/>
                <w:numId w:val="28"/>
              </w:numPr>
              <w:spacing w:after="60" w:line="259" w:lineRule="auto"/>
              <w:rPr>
                <w:rFonts w:eastAsia="Times New Roman"/>
                <w:color w:val="auto"/>
              </w:rPr>
            </w:pPr>
            <w:r w:rsidRPr="00AB0794">
              <w:rPr>
                <w:color w:val="auto"/>
              </w:rPr>
              <w:t xml:space="preserve">The operator has a poor history of compliance with the permit conditions.  </w:t>
            </w:r>
          </w:p>
        </w:tc>
      </w:tr>
      <w:tr w:rsidR="00793F59" w:rsidRPr="00AB0794" w14:paraId="34560147" w14:textId="77777777" w:rsidTr="007A7028">
        <w:tc>
          <w:tcPr>
            <w:tcW w:w="5000" w:type="pct"/>
          </w:tcPr>
          <w:p w14:paraId="16ED9ABD" w14:textId="77777777" w:rsidR="00793F59" w:rsidRPr="00AB0794" w:rsidRDefault="00793F59" w:rsidP="005C3C45">
            <w:pPr>
              <w:keepLines/>
              <w:spacing w:after="0" w:line="240" w:lineRule="auto"/>
              <w:ind w:right="113"/>
              <w:rPr>
                <w:rFonts w:eastAsia="Times New Roman" w:cs="Arial"/>
                <w:b/>
                <w:color w:val="auto"/>
              </w:rPr>
            </w:pPr>
            <w:r w:rsidRPr="00AB0794">
              <w:rPr>
                <w:rFonts w:eastAsia="Times New Roman" w:cs="Arial"/>
                <w:b/>
                <w:color w:val="auto"/>
              </w:rPr>
              <w:lastRenderedPageBreak/>
              <w:t>Summary of actions taken or show how this has been covered</w:t>
            </w:r>
          </w:p>
        </w:tc>
      </w:tr>
      <w:tr w:rsidR="00793F59" w:rsidRPr="00AB0794" w14:paraId="7EECBDA3" w14:textId="77777777" w:rsidTr="007A7028">
        <w:tc>
          <w:tcPr>
            <w:tcW w:w="5000" w:type="pct"/>
          </w:tcPr>
          <w:p w14:paraId="4A63A237" w14:textId="3BBA3763" w:rsidR="007A7028" w:rsidRPr="00AB0794" w:rsidRDefault="00771631" w:rsidP="00771631">
            <w:pPr>
              <w:pStyle w:val="ListParagraph"/>
              <w:numPr>
                <w:ilvl w:val="0"/>
                <w:numId w:val="29"/>
              </w:numPr>
              <w:spacing w:after="60"/>
              <w:ind w:left="714" w:right="113" w:hanging="357"/>
              <w:contextualSpacing w:val="0"/>
              <w:rPr>
                <w:rFonts w:eastAsia="Arial" w:cs="Arial"/>
              </w:rPr>
            </w:pPr>
            <w:r w:rsidRPr="00AB0794">
              <w:rPr>
                <w:rFonts w:eastAsia="Arial" w:cs="Arial"/>
              </w:rPr>
              <w:t xml:space="preserve">We are satisfied that the Operator’s proposals are appropriate. </w:t>
            </w:r>
            <w:r w:rsidR="007A7028" w:rsidRPr="00AB0794">
              <w:rPr>
                <w:rFonts w:eastAsia="Arial" w:cs="Arial"/>
              </w:rPr>
              <w:t xml:space="preserve">Direct discharges to groundwater are prohibited under the Water Framework Directive except under certain exemptions. This is explained in more detail in the key issues, groundwater activities section of this decision document. </w:t>
            </w:r>
          </w:p>
          <w:p w14:paraId="082E9C70" w14:textId="33F0D501" w:rsidR="00793F59" w:rsidRPr="00AB0794" w:rsidRDefault="00793F59" w:rsidP="00771631">
            <w:pPr>
              <w:pStyle w:val="ListParagraph"/>
              <w:numPr>
                <w:ilvl w:val="0"/>
                <w:numId w:val="29"/>
              </w:numPr>
              <w:tabs>
                <w:tab w:val="left" w:pos="-720"/>
              </w:tabs>
              <w:spacing w:after="60"/>
              <w:ind w:left="714" w:right="113" w:hanging="357"/>
              <w:contextualSpacing w:val="0"/>
              <w:rPr>
                <w:rFonts w:cs="Arial"/>
                <w:color w:val="auto"/>
              </w:rPr>
            </w:pPr>
            <w:r w:rsidRPr="00AB0794">
              <w:rPr>
                <w:rFonts w:cs="Arial"/>
              </w:rPr>
              <w:t>Seismicity linked to oil and gas operations is the remit of the Oil and Gas Authority (OGA). We are satisfied that sufficient information has been presented on the geology and hydrogeology in the HRA in accordance with the Environment Agency’s Groundwater risk assessment for your environmental permit guidance and Onshore Oil and Gas Sector Guidance.</w:t>
            </w:r>
            <w:r w:rsidRPr="00AB0794">
              <w:rPr>
                <w:rStyle w:val="Pink"/>
                <w:rFonts w:cs="Arial"/>
                <w:color w:val="auto"/>
              </w:rPr>
              <w:t xml:space="preserve"> The permitted groundwater activity is to re-inject a maximum of 24m</w:t>
            </w:r>
            <w:r w:rsidRPr="00AB0794">
              <w:rPr>
                <w:rStyle w:val="Pink"/>
                <w:rFonts w:cs="Arial"/>
                <w:color w:val="auto"/>
                <w:vertAlign w:val="superscript"/>
              </w:rPr>
              <w:t>3</w:t>
            </w:r>
            <w:r w:rsidRPr="00AB0794">
              <w:rPr>
                <w:rStyle w:val="Pink"/>
                <w:rFonts w:cs="Arial"/>
                <w:color w:val="auto"/>
              </w:rPr>
              <w:t xml:space="preserve"> of produced water</w:t>
            </w:r>
            <w:r w:rsidR="00446E81">
              <w:rPr>
                <w:rStyle w:val="Pink"/>
                <w:rFonts w:cs="Arial"/>
                <w:color w:val="auto"/>
              </w:rPr>
              <w:t xml:space="preserve"> per day</w:t>
            </w:r>
            <w:r w:rsidRPr="00AB0794">
              <w:rPr>
                <w:rStyle w:val="Pink"/>
                <w:rFonts w:cs="Arial"/>
                <w:color w:val="auto"/>
              </w:rPr>
              <w:t xml:space="preserve"> into the Portland Sand Formation for production support. This is a minor volume of produced water that will be re-injected over a period of 7 hours per day. Hydrocarbons and produced water will be extracted from the Portland Sand Formation and produced water will be re-injected at a pressure below the fracture pressure of the formation. The operating procedures specified in the HRA will ensure that there will be no over pressurisation of the reservoir. </w:t>
            </w:r>
          </w:p>
          <w:p w14:paraId="17E74683" w14:textId="6235652F" w:rsidR="00793F59" w:rsidRPr="00AB0794" w:rsidRDefault="005668AD" w:rsidP="00771631">
            <w:pPr>
              <w:pStyle w:val="ListParagraph"/>
              <w:keepLines/>
              <w:numPr>
                <w:ilvl w:val="0"/>
                <w:numId w:val="29"/>
              </w:numPr>
              <w:autoSpaceDE w:val="0"/>
              <w:autoSpaceDN w:val="0"/>
              <w:adjustRightInd w:val="0"/>
              <w:spacing w:after="60"/>
              <w:ind w:left="714" w:hanging="357"/>
              <w:contextualSpacing w:val="0"/>
              <w:rPr>
                <w:rFonts w:cs="Arial"/>
              </w:rPr>
            </w:pPr>
            <w:r w:rsidRPr="00AB0794">
              <w:rPr>
                <w:rFonts w:eastAsia="Arial" w:cs="Arial"/>
                <w:color w:val="auto"/>
              </w:rPr>
              <w:t>We are</w:t>
            </w:r>
            <w:r w:rsidR="00793F59" w:rsidRPr="00AB0794">
              <w:rPr>
                <w:rFonts w:eastAsia="Arial" w:cs="Arial"/>
                <w:color w:val="auto"/>
              </w:rPr>
              <w:t xml:space="preserve"> satisfied that groundwater monitoring </w:t>
            </w:r>
            <w:r w:rsidR="00793F59" w:rsidRPr="00AB0794">
              <w:rPr>
                <w:rFonts w:cs="Arial"/>
              </w:rPr>
              <w:t>is not required at the site because there is no significant risk to any known shallow groundwater receptor</w:t>
            </w:r>
            <w:r w:rsidR="00793F59" w:rsidRPr="00AB0794">
              <w:rPr>
                <w:rFonts w:eastAsia="Arial" w:cs="Arial"/>
                <w:color w:val="auto"/>
              </w:rPr>
              <w:t xml:space="preserve">s and sufficient mitigation measures and procedures are in place to prevent any impact on groundwater. See the key issues section of this </w:t>
            </w:r>
            <w:r w:rsidR="007A7028" w:rsidRPr="00AB0794">
              <w:rPr>
                <w:rFonts w:eastAsia="Arial" w:cs="Arial"/>
                <w:color w:val="auto"/>
              </w:rPr>
              <w:t>decision document</w:t>
            </w:r>
            <w:r w:rsidR="00793F59" w:rsidRPr="00AB0794">
              <w:rPr>
                <w:rFonts w:eastAsia="Arial" w:cs="Arial"/>
                <w:color w:val="auto"/>
              </w:rPr>
              <w:t xml:space="preserve"> for more information. </w:t>
            </w:r>
          </w:p>
          <w:p w14:paraId="1E88BDF9" w14:textId="784E1A2C" w:rsidR="00793F59" w:rsidRPr="00AB0794" w:rsidRDefault="00793F59" w:rsidP="0055242B">
            <w:pPr>
              <w:pStyle w:val="ListParagraph"/>
              <w:keepLines/>
              <w:numPr>
                <w:ilvl w:val="0"/>
                <w:numId w:val="29"/>
              </w:numPr>
              <w:autoSpaceDE w:val="0"/>
              <w:autoSpaceDN w:val="0"/>
              <w:adjustRightInd w:val="0"/>
              <w:spacing w:after="60"/>
              <w:ind w:left="714" w:hanging="357"/>
              <w:contextualSpacing w:val="0"/>
              <w:rPr>
                <w:rFonts w:eastAsia="Times New Roman" w:cs="Arial"/>
                <w:color w:val="auto"/>
              </w:rPr>
            </w:pPr>
            <w:r w:rsidRPr="00AB0794">
              <w:rPr>
                <w:rFonts w:cs="Arial"/>
              </w:rPr>
              <w:t xml:space="preserve">We acknowledge historic issues in respect to operator competence. There are sufficient controls in the permit to both ensure the operator will operate in a competent manner, and also to allow us to take measures to bring them into compliance as </w:t>
            </w:r>
            <w:r w:rsidR="0008738F">
              <w:rPr>
                <w:rFonts w:cs="Arial"/>
              </w:rPr>
              <w:t xml:space="preserve">and if </w:t>
            </w:r>
            <w:r w:rsidRPr="00AB0794">
              <w:rPr>
                <w:rFonts w:cs="Arial"/>
              </w:rPr>
              <w:t>required. The changes as part of this variation will update the activities permitted and help ensure future compliance.</w:t>
            </w:r>
          </w:p>
        </w:tc>
      </w:tr>
    </w:tbl>
    <w:p w14:paraId="12F94605" w14:textId="77777777" w:rsidR="00793F59" w:rsidRPr="00AB0794" w:rsidRDefault="00793F59" w:rsidP="002F6967">
      <w:pPr>
        <w:rPr>
          <w:rFonts w:cs="Arial"/>
          <w:color w:val="auto"/>
        </w:rPr>
      </w:pPr>
    </w:p>
    <w:p w14:paraId="7FFFF944" w14:textId="77777777" w:rsidR="00793F59" w:rsidRPr="00AB0794" w:rsidRDefault="00793F59" w:rsidP="002F6967">
      <w:pPr>
        <w:rPr>
          <w:rFonts w:cs="Arial"/>
          <w:color w:val="auto"/>
        </w:rPr>
      </w:pPr>
    </w:p>
    <w:p w14:paraId="4F3F1397" w14:textId="178AB326" w:rsidR="002F6967" w:rsidRPr="00A31F8A" w:rsidRDefault="002F6967" w:rsidP="002F6967">
      <w:pPr>
        <w:pStyle w:val="Topictitle"/>
        <w:rPr>
          <w:rFonts w:cs="Arial"/>
          <w:color w:val="auto"/>
          <w:sz w:val="28"/>
          <w:szCs w:val="24"/>
        </w:rPr>
      </w:pPr>
      <w:r w:rsidRPr="00A31F8A">
        <w:rPr>
          <w:rFonts w:cs="Arial"/>
          <w:color w:val="auto"/>
          <w:sz w:val="28"/>
          <w:szCs w:val="24"/>
        </w:rPr>
        <w:lastRenderedPageBreak/>
        <w:t>Representations from community</w:t>
      </w:r>
      <w:r w:rsidR="00C86C24" w:rsidRPr="00A31F8A">
        <w:rPr>
          <w:rFonts w:cs="Arial"/>
          <w:color w:val="auto"/>
          <w:sz w:val="28"/>
          <w:szCs w:val="24"/>
        </w:rPr>
        <w:t xml:space="preserve"> groups</w:t>
      </w:r>
      <w:r w:rsidRPr="00A31F8A">
        <w:rPr>
          <w:rFonts w:cs="Arial"/>
          <w:color w:val="auto"/>
          <w:sz w:val="28"/>
          <w:szCs w:val="24"/>
        </w:rPr>
        <w:t xml:space="preserve"> and othe</w:t>
      </w:r>
      <w:r w:rsidR="00373210" w:rsidRPr="00A31F8A">
        <w:rPr>
          <w:rFonts w:cs="Arial"/>
          <w:color w:val="auto"/>
          <w:sz w:val="28"/>
          <w:szCs w:val="24"/>
        </w:rPr>
        <w:t>r organisations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0E4631" w:rsidRPr="00AB0794" w14:paraId="721A9D7D" w14:textId="77777777" w:rsidTr="00133298">
        <w:tc>
          <w:tcPr>
            <w:tcW w:w="5000" w:type="pct"/>
          </w:tcPr>
          <w:p w14:paraId="525DC34F"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Response received from</w:t>
            </w:r>
          </w:p>
        </w:tc>
      </w:tr>
      <w:tr w:rsidR="000E4631" w:rsidRPr="00AB0794" w14:paraId="0B470C45" w14:textId="77777777" w:rsidTr="00133298">
        <w:tc>
          <w:tcPr>
            <w:tcW w:w="5000" w:type="pct"/>
          </w:tcPr>
          <w:p w14:paraId="0218C4EB" w14:textId="18B90B4C" w:rsidR="000E4631" w:rsidRPr="00AB0794" w:rsidRDefault="00CB2821" w:rsidP="00ED411C">
            <w:pPr>
              <w:spacing w:after="0" w:line="240" w:lineRule="auto"/>
              <w:ind w:right="113"/>
              <w:rPr>
                <w:rFonts w:eastAsia="Times New Roman" w:cs="Arial"/>
                <w:color w:val="auto"/>
              </w:rPr>
            </w:pPr>
            <w:r w:rsidRPr="00AB0794">
              <w:rPr>
                <w:rFonts w:eastAsia="Times New Roman" w:cs="Arial"/>
                <w:color w:val="auto"/>
              </w:rPr>
              <w:t xml:space="preserve">KEEP </w:t>
            </w:r>
            <w:proofErr w:type="spellStart"/>
            <w:r w:rsidRPr="00AB0794">
              <w:rPr>
                <w:rFonts w:eastAsia="Times New Roman" w:cs="Arial"/>
                <w:color w:val="auto"/>
              </w:rPr>
              <w:t>Kirdford</w:t>
            </w:r>
            <w:proofErr w:type="spellEnd"/>
            <w:r w:rsidRPr="00AB0794">
              <w:rPr>
                <w:rFonts w:eastAsia="Times New Roman" w:cs="Arial"/>
                <w:color w:val="auto"/>
              </w:rPr>
              <w:t xml:space="preserve"> and </w:t>
            </w:r>
            <w:proofErr w:type="spellStart"/>
            <w:r w:rsidRPr="00AB0794">
              <w:rPr>
                <w:rFonts w:eastAsia="Times New Roman" w:cs="Arial"/>
                <w:color w:val="auto"/>
              </w:rPr>
              <w:t>Wisborough</w:t>
            </w:r>
            <w:proofErr w:type="spellEnd"/>
            <w:r w:rsidRPr="00AB0794">
              <w:rPr>
                <w:rFonts w:eastAsia="Times New Roman" w:cs="Arial"/>
                <w:color w:val="auto"/>
              </w:rPr>
              <w:t xml:space="preserve"> ‘Green’</w:t>
            </w:r>
          </w:p>
        </w:tc>
      </w:tr>
      <w:tr w:rsidR="000E4631" w:rsidRPr="00AB0794" w14:paraId="1F227C5D" w14:textId="77777777" w:rsidTr="00133298">
        <w:tc>
          <w:tcPr>
            <w:tcW w:w="5000" w:type="pct"/>
          </w:tcPr>
          <w:p w14:paraId="3FAE5C94"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0E4631" w:rsidRPr="00AB0794" w14:paraId="57444497" w14:textId="77777777" w:rsidTr="00133298">
        <w:tc>
          <w:tcPr>
            <w:tcW w:w="5000" w:type="pct"/>
          </w:tcPr>
          <w:p w14:paraId="3C85CEC2" w14:textId="4A26AE19" w:rsidR="00003F94" w:rsidRPr="00AB0794" w:rsidRDefault="00A862E6" w:rsidP="00771631">
            <w:pPr>
              <w:spacing w:after="60"/>
              <w:ind w:right="113"/>
              <w:rPr>
                <w:rFonts w:eastAsia="Times New Roman" w:cs="Arial"/>
                <w:color w:val="auto"/>
              </w:rPr>
            </w:pPr>
            <w:r w:rsidRPr="00AB0794">
              <w:rPr>
                <w:rFonts w:eastAsia="Times New Roman" w:cs="Arial"/>
                <w:color w:val="auto"/>
              </w:rPr>
              <w:t xml:space="preserve">We received a 26 page document which raised a number of concerns in numbered sections. </w:t>
            </w:r>
            <w:r w:rsidR="00217AC7" w:rsidRPr="00AB0794">
              <w:rPr>
                <w:rFonts w:eastAsia="Times New Roman" w:cs="Arial"/>
                <w:color w:val="auto"/>
              </w:rPr>
              <w:t>The main concerns identified are:</w:t>
            </w:r>
            <w:r w:rsidR="00003F94" w:rsidRPr="00AB0794">
              <w:rPr>
                <w:rFonts w:eastAsia="Times New Roman" w:cs="Arial"/>
                <w:color w:val="auto"/>
              </w:rPr>
              <w:t xml:space="preserve"> </w:t>
            </w:r>
          </w:p>
          <w:p w14:paraId="5EEDCB7F" w14:textId="2B91CFC3" w:rsidR="00373210" w:rsidRPr="00AB0794" w:rsidRDefault="00133298" w:rsidP="00771631">
            <w:pPr>
              <w:pStyle w:val="Default"/>
              <w:keepLines/>
              <w:numPr>
                <w:ilvl w:val="0"/>
                <w:numId w:val="9"/>
              </w:numPr>
              <w:spacing w:after="60" w:line="259" w:lineRule="auto"/>
              <w:ind w:left="714" w:right="113" w:hanging="357"/>
              <w:rPr>
                <w:rFonts w:eastAsia="Times New Roman"/>
                <w:color w:val="auto"/>
              </w:rPr>
            </w:pPr>
            <w:r w:rsidRPr="00AB0794">
              <w:rPr>
                <w:color w:val="auto"/>
              </w:rPr>
              <w:t xml:space="preserve">The composition of the </w:t>
            </w:r>
            <w:r w:rsidR="00A47BF2" w:rsidRPr="00AB0794">
              <w:rPr>
                <w:color w:val="auto"/>
              </w:rPr>
              <w:t>re-injec</w:t>
            </w:r>
            <w:r w:rsidRPr="00AB0794">
              <w:rPr>
                <w:color w:val="auto"/>
              </w:rPr>
              <w:t xml:space="preserve">tion waste fluid has the potential to introduce pollution to groundwater. </w:t>
            </w:r>
          </w:p>
          <w:p w14:paraId="619236CE" w14:textId="7F9ECA73" w:rsidR="000E4631" w:rsidRPr="00AB0794" w:rsidRDefault="0041192F"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Lack of information, detailed evaluation or baseline relating to the impacts of the drilling process and its associated activities to date on the area, habitats, air, water, soils and wildlife.</w:t>
            </w:r>
            <w:r w:rsidR="00697002" w:rsidRPr="00AB0794">
              <w:rPr>
                <w:rFonts w:eastAsia="Times New Roman" w:cs="Arial"/>
                <w:color w:val="auto"/>
              </w:rPr>
              <w:t xml:space="preserve"> </w:t>
            </w:r>
          </w:p>
          <w:p w14:paraId="42B0241C" w14:textId="6FBC7467" w:rsidR="00697002" w:rsidRPr="00AB0794" w:rsidRDefault="00697002"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Comments relating to flowback fluid</w:t>
            </w:r>
            <w:r w:rsidR="00771631" w:rsidRPr="00AB0794">
              <w:rPr>
                <w:rFonts w:eastAsia="Times New Roman" w:cs="Arial"/>
                <w:color w:val="auto"/>
              </w:rPr>
              <w:t>s</w:t>
            </w:r>
            <w:r w:rsidRPr="00AB0794">
              <w:rPr>
                <w:rFonts w:eastAsia="Times New Roman" w:cs="Arial"/>
                <w:color w:val="auto"/>
              </w:rPr>
              <w:t xml:space="preserve"> and their </w:t>
            </w:r>
            <w:r w:rsidR="00A47BF2" w:rsidRPr="00AB0794">
              <w:rPr>
                <w:rFonts w:eastAsia="Times New Roman" w:cs="Arial"/>
                <w:color w:val="auto"/>
              </w:rPr>
              <w:t>re-injec</w:t>
            </w:r>
            <w:r w:rsidRPr="00AB0794">
              <w:rPr>
                <w:rFonts w:eastAsia="Times New Roman" w:cs="Arial"/>
                <w:color w:val="auto"/>
              </w:rPr>
              <w:t xml:space="preserve">tion not being permissible. </w:t>
            </w:r>
          </w:p>
          <w:p w14:paraId="15572A88" w14:textId="7F8C6908" w:rsidR="0041192F" w:rsidRPr="00AB0794" w:rsidRDefault="00217AC7"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The</w:t>
            </w:r>
            <w:r w:rsidR="0041192F" w:rsidRPr="00AB0794">
              <w:rPr>
                <w:rFonts w:eastAsia="Times New Roman" w:cs="Arial"/>
                <w:color w:val="auto"/>
              </w:rPr>
              <w:t xml:space="preserve"> non-technical report is not available on the EA website.</w:t>
            </w:r>
          </w:p>
          <w:p w14:paraId="55B862B3" w14:textId="017DB99F" w:rsidR="0041192F" w:rsidRPr="00AB0794" w:rsidRDefault="0068472B"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 xml:space="preserve">Section 5 </w:t>
            </w:r>
            <w:r w:rsidR="00133298" w:rsidRPr="00AB0794">
              <w:rPr>
                <w:rFonts w:eastAsia="Times New Roman" w:cs="Arial"/>
                <w:color w:val="auto"/>
              </w:rPr>
              <w:t>summari</w:t>
            </w:r>
            <w:r w:rsidR="00473922">
              <w:rPr>
                <w:rFonts w:eastAsia="Times New Roman" w:cs="Arial"/>
                <w:color w:val="auto"/>
              </w:rPr>
              <w:t>s</w:t>
            </w:r>
            <w:r w:rsidR="00133298" w:rsidRPr="00AB0794">
              <w:rPr>
                <w:rFonts w:eastAsia="Times New Roman" w:cs="Arial"/>
                <w:color w:val="auto"/>
              </w:rPr>
              <w:t>es national and international policies on mitigating climate change and challenges that this requires elimination of carbon-based fuels</w:t>
            </w:r>
            <w:r w:rsidR="007C511A" w:rsidRPr="00AB0794">
              <w:rPr>
                <w:rFonts w:eastAsia="Times New Roman" w:cs="Arial"/>
                <w:color w:val="auto"/>
              </w:rPr>
              <w:t>, stating that this proposal goes against that</w:t>
            </w:r>
            <w:r w:rsidR="00133298" w:rsidRPr="00AB0794">
              <w:rPr>
                <w:rFonts w:eastAsia="Times New Roman" w:cs="Arial"/>
                <w:color w:val="auto"/>
              </w:rPr>
              <w:t>.</w:t>
            </w:r>
          </w:p>
          <w:p w14:paraId="1EC5188B" w14:textId="2FDC4D91" w:rsidR="0041192F" w:rsidRPr="00AB0794" w:rsidRDefault="0068472B"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Section 6 raises concerns about t</w:t>
            </w:r>
            <w:r w:rsidR="0041192F" w:rsidRPr="00AB0794">
              <w:rPr>
                <w:rFonts w:eastAsia="Times New Roman" w:cs="Arial"/>
                <w:color w:val="auto"/>
              </w:rPr>
              <w:t>he p</w:t>
            </w:r>
            <w:r w:rsidR="00133298" w:rsidRPr="00AB0794">
              <w:rPr>
                <w:rFonts w:eastAsia="Times New Roman" w:cs="Arial"/>
                <w:color w:val="auto"/>
              </w:rPr>
              <w:t xml:space="preserve">otential for seismic activity being increased and </w:t>
            </w:r>
            <w:r w:rsidR="00771631" w:rsidRPr="00AB0794">
              <w:rPr>
                <w:rFonts w:eastAsia="Times New Roman" w:cs="Arial"/>
                <w:color w:val="auto"/>
              </w:rPr>
              <w:t>queries</w:t>
            </w:r>
            <w:r w:rsidR="00133298" w:rsidRPr="00AB0794">
              <w:rPr>
                <w:rFonts w:eastAsia="Times New Roman" w:cs="Arial"/>
                <w:color w:val="auto"/>
              </w:rPr>
              <w:t xml:space="preserve"> whether earthquakes in Oklahoma, USA </w:t>
            </w:r>
            <w:r w:rsidR="0041192F" w:rsidRPr="00AB0794">
              <w:rPr>
                <w:rFonts w:eastAsia="Times New Roman" w:cs="Arial"/>
                <w:color w:val="auto"/>
              </w:rPr>
              <w:t>are due to onshore oil and gas activities.</w:t>
            </w:r>
          </w:p>
          <w:p w14:paraId="20D14B3B" w14:textId="427FE963" w:rsidR="00450CC7" w:rsidRPr="00AB0794" w:rsidRDefault="00A862E6"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 xml:space="preserve">Sections 7 to 13 </w:t>
            </w:r>
            <w:r w:rsidR="00771631" w:rsidRPr="00AB0794">
              <w:rPr>
                <w:rFonts w:eastAsia="Times New Roman" w:cs="Arial"/>
                <w:color w:val="auto"/>
              </w:rPr>
              <w:t>raise</w:t>
            </w:r>
            <w:r w:rsidR="00DB35DD" w:rsidRPr="00AB0794">
              <w:rPr>
                <w:rFonts w:eastAsia="Times New Roman" w:cs="Arial"/>
                <w:color w:val="auto"/>
              </w:rPr>
              <w:t xml:space="preserve"> general objections in relation to</w:t>
            </w:r>
            <w:r w:rsidR="00576F28" w:rsidRPr="00AB0794">
              <w:rPr>
                <w:rFonts w:eastAsia="Times New Roman" w:cs="Arial"/>
                <w:color w:val="auto"/>
              </w:rPr>
              <w:t xml:space="preserve"> NORM (naturally occurring radioactive materials)</w:t>
            </w:r>
            <w:r w:rsidRPr="00AB0794">
              <w:rPr>
                <w:rFonts w:eastAsia="Times New Roman" w:cs="Arial"/>
                <w:color w:val="auto"/>
              </w:rPr>
              <w:t xml:space="preserve"> wastes</w:t>
            </w:r>
            <w:r w:rsidR="00DB35DD" w:rsidRPr="00AB0794">
              <w:rPr>
                <w:rFonts w:eastAsia="Times New Roman" w:cs="Arial"/>
                <w:color w:val="auto"/>
              </w:rPr>
              <w:t xml:space="preserve">. </w:t>
            </w:r>
            <w:r w:rsidR="0068472B" w:rsidRPr="00AB0794">
              <w:rPr>
                <w:rFonts w:eastAsia="Times New Roman" w:cs="Arial"/>
                <w:color w:val="auto"/>
              </w:rPr>
              <w:t xml:space="preserve"> Concern</w:t>
            </w:r>
            <w:r w:rsidR="00DB35DD" w:rsidRPr="00AB0794">
              <w:rPr>
                <w:rFonts w:eastAsia="Times New Roman" w:cs="Arial"/>
                <w:color w:val="auto"/>
              </w:rPr>
              <w:t>s</w:t>
            </w:r>
            <w:r w:rsidR="0068472B" w:rsidRPr="00AB0794">
              <w:rPr>
                <w:rFonts w:eastAsia="Times New Roman" w:cs="Arial"/>
                <w:color w:val="auto"/>
              </w:rPr>
              <w:t xml:space="preserve"> </w:t>
            </w:r>
            <w:r w:rsidR="00DB35DD" w:rsidRPr="00AB0794">
              <w:rPr>
                <w:rFonts w:eastAsia="Times New Roman" w:cs="Arial"/>
                <w:color w:val="auto"/>
              </w:rPr>
              <w:t xml:space="preserve">include production, presence and disposal of NORM wastes with reference to shale gas industry and hydraulic fracturing activities. </w:t>
            </w:r>
          </w:p>
          <w:p w14:paraId="0909C7D7" w14:textId="45B945ED" w:rsidR="0041192F" w:rsidRPr="00AB0794" w:rsidRDefault="00133298" w:rsidP="00771631">
            <w:pPr>
              <w:pStyle w:val="ListParagraph"/>
              <w:numPr>
                <w:ilvl w:val="0"/>
                <w:numId w:val="9"/>
              </w:numPr>
              <w:spacing w:after="60"/>
              <w:ind w:left="714" w:right="113" w:hanging="357"/>
              <w:contextualSpacing w:val="0"/>
              <w:rPr>
                <w:rFonts w:eastAsia="Times New Roman" w:cs="Arial"/>
                <w:color w:val="auto"/>
              </w:rPr>
            </w:pPr>
            <w:r w:rsidRPr="00AB0794">
              <w:rPr>
                <w:rFonts w:eastAsia="Times New Roman" w:cs="Arial"/>
                <w:color w:val="auto"/>
              </w:rPr>
              <w:t>Concern about i</w:t>
            </w:r>
            <w:r w:rsidR="00450CC7" w:rsidRPr="00AB0794">
              <w:rPr>
                <w:rFonts w:eastAsia="Times New Roman" w:cs="Arial"/>
                <w:color w:val="auto"/>
              </w:rPr>
              <w:t xml:space="preserve">njection well integrity and the ability to withstand the </w:t>
            </w:r>
            <w:r w:rsidR="00A47BF2" w:rsidRPr="00AB0794">
              <w:rPr>
                <w:rFonts w:eastAsia="Times New Roman" w:cs="Arial"/>
                <w:color w:val="auto"/>
              </w:rPr>
              <w:t>re-injec</w:t>
            </w:r>
            <w:r w:rsidR="00450CC7" w:rsidRPr="00AB0794">
              <w:rPr>
                <w:rFonts w:eastAsia="Times New Roman" w:cs="Arial"/>
                <w:color w:val="auto"/>
              </w:rPr>
              <w:t xml:space="preserve">tion of produced water. </w:t>
            </w:r>
          </w:p>
        </w:tc>
      </w:tr>
      <w:tr w:rsidR="000E4631" w:rsidRPr="00AB0794" w14:paraId="6649C26A" w14:textId="77777777" w:rsidTr="00133298">
        <w:tc>
          <w:tcPr>
            <w:tcW w:w="5000" w:type="pct"/>
          </w:tcPr>
          <w:p w14:paraId="71084B9D"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0E4631" w:rsidRPr="00AB0794" w14:paraId="3D982358" w14:textId="77777777" w:rsidTr="00133298">
        <w:tc>
          <w:tcPr>
            <w:tcW w:w="5000" w:type="pct"/>
          </w:tcPr>
          <w:p w14:paraId="39387FD8" w14:textId="674EFDE5" w:rsidR="000E4631" w:rsidRPr="00AB0794" w:rsidRDefault="00133298" w:rsidP="00771631">
            <w:pPr>
              <w:pStyle w:val="ListParagraph"/>
              <w:numPr>
                <w:ilvl w:val="0"/>
                <w:numId w:val="20"/>
              </w:numPr>
              <w:spacing w:after="60"/>
              <w:ind w:left="714" w:right="113" w:hanging="357"/>
              <w:contextualSpacing w:val="0"/>
              <w:rPr>
                <w:rFonts w:eastAsia="Times New Roman" w:cs="Arial"/>
                <w:color w:val="auto"/>
              </w:rPr>
            </w:pPr>
            <w:r w:rsidRPr="00AB0794">
              <w:rPr>
                <w:rFonts w:eastAsia="Times New Roman" w:cs="Arial"/>
                <w:color w:val="auto"/>
              </w:rPr>
              <w:t>See our above response to Brockham Parish Council</w:t>
            </w:r>
            <w:r w:rsidR="008E68FB">
              <w:rPr>
                <w:rFonts w:eastAsia="Times New Roman" w:cs="Arial"/>
                <w:color w:val="auto"/>
              </w:rPr>
              <w:t xml:space="preserve"> (Point 1.)</w:t>
            </w:r>
            <w:r w:rsidRPr="00AB0794">
              <w:rPr>
                <w:rFonts w:eastAsia="Times New Roman" w:cs="Arial"/>
                <w:color w:val="auto"/>
              </w:rPr>
              <w:t xml:space="preserve">. </w:t>
            </w:r>
          </w:p>
          <w:p w14:paraId="57025418" w14:textId="5608D270" w:rsidR="00133298" w:rsidRPr="00AB0794" w:rsidRDefault="008E68FB" w:rsidP="00771631">
            <w:pPr>
              <w:pStyle w:val="ListParagraph"/>
              <w:numPr>
                <w:ilvl w:val="0"/>
                <w:numId w:val="20"/>
              </w:numPr>
              <w:spacing w:after="60"/>
              <w:ind w:left="714" w:right="113" w:hanging="357"/>
              <w:contextualSpacing w:val="0"/>
              <w:rPr>
                <w:rFonts w:eastAsia="Times New Roman" w:cs="Arial"/>
                <w:color w:val="auto"/>
              </w:rPr>
            </w:pPr>
            <w:r>
              <w:rPr>
                <w:rFonts w:eastAsia="Times New Roman" w:cs="Arial"/>
                <w:color w:val="auto"/>
              </w:rPr>
              <w:lastRenderedPageBreak/>
              <w:t>There are</w:t>
            </w:r>
            <w:r w:rsidR="00697002" w:rsidRPr="00AB0794">
              <w:rPr>
                <w:rFonts w:eastAsia="Times New Roman" w:cs="Arial"/>
                <w:color w:val="auto"/>
              </w:rPr>
              <w:t xml:space="preserve"> no changes proposed to the existing </w:t>
            </w:r>
            <w:r w:rsidR="00473922">
              <w:rPr>
                <w:rFonts w:eastAsia="Times New Roman" w:cs="Arial"/>
                <w:color w:val="auto"/>
              </w:rPr>
              <w:t xml:space="preserve">permitted </w:t>
            </w:r>
            <w:r w:rsidR="00697002" w:rsidRPr="00AB0794">
              <w:rPr>
                <w:rFonts w:eastAsia="Times New Roman" w:cs="Arial"/>
                <w:color w:val="auto"/>
              </w:rPr>
              <w:t>drilling activity</w:t>
            </w:r>
            <w:r>
              <w:rPr>
                <w:rFonts w:eastAsia="Times New Roman" w:cs="Arial"/>
                <w:color w:val="auto"/>
              </w:rPr>
              <w:t xml:space="preserve"> as part of this variation</w:t>
            </w:r>
            <w:r w:rsidR="00697002" w:rsidRPr="00AB0794">
              <w:rPr>
                <w:rFonts w:eastAsia="Times New Roman" w:cs="Arial"/>
                <w:color w:val="auto"/>
              </w:rPr>
              <w:t>.</w:t>
            </w:r>
            <w:r>
              <w:rPr>
                <w:rFonts w:eastAsia="Times New Roman" w:cs="Arial"/>
                <w:color w:val="auto"/>
              </w:rPr>
              <w:t xml:space="preserve"> </w:t>
            </w:r>
            <w:r w:rsidR="00697002" w:rsidRPr="00AB0794">
              <w:rPr>
                <w:rFonts w:eastAsia="Times New Roman" w:cs="Arial"/>
                <w:color w:val="auto"/>
              </w:rPr>
              <w:t xml:space="preserve"> </w:t>
            </w:r>
            <w:r w:rsidR="00F60F0F" w:rsidRPr="00AB0794">
              <w:rPr>
                <w:rStyle w:val="Pink"/>
                <w:rFonts w:cs="Arial"/>
                <w:color w:val="auto"/>
              </w:rPr>
              <w:t>As explained in the key issues section of this decision document we are satisfied that the Supplementary HRA demonstrates the importance of well integrity and includes robust re</w:t>
            </w:r>
            <w:r w:rsidR="00473922">
              <w:rPr>
                <w:rStyle w:val="Pink"/>
                <w:rFonts w:cs="Arial"/>
                <w:color w:val="auto"/>
              </w:rPr>
              <w:t>-</w:t>
            </w:r>
            <w:r w:rsidR="00F60F0F" w:rsidRPr="00AB0794">
              <w:rPr>
                <w:rStyle w:val="Pink"/>
                <w:rFonts w:cs="Arial"/>
                <w:color w:val="auto"/>
              </w:rPr>
              <w:t>injection procedures, and detailed monitoring procedures.</w:t>
            </w:r>
          </w:p>
          <w:p w14:paraId="2A71292B" w14:textId="77777777" w:rsidR="00697002" w:rsidRPr="00AB0794" w:rsidRDefault="004030BC" w:rsidP="00771631">
            <w:pPr>
              <w:pStyle w:val="ListParagraph"/>
              <w:numPr>
                <w:ilvl w:val="0"/>
                <w:numId w:val="20"/>
              </w:numPr>
              <w:spacing w:after="60"/>
              <w:ind w:left="714" w:right="113" w:hanging="357"/>
              <w:contextualSpacing w:val="0"/>
              <w:rPr>
                <w:rFonts w:eastAsia="Times New Roman" w:cs="Arial"/>
                <w:color w:val="auto"/>
              </w:rPr>
            </w:pPr>
            <w:r w:rsidRPr="00AB0794">
              <w:rPr>
                <w:rFonts w:eastAsia="Times New Roman" w:cs="Arial"/>
                <w:color w:val="auto"/>
              </w:rPr>
              <w:t xml:space="preserve">Flowback fluid is a product of hydraulic fracturing. No such activity has been applied for and so we consider this concern not relevant to the existing variation application. </w:t>
            </w:r>
          </w:p>
          <w:p w14:paraId="29EC6F4D" w14:textId="4D288558" w:rsidR="004030BC" w:rsidRPr="00AB0794" w:rsidRDefault="00157CD2" w:rsidP="00771631">
            <w:pPr>
              <w:pStyle w:val="ListParagraph"/>
              <w:numPr>
                <w:ilvl w:val="0"/>
                <w:numId w:val="20"/>
              </w:numPr>
              <w:spacing w:after="60"/>
              <w:ind w:left="714" w:right="113" w:hanging="357"/>
              <w:contextualSpacing w:val="0"/>
              <w:rPr>
                <w:rFonts w:eastAsia="Times New Roman" w:cs="Arial"/>
                <w:color w:val="auto"/>
              </w:rPr>
            </w:pPr>
            <w:r w:rsidRPr="00AB0794">
              <w:rPr>
                <w:rFonts w:eastAsia="Times New Roman" w:cs="Arial"/>
                <w:color w:val="auto"/>
              </w:rPr>
              <w:t xml:space="preserve">The consultation section of this </w:t>
            </w:r>
            <w:r w:rsidR="007A7028" w:rsidRPr="00AB0794">
              <w:rPr>
                <w:rFonts w:eastAsia="Times New Roman" w:cs="Arial"/>
                <w:color w:val="auto"/>
              </w:rPr>
              <w:t>decision document</w:t>
            </w:r>
            <w:r w:rsidRPr="00AB0794">
              <w:rPr>
                <w:rFonts w:eastAsia="Times New Roman" w:cs="Arial"/>
                <w:color w:val="auto"/>
              </w:rPr>
              <w:t xml:space="preserve"> sets out how we publicised the application. All application documents, including the non-technical summary, were available to view as part of that consultation. </w:t>
            </w:r>
          </w:p>
          <w:p w14:paraId="5AB20259" w14:textId="77777777" w:rsidR="00DA04FB" w:rsidRPr="00AB0794" w:rsidRDefault="00DA04FB" w:rsidP="00771631">
            <w:pPr>
              <w:pStyle w:val="ListParagraph"/>
              <w:numPr>
                <w:ilvl w:val="0"/>
                <w:numId w:val="20"/>
              </w:numPr>
              <w:spacing w:after="60"/>
              <w:ind w:left="714" w:right="113" w:hanging="357"/>
              <w:contextualSpacing w:val="0"/>
              <w:rPr>
                <w:rFonts w:eastAsia="Times New Roman" w:cs="Arial"/>
                <w:color w:val="auto"/>
              </w:rPr>
            </w:pPr>
            <w:r w:rsidRPr="00AB0794">
              <w:rPr>
                <w:rFonts w:eastAsia="Times New Roman" w:cs="Arial"/>
                <w:color w:val="auto"/>
              </w:rPr>
              <w:t xml:space="preserve">This concern is not relevant to the application as no changes are proposed to the existing drilling activity. </w:t>
            </w:r>
          </w:p>
          <w:p w14:paraId="52536109" w14:textId="77777777" w:rsidR="00DA04FB" w:rsidRPr="00AB0794" w:rsidRDefault="001149F9" w:rsidP="00771631">
            <w:pPr>
              <w:pStyle w:val="ListParagraph"/>
              <w:numPr>
                <w:ilvl w:val="0"/>
                <w:numId w:val="20"/>
              </w:numPr>
              <w:spacing w:after="60"/>
              <w:ind w:left="714" w:right="113" w:hanging="357"/>
              <w:contextualSpacing w:val="0"/>
              <w:rPr>
                <w:rFonts w:eastAsia="Times New Roman" w:cs="Arial"/>
                <w:color w:val="auto"/>
              </w:rPr>
            </w:pPr>
            <w:r w:rsidRPr="00AB0794">
              <w:rPr>
                <w:rFonts w:cs="Arial"/>
              </w:rPr>
              <w:t xml:space="preserve">Seismicity linked to oil and gas operations is the remit of the Oil and Gas Authority (OGA). Seismicity in the USA is not relevant to this variation application. </w:t>
            </w:r>
            <w:r w:rsidR="00DA04FB" w:rsidRPr="00AB0794">
              <w:rPr>
                <w:rFonts w:cs="Arial"/>
              </w:rPr>
              <w:t xml:space="preserve">We are satisfied that sufficient information has been presented on the geology and hydrogeology in the HRA in accordance with the Environment Agency’s Groundwater risk assessment for your environmental permit guidance and Onshore Oil and Gas Sector Guidance. </w:t>
            </w:r>
          </w:p>
          <w:p w14:paraId="61022C49" w14:textId="0C2EFAE8" w:rsidR="00DB35DD" w:rsidRPr="00AB0794" w:rsidRDefault="00CC7120" w:rsidP="00771631">
            <w:pPr>
              <w:pStyle w:val="ListParagraph"/>
              <w:numPr>
                <w:ilvl w:val="0"/>
                <w:numId w:val="20"/>
              </w:numPr>
              <w:spacing w:after="60"/>
              <w:ind w:left="714" w:right="113" w:hanging="357"/>
              <w:contextualSpacing w:val="0"/>
              <w:rPr>
                <w:rStyle w:val="Pink"/>
                <w:rFonts w:eastAsia="Times New Roman" w:cs="Arial"/>
                <w:color w:val="auto"/>
              </w:rPr>
            </w:pPr>
            <w:r w:rsidRPr="00AB0794">
              <w:rPr>
                <w:rStyle w:val="Pink"/>
                <w:rFonts w:cs="Arial"/>
                <w:color w:val="auto"/>
              </w:rPr>
              <w:t xml:space="preserve">NORM </w:t>
            </w:r>
            <w:r w:rsidR="007500D3" w:rsidRPr="00AB0794">
              <w:rPr>
                <w:rStyle w:val="Pink"/>
                <w:rFonts w:cs="Arial"/>
                <w:color w:val="auto"/>
              </w:rPr>
              <w:t xml:space="preserve">waste </w:t>
            </w:r>
            <w:r w:rsidRPr="00AB0794">
              <w:rPr>
                <w:rStyle w:val="Pink"/>
                <w:rFonts w:cs="Arial"/>
                <w:color w:val="auto"/>
              </w:rPr>
              <w:t xml:space="preserve">are routinely encountered in deeper geology associated with onshore oil production. </w:t>
            </w:r>
            <w:r w:rsidR="00DB35DD" w:rsidRPr="00AB0794">
              <w:rPr>
                <w:rStyle w:val="Pink"/>
                <w:rFonts w:cs="Arial"/>
                <w:color w:val="auto"/>
              </w:rPr>
              <w:t>NORM wastes</w:t>
            </w:r>
            <w:r w:rsidRPr="00AB0794">
              <w:rPr>
                <w:rStyle w:val="Pink"/>
                <w:rFonts w:cs="Arial"/>
                <w:color w:val="auto"/>
              </w:rPr>
              <w:t xml:space="preserve"> are controlled through a separate permit</w:t>
            </w:r>
            <w:r w:rsidR="00DB35DD" w:rsidRPr="00AB0794">
              <w:rPr>
                <w:rStyle w:val="Pink"/>
                <w:rFonts w:cs="Arial"/>
                <w:color w:val="auto"/>
              </w:rPr>
              <w:t xml:space="preserve"> as described in the key issues section of this </w:t>
            </w:r>
            <w:r w:rsidR="007A7028" w:rsidRPr="00AB0794">
              <w:rPr>
                <w:rStyle w:val="Pink"/>
                <w:rFonts w:cs="Arial"/>
                <w:color w:val="auto"/>
              </w:rPr>
              <w:t>decision document</w:t>
            </w:r>
            <w:r w:rsidR="00DB35DD" w:rsidRPr="00AB0794">
              <w:rPr>
                <w:rStyle w:val="Pink"/>
                <w:rFonts w:cs="Arial"/>
                <w:color w:val="auto"/>
              </w:rPr>
              <w:t xml:space="preserve">. Issues relating to the shale gas industry and hydraulic fracturing are not relevant to this variation application as the permit is not for these activities. </w:t>
            </w:r>
          </w:p>
          <w:p w14:paraId="36B44A6E" w14:textId="4EBF8F8B" w:rsidR="00CC7120" w:rsidRPr="00AB0794" w:rsidRDefault="00DB35DD" w:rsidP="00771631">
            <w:pPr>
              <w:pStyle w:val="ListParagraph"/>
              <w:numPr>
                <w:ilvl w:val="0"/>
                <w:numId w:val="20"/>
              </w:numPr>
              <w:spacing w:after="60"/>
              <w:ind w:left="714" w:right="113" w:hanging="357"/>
              <w:contextualSpacing w:val="0"/>
              <w:rPr>
                <w:rFonts w:eastAsia="Times New Roman" w:cs="Arial"/>
                <w:color w:val="auto"/>
              </w:rPr>
            </w:pPr>
            <w:r w:rsidRPr="00AB0794">
              <w:rPr>
                <w:rStyle w:val="Pink"/>
                <w:rFonts w:cs="Arial"/>
                <w:color w:val="auto"/>
              </w:rPr>
              <w:t xml:space="preserve">As explained in the key issues section of this </w:t>
            </w:r>
            <w:r w:rsidR="007A7028" w:rsidRPr="00AB0794">
              <w:rPr>
                <w:rStyle w:val="Pink"/>
                <w:rFonts w:cs="Arial"/>
                <w:color w:val="auto"/>
              </w:rPr>
              <w:t>decision document</w:t>
            </w:r>
            <w:r w:rsidRPr="00AB0794">
              <w:rPr>
                <w:rStyle w:val="Pink"/>
                <w:rFonts w:cs="Arial"/>
                <w:color w:val="auto"/>
              </w:rPr>
              <w:t xml:space="preserve"> we are satisfied that the Supplementary HRA demonstrates the importance </w:t>
            </w:r>
            <w:r w:rsidR="001D529F" w:rsidRPr="00AB0794">
              <w:rPr>
                <w:rStyle w:val="Pink"/>
                <w:rFonts w:cs="Arial"/>
                <w:color w:val="auto"/>
              </w:rPr>
              <w:t xml:space="preserve">of well integrity and includes </w:t>
            </w:r>
            <w:r w:rsidRPr="00AB0794">
              <w:rPr>
                <w:rStyle w:val="Pink"/>
                <w:rFonts w:cs="Arial"/>
                <w:color w:val="auto"/>
              </w:rPr>
              <w:t xml:space="preserve">robust </w:t>
            </w:r>
            <w:r w:rsidR="001D529F" w:rsidRPr="00AB0794">
              <w:rPr>
                <w:rStyle w:val="Pink"/>
                <w:rFonts w:cs="Arial"/>
                <w:color w:val="auto"/>
              </w:rPr>
              <w:t xml:space="preserve">re </w:t>
            </w:r>
            <w:r w:rsidRPr="00AB0794">
              <w:rPr>
                <w:rStyle w:val="Pink"/>
                <w:rFonts w:cs="Arial"/>
                <w:color w:val="auto"/>
              </w:rPr>
              <w:t xml:space="preserve">injection procedures, and </w:t>
            </w:r>
            <w:r w:rsidR="001D529F" w:rsidRPr="00AB0794">
              <w:rPr>
                <w:rStyle w:val="Pink"/>
                <w:rFonts w:cs="Arial"/>
                <w:color w:val="auto"/>
              </w:rPr>
              <w:t xml:space="preserve">detailed monitoring procedures. </w:t>
            </w:r>
          </w:p>
        </w:tc>
      </w:tr>
    </w:tbl>
    <w:p w14:paraId="38240954" w14:textId="77777777" w:rsidR="000E4631" w:rsidRPr="00AB0794" w:rsidRDefault="000E4631" w:rsidP="002F6967">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ED411C" w:rsidRPr="00AB0794" w14:paraId="0C1982EA" w14:textId="77777777" w:rsidTr="00ED411C">
        <w:tc>
          <w:tcPr>
            <w:tcW w:w="5000" w:type="pct"/>
          </w:tcPr>
          <w:p w14:paraId="5DCC9268" w14:textId="77777777" w:rsidR="00ED411C" w:rsidRPr="00AB0794" w:rsidRDefault="00ED411C" w:rsidP="00ED411C">
            <w:pPr>
              <w:spacing w:after="0" w:line="240" w:lineRule="auto"/>
              <w:ind w:right="113"/>
              <w:rPr>
                <w:rFonts w:eastAsia="Times New Roman" w:cs="Arial"/>
                <w:b/>
                <w:color w:val="auto"/>
              </w:rPr>
            </w:pPr>
            <w:r w:rsidRPr="00AB0794">
              <w:rPr>
                <w:rFonts w:eastAsia="Times New Roman" w:cs="Arial"/>
                <w:b/>
                <w:color w:val="auto"/>
              </w:rPr>
              <w:t>Response received from</w:t>
            </w:r>
          </w:p>
        </w:tc>
      </w:tr>
      <w:tr w:rsidR="00ED411C" w:rsidRPr="00AB0794" w14:paraId="675BB827" w14:textId="77777777" w:rsidTr="00ED411C">
        <w:tc>
          <w:tcPr>
            <w:tcW w:w="5000" w:type="pct"/>
          </w:tcPr>
          <w:p w14:paraId="49C00A66" w14:textId="327817B6" w:rsidR="00ED411C" w:rsidRPr="00AB0794" w:rsidRDefault="00ED411C" w:rsidP="00ED411C">
            <w:pPr>
              <w:spacing w:after="0" w:line="240" w:lineRule="auto"/>
              <w:ind w:right="113"/>
              <w:rPr>
                <w:rFonts w:eastAsia="Times New Roman" w:cs="Arial"/>
                <w:color w:val="auto"/>
              </w:rPr>
            </w:pPr>
            <w:r w:rsidRPr="00AB0794">
              <w:rPr>
                <w:rFonts w:eastAsia="Times New Roman" w:cs="Arial"/>
                <w:color w:val="auto"/>
              </w:rPr>
              <w:t>Brockham Oil Watch</w:t>
            </w:r>
          </w:p>
        </w:tc>
      </w:tr>
      <w:tr w:rsidR="00ED411C" w:rsidRPr="00AB0794" w14:paraId="6257E443" w14:textId="77777777" w:rsidTr="00ED411C">
        <w:tc>
          <w:tcPr>
            <w:tcW w:w="5000" w:type="pct"/>
          </w:tcPr>
          <w:p w14:paraId="44B4ACD9" w14:textId="77777777" w:rsidR="00ED411C" w:rsidRPr="00AB0794" w:rsidRDefault="00ED411C" w:rsidP="00ED411C">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ED411C" w:rsidRPr="00AB0794" w14:paraId="46C1D223" w14:textId="77777777" w:rsidTr="00ED411C">
        <w:tc>
          <w:tcPr>
            <w:tcW w:w="5000" w:type="pct"/>
          </w:tcPr>
          <w:p w14:paraId="60DCB99A" w14:textId="1CDAEC63" w:rsidR="00ED411C" w:rsidRPr="00AB0794" w:rsidRDefault="00ED411C" w:rsidP="00ED411C">
            <w:pPr>
              <w:spacing w:line="240" w:lineRule="auto"/>
              <w:ind w:right="113"/>
              <w:rPr>
                <w:rFonts w:eastAsia="Times New Roman" w:cs="Arial"/>
                <w:color w:val="auto"/>
              </w:rPr>
            </w:pPr>
            <w:r w:rsidRPr="00AB0794">
              <w:rPr>
                <w:rFonts w:eastAsia="Times New Roman" w:cs="Arial"/>
                <w:color w:val="auto"/>
              </w:rPr>
              <w:lastRenderedPageBreak/>
              <w:t xml:space="preserve">We received </w:t>
            </w:r>
            <w:r w:rsidR="00815E10" w:rsidRPr="00AB0794">
              <w:rPr>
                <w:rFonts w:eastAsia="Times New Roman" w:cs="Arial"/>
                <w:color w:val="auto"/>
              </w:rPr>
              <w:t>two submi</w:t>
            </w:r>
            <w:r w:rsidR="00F91A16" w:rsidRPr="00AB0794">
              <w:rPr>
                <w:rFonts w:eastAsia="Times New Roman" w:cs="Arial"/>
                <w:color w:val="auto"/>
              </w:rPr>
              <w:t xml:space="preserve">ssions from Brockham Oil Watch </w:t>
            </w:r>
            <w:r w:rsidR="00A17625" w:rsidRPr="00AB0794">
              <w:rPr>
                <w:rFonts w:eastAsia="Times New Roman" w:cs="Arial"/>
                <w:color w:val="auto"/>
              </w:rPr>
              <w:t xml:space="preserve">both of </w:t>
            </w:r>
            <w:r w:rsidR="00F91A16" w:rsidRPr="00AB0794">
              <w:rPr>
                <w:rFonts w:eastAsia="Times New Roman" w:cs="Arial"/>
                <w:color w:val="auto"/>
              </w:rPr>
              <w:t xml:space="preserve">which included supporting documents and reports. </w:t>
            </w:r>
            <w:r w:rsidR="00217AC7" w:rsidRPr="00AB0794">
              <w:rPr>
                <w:rFonts w:eastAsia="Times New Roman" w:cs="Arial"/>
                <w:color w:val="auto"/>
              </w:rPr>
              <w:t>The main concerns identified are:</w:t>
            </w:r>
          </w:p>
          <w:p w14:paraId="0EC92BEE" w14:textId="36512B1C" w:rsidR="00ED411C" w:rsidRPr="00AB0794" w:rsidRDefault="00217AC7" w:rsidP="00A17625">
            <w:pPr>
              <w:pStyle w:val="Default"/>
              <w:keepLines/>
              <w:numPr>
                <w:ilvl w:val="0"/>
                <w:numId w:val="21"/>
              </w:numPr>
              <w:spacing w:after="60" w:line="259" w:lineRule="auto"/>
              <w:ind w:left="714" w:right="113" w:hanging="357"/>
              <w:rPr>
                <w:rFonts w:eastAsia="Times New Roman"/>
                <w:color w:val="auto"/>
              </w:rPr>
            </w:pPr>
            <w:r w:rsidRPr="00AB0794">
              <w:rPr>
                <w:color w:val="auto"/>
              </w:rPr>
              <w:t xml:space="preserve">Concern that a desk based approach is not appropriate for an assessment of risk. </w:t>
            </w:r>
          </w:p>
          <w:p w14:paraId="56A6FAEA" w14:textId="2B7E04BB" w:rsidR="00ED411C" w:rsidRPr="00AB0794" w:rsidRDefault="00217AC7"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Concern about a lack of site specific data on the near surface geology and hydrogeology including confirmation of whether there are interconnected sand lenses, </w:t>
            </w:r>
            <w:r w:rsidR="00473922">
              <w:rPr>
                <w:rFonts w:eastAsia="Times New Roman" w:cs="Arial"/>
                <w:color w:val="auto"/>
              </w:rPr>
              <w:t xml:space="preserve">based on the </w:t>
            </w:r>
            <w:r w:rsidRPr="00AB0794">
              <w:rPr>
                <w:rFonts w:eastAsia="Times New Roman" w:cs="Arial"/>
                <w:color w:val="auto"/>
              </w:rPr>
              <w:t xml:space="preserve">dips and strikes of more permeable strata. </w:t>
            </w:r>
          </w:p>
          <w:p w14:paraId="263AAE49" w14:textId="77777777" w:rsidR="00217AC7" w:rsidRPr="00AB0794" w:rsidRDefault="00217AC7"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Concern that groundwater monitoring should not be ruled out without intrusive investigation. </w:t>
            </w:r>
          </w:p>
          <w:p w14:paraId="5EF4B859" w14:textId="08E0A138" w:rsidR="00ED411C" w:rsidRPr="00AB0794" w:rsidRDefault="00217AC7"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Concern about the chemical compatibility of produced water that will be received onto the site and a lack of information about testing for acceptance. </w:t>
            </w:r>
          </w:p>
          <w:p w14:paraId="7A55CB35" w14:textId="125CE61A" w:rsidR="007A2CF1" w:rsidRPr="00AB0794" w:rsidRDefault="007A2CF1"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Concern about injection well integrity and the ability to withstand the </w:t>
            </w:r>
            <w:r w:rsidR="00A47BF2" w:rsidRPr="00AB0794">
              <w:rPr>
                <w:rFonts w:eastAsia="Times New Roman" w:cs="Arial"/>
                <w:color w:val="auto"/>
              </w:rPr>
              <w:t>re-injec</w:t>
            </w:r>
            <w:r w:rsidRPr="00AB0794">
              <w:rPr>
                <w:rFonts w:eastAsia="Times New Roman" w:cs="Arial"/>
                <w:color w:val="auto"/>
              </w:rPr>
              <w:t xml:space="preserve">tion of produced water. </w:t>
            </w:r>
          </w:p>
          <w:p w14:paraId="26287D25" w14:textId="54EF4601" w:rsidR="007A2CF1" w:rsidRPr="00AB0794" w:rsidRDefault="00815E10"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Concern</w:t>
            </w:r>
            <w:r w:rsidR="00EA31FC" w:rsidRPr="00AB0794">
              <w:rPr>
                <w:rFonts w:eastAsia="Times New Roman" w:cs="Arial"/>
                <w:color w:val="auto"/>
              </w:rPr>
              <w:t xml:space="preserve"> about the potential for s</w:t>
            </w:r>
            <w:r w:rsidR="0072463B" w:rsidRPr="00AB0794">
              <w:rPr>
                <w:rFonts w:eastAsia="Times New Roman" w:cs="Arial"/>
                <w:color w:val="auto"/>
              </w:rPr>
              <w:t>eismic activity being increased and tha</w:t>
            </w:r>
            <w:r w:rsidR="0072463B" w:rsidRPr="00AB0794">
              <w:rPr>
                <w:rStyle w:val="Pink"/>
                <w:rFonts w:cs="Arial"/>
                <w:color w:val="auto"/>
              </w:rPr>
              <w:t xml:space="preserve">t fluid re-injection can trigger induced seismicity as the </w:t>
            </w:r>
            <w:r w:rsidR="00C57F13">
              <w:rPr>
                <w:rStyle w:val="Pink"/>
                <w:rFonts w:cs="Arial"/>
                <w:color w:val="auto"/>
              </w:rPr>
              <w:t xml:space="preserve">site is located 7km from a </w:t>
            </w:r>
            <w:proofErr w:type="spellStart"/>
            <w:r w:rsidR="00C57F13">
              <w:rPr>
                <w:rStyle w:val="Pink"/>
                <w:rFonts w:cs="Arial"/>
                <w:color w:val="auto"/>
              </w:rPr>
              <w:t>seis</w:t>
            </w:r>
            <w:r w:rsidR="0072463B" w:rsidRPr="00AB0794">
              <w:rPr>
                <w:rStyle w:val="Pink"/>
                <w:rFonts w:cs="Arial"/>
                <w:color w:val="auto"/>
              </w:rPr>
              <w:t>m</w:t>
            </w:r>
            <w:r w:rsidR="00C57F13">
              <w:rPr>
                <w:rStyle w:val="Pink"/>
                <w:rFonts w:cs="Arial"/>
                <w:color w:val="auto"/>
              </w:rPr>
              <w:t>o</w:t>
            </w:r>
            <w:r w:rsidR="0072463B" w:rsidRPr="00AB0794">
              <w:rPr>
                <w:rStyle w:val="Pink"/>
                <w:rFonts w:cs="Arial"/>
                <w:color w:val="auto"/>
              </w:rPr>
              <w:t>genic</w:t>
            </w:r>
            <w:proofErr w:type="spellEnd"/>
            <w:r w:rsidR="0072463B" w:rsidRPr="00AB0794">
              <w:rPr>
                <w:rStyle w:val="Pink"/>
                <w:rFonts w:cs="Arial"/>
                <w:color w:val="auto"/>
              </w:rPr>
              <w:t xml:space="preserve"> zone near </w:t>
            </w:r>
            <w:proofErr w:type="spellStart"/>
            <w:r w:rsidR="0072463B" w:rsidRPr="00AB0794">
              <w:rPr>
                <w:rStyle w:val="Pink"/>
                <w:rFonts w:cs="Arial"/>
                <w:color w:val="auto"/>
              </w:rPr>
              <w:t>Newdigate</w:t>
            </w:r>
            <w:proofErr w:type="spellEnd"/>
            <w:r w:rsidR="0072463B" w:rsidRPr="00AB0794">
              <w:rPr>
                <w:rStyle w:val="Pink"/>
                <w:rFonts w:cs="Arial"/>
                <w:color w:val="auto"/>
              </w:rPr>
              <w:t>, Surrey where there was a swarm of shallow earthquakes in 2018.</w:t>
            </w:r>
          </w:p>
          <w:p w14:paraId="498D02C9" w14:textId="7A3A3C60" w:rsidR="00EA31FC" w:rsidRPr="00AB0794" w:rsidRDefault="00EA31FC" w:rsidP="00A17625">
            <w:pPr>
              <w:pStyle w:val="ListParagraph"/>
              <w:numPr>
                <w:ilvl w:val="0"/>
                <w:numId w:val="21"/>
              </w:numPr>
              <w:tabs>
                <w:tab w:val="left" w:pos="-720"/>
              </w:tabs>
              <w:spacing w:after="60"/>
              <w:ind w:left="714" w:right="113" w:hanging="357"/>
              <w:contextualSpacing w:val="0"/>
              <w:rPr>
                <w:rStyle w:val="Pink"/>
                <w:rFonts w:cs="Arial"/>
                <w:color w:val="auto"/>
              </w:rPr>
            </w:pPr>
            <w:r w:rsidRPr="00AB0794">
              <w:rPr>
                <w:rStyle w:val="Pink"/>
                <w:rFonts w:cs="Arial"/>
                <w:color w:val="auto"/>
              </w:rPr>
              <w:t>Concern that the application is for waste water disposal</w:t>
            </w:r>
            <w:r w:rsidR="00924B42" w:rsidRPr="00AB0794">
              <w:rPr>
                <w:rStyle w:val="Pink"/>
                <w:rFonts w:cs="Arial"/>
                <w:color w:val="auto"/>
              </w:rPr>
              <w:t xml:space="preserve"> and to save money,</w:t>
            </w:r>
            <w:r w:rsidRPr="00AB0794">
              <w:rPr>
                <w:rStyle w:val="Pink"/>
                <w:rFonts w:cs="Arial"/>
                <w:color w:val="auto"/>
              </w:rPr>
              <w:t xml:space="preserve"> rather than for supporting oil production at the site</w:t>
            </w:r>
            <w:r w:rsidR="00722CB0" w:rsidRPr="00AB0794">
              <w:rPr>
                <w:rStyle w:val="Pink"/>
                <w:rFonts w:cs="Arial"/>
                <w:color w:val="auto"/>
              </w:rPr>
              <w:t>.</w:t>
            </w:r>
          </w:p>
          <w:p w14:paraId="3B4E6532" w14:textId="2F30B142" w:rsidR="00EA31FC" w:rsidRPr="00AB0794" w:rsidRDefault="00A17625"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Concern that the Operator does not have</w:t>
            </w:r>
            <w:r w:rsidR="00EA31FC" w:rsidRPr="00AB0794">
              <w:rPr>
                <w:rFonts w:eastAsia="Times New Roman" w:cs="Arial"/>
                <w:color w:val="auto"/>
              </w:rPr>
              <w:t xml:space="preserve"> planning permission for the importation of any waste fluids from other well sites. </w:t>
            </w:r>
          </w:p>
          <w:p w14:paraId="5572FCEC" w14:textId="608D2F4C" w:rsidR="00722CB0" w:rsidRPr="00AB0794" w:rsidRDefault="00722CB0" w:rsidP="00A17625">
            <w:pPr>
              <w:pStyle w:val="Default"/>
              <w:keepLines/>
              <w:numPr>
                <w:ilvl w:val="0"/>
                <w:numId w:val="21"/>
              </w:numPr>
              <w:spacing w:after="60" w:line="259" w:lineRule="auto"/>
              <w:ind w:left="714" w:right="113" w:hanging="357"/>
              <w:rPr>
                <w:color w:val="auto"/>
              </w:rPr>
            </w:pPr>
            <w:r w:rsidRPr="00AB0794">
              <w:rPr>
                <w:color w:val="auto"/>
              </w:rPr>
              <w:t xml:space="preserve">The </w:t>
            </w:r>
            <w:r w:rsidR="00A17625" w:rsidRPr="00AB0794">
              <w:rPr>
                <w:color w:val="auto"/>
              </w:rPr>
              <w:t>O</w:t>
            </w:r>
            <w:r w:rsidRPr="00AB0794">
              <w:rPr>
                <w:color w:val="auto"/>
              </w:rPr>
              <w:t xml:space="preserve">perator has a poor history of compliance with the permit conditions and questionable operator competence.  </w:t>
            </w:r>
          </w:p>
          <w:p w14:paraId="2BC172FA" w14:textId="27CC1A59" w:rsidR="00ED411C" w:rsidRPr="00AB0794" w:rsidRDefault="00722CB0"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There are </w:t>
            </w:r>
            <w:r w:rsidR="003E4BC7" w:rsidRPr="00AB0794">
              <w:rPr>
                <w:rFonts w:eastAsia="Times New Roman" w:cs="Arial"/>
                <w:color w:val="auto"/>
              </w:rPr>
              <w:t>discrepancies</w:t>
            </w:r>
            <w:r w:rsidRPr="00AB0794">
              <w:rPr>
                <w:rFonts w:eastAsia="Times New Roman" w:cs="Arial"/>
                <w:color w:val="auto"/>
              </w:rPr>
              <w:t xml:space="preserve"> between the waste management plan and the supplementary HRA in terms of </w:t>
            </w:r>
            <w:r w:rsidR="003E4BC7" w:rsidRPr="00AB0794">
              <w:rPr>
                <w:rFonts w:eastAsia="Times New Roman" w:cs="Arial"/>
                <w:color w:val="auto"/>
              </w:rPr>
              <w:t xml:space="preserve">produced water source and detailed procedures. </w:t>
            </w:r>
          </w:p>
          <w:p w14:paraId="69C49222" w14:textId="235C5240" w:rsidR="00815E10" w:rsidRPr="00AB0794" w:rsidRDefault="00815E10"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Concern over the inadequacy of existing 2D seismic database, resolution of the 2D data and subsequent errors in interpretation of the geological structure</w:t>
            </w:r>
            <w:r w:rsidR="00C40D75" w:rsidRPr="00AB0794">
              <w:rPr>
                <w:rFonts w:eastAsia="Times New Roman" w:cs="Arial"/>
                <w:color w:val="auto"/>
              </w:rPr>
              <w:t>.</w:t>
            </w:r>
          </w:p>
          <w:p w14:paraId="0691BF37" w14:textId="77777777" w:rsidR="00C40D75" w:rsidRPr="00AB0794" w:rsidRDefault="00C40D75" w:rsidP="00A17625">
            <w:pPr>
              <w:pStyle w:val="ListParagraph"/>
              <w:numPr>
                <w:ilvl w:val="0"/>
                <w:numId w:val="21"/>
              </w:numPr>
              <w:spacing w:after="60"/>
              <w:ind w:left="714" w:right="113" w:hanging="357"/>
              <w:contextualSpacing w:val="0"/>
              <w:rPr>
                <w:rFonts w:eastAsia="Times New Roman" w:cs="Arial"/>
                <w:color w:val="auto"/>
              </w:rPr>
            </w:pPr>
            <w:r w:rsidRPr="00AB0794">
              <w:rPr>
                <w:rFonts w:eastAsia="Times New Roman" w:cs="Arial"/>
                <w:color w:val="auto"/>
              </w:rPr>
              <w:t xml:space="preserve">Statements regarding regional groundwater flow and the Tunbridge Sand Formation and Ashdown Formation. </w:t>
            </w:r>
          </w:p>
          <w:p w14:paraId="53F368EC" w14:textId="53157B6E" w:rsidR="0072463B" w:rsidRPr="00AB0794" w:rsidRDefault="0072463B" w:rsidP="00A17625">
            <w:pPr>
              <w:pStyle w:val="ListParagraph"/>
              <w:numPr>
                <w:ilvl w:val="0"/>
                <w:numId w:val="21"/>
              </w:numPr>
              <w:tabs>
                <w:tab w:val="left" w:pos="-720"/>
              </w:tabs>
              <w:spacing w:after="60"/>
              <w:ind w:left="714" w:right="113" w:hanging="357"/>
              <w:contextualSpacing w:val="0"/>
              <w:rPr>
                <w:rStyle w:val="Pink"/>
                <w:rFonts w:cs="Arial"/>
                <w:color w:val="auto"/>
              </w:rPr>
            </w:pPr>
            <w:r w:rsidRPr="00AB0794">
              <w:rPr>
                <w:rStyle w:val="Pink"/>
                <w:rFonts w:cs="Arial"/>
                <w:color w:val="auto"/>
              </w:rPr>
              <w:t>Concern that the re-injection depth is too shallow and there are inadequate geological barriers to upward flow of contaminated fluids.</w:t>
            </w:r>
            <w:r w:rsidR="00D60F4C" w:rsidRPr="00AB0794">
              <w:rPr>
                <w:rStyle w:val="Pink"/>
                <w:rFonts w:cs="Arial"/>
                <w:color w:val="auto"/>
              </w:rPr>
              <w:t xml:space="preserve"> The response raises concern that the re-injection depth is unusually shallow at 625m below sea level and there are inadequate geological barriers to upward flow of contaminated fluids. The response also suggests that the </w:t>
            </w:r>
            <w:r w:rsidR="00D60F4C" w:rsidRPr="00AB0794">
              <w:rPr>
                <w:rStyle w:val="Pink"/>
                <w:rFonts w:cs="Arial"/>
                <w:color w:val="auto"/>
              </w:rPr>
              <w:lastRenderedPageBreak/>
              <w:t>throw of the southern field bounding fault is greater than the 15m of Purbeck Anhydrite and the Purbeck Anhydrite cannot act alone as a barrier to fluid migration.</w:t>
            </w:r>
          </w:p>
          <w:p w14:paraId="7FE18B93" w14:textId="77777777" w:rsidR="00F91A16" w:rsidRPr="00AB0794" w:rsidRDefault="0055112D" w:rsidP="00A17625">
            <w:pPr>
              <w:pStyle w:val="ListParagraph"/>
              <w:numPr>
                <w:ilvl w:val="0"/>
                <w:numId w:val="21"/>
              </w:numPr>
              <w:tabs>
                <w:tab w:val="left" w:pos="-720"/>
              </w:tabs>
              <w:spacing w:after="60"/>
              <w:ind w:left="714" w:right="113" w:hanging="357"/>
              <w:contextualSpacing w:val="0"/>
              <w:rPr>
                <w:rStyle w:val="Pink"/>
                <w:rFonts w:cs="Arial"/>
                <w:color w:val="auto"/>
              </w:rPr>
            </w:pPr>
            <w:r w:rsidRPr="00AB0794">
              <w:rPr>
                <w:rStyle w:val="Pink"/>
                <w:rFonts w:cs="Arial"/>
                <w:color w:val="auto"/>
              </w:rPr>
              <w:t xml:space="preserve">Concerns about data omission or removal in Figure 2-1 of the Supplementary HRA. </w:t>
            </w:r>
          </w:p>
          <w:p w14:paraId="7E561072" w14:textId="0AB4820A" w:rsidR="00F91A16" w:rsidRPr="00AB0794" w:rsidRDefault="00F91A16" w:rsidP="00A17625">
            <w:pPr>
              <w:pStyle w:val="ListParagraph"/>
              <w:numPr>
                <w:ilvl w:val="0"/>
                <w:numId w:val="21"/>
              </w:numPr>
              <w:tabs>
                <w:tab w:val="left" w:pos="-720"/>
              </w:tabs>
              <w:spacing w:after="60"/>
              <w:ind w:left="714" w:right="113" w:hanging="357"/>
              <w:contextualSpacing w:val="0"/>
              <w:rPr>
                <w:rFonts w:cs="Arial"/>
                <w:color w:val="auto"/>
              </w:rPr>
            </w:pPr>
            <w:r w:rsidRPr="00AB0794">
              <w:rPr>
                <w:rStyle w:val="Pink"/>
                <w:rFonts w:cs="Arial"/>
                <w:color w:val="auto"/>
              </w:rPr>
              <w:t xml:space="preserve">Questions about scope values in reference to NORM and how this is measured and checked by the Environment Agency. </w:t>
            </w:r>
          </w:p>
        </w:tc>
      </w:tr>
      <w:tr w:rsidR="00ED411C" w:rsidRPr="00AB0794" w14:paraId="71F8D039" w14:textId="77777777" w:rsidTr="00ED411C">
        <w:tc>
          <w:tcPr>
            <w:tcW w:w="5000" w:type="pct"/>
          </w:tcPr>
          <w:p w14:paraId="14A751C6" w14:textId="77777777" w:rsidR="00ED411C" w:rsidRPr="00AB0794" w:rsidRDefault="00ED411C" w:rsidP="00ED411C">
            <w:pPr>
              <w:spacing w:after="0" w:line="240" w:lineRule="auto"/>
              <w:ind w:right="113"/>
              <w:rPr>
                <w:rFonts w:eastAsia="Times New Roman" w:cs="Arial"/>
                <w:b/>
                <w:color w:val="auto"/>
              </w:rPr>
            </w:pPr>
            <w:r w:rsidRPr="00AB0794">
              <w:rPr>
                <w:rFonts w:eastAsia="Times New Roman" w:cs="Arial"/>
                <w:b/>
                <w:color w:val="auto"/>
              </w:rPr>
              <w:lastRenderedPageBreak/>
              <w:t>Summary of actions taken or show how this has been covered</w:t>
            </w:r>
          </w:p>
        </w:tc>
      </w:tr>
      <w:tr w:rsidR="00ED411C" w:rsidRPr="00AB0794" w14:paraId="30E12A6F" w14:textId="77777777" w:rsidTr="00ED411C">
        <w:tc>
          <w:tcPr>
            <w:tcW w:w="5000" w:type="pct"/>
          </w:tcPr>
          <w:p w14:paraId="39CC3DDB" w14:textId="4EC19E27" w:rsidR="007A2CF1" w:rsidRPr="00AB0794" w:rsidRDefault="007A2CF1" w:rsidP="00AB0794">
            <w:pPr>
              <w:pStyle w:val="ListParagraph"/>
              <w:numPr>
                <w:ilvl w:val="0"/>
                <w:numId w:val="23"/>
              </w:numPr>
              <w:tabs>
                <w:tab w:val="left" w:pos="-720"/>
              </w:tabs>
              <w:spacing w:after="60"/>
              <w:ind w:right="113"/>
              <w:contextualSpacing w:val="0"/>
              <w:rPr>
                <w:rFonts w:cs="Arial"/>
              </w:rPr>
            </w:pPr>
            <w:r w:rsidRPr="00AB0794">
              <w:rPr>
                <w:rFonts w:cs="Arial"/>
              </w:rPr>
              <w:t>We have reviewed the Supplementary H</w:t>
            </w:r>
            <w:r w:rsidR="00A17625" w:rsidRPr="00AB0794">
              <w:rPr>
                <w:rFonts w:cs="Arial"/>
              </w:rPr>
              <w:t xml:space="preserve">RA </w:t>
            </w:r>
            <w:r w:rsidRPr="00AB0794">
              <w:rPr>
                <w:rFonts w:cs="Arial"/>
              </w:rPr>
              <w:t xml:space="preserve">provided by the </w:t>
            </w:r>
            <w:r w:rsidR="00A17625" w:rsidRPr="00AB0794">
              <w:rPr>
                <w:rFonts w:cs="Arial"/>
              </w:rPr>
              <w:t>A</w:t>
            </w:r>
            <w:r w:rsidRPr="00AB0794">
              <w:rPr>
                <w:rFonts w:cs="Arial"/>
              </w:rPr>
              <w:t xml:space="preserve">pplicant, </w:t>
            </w:r>
            <w:r w:rsidR="006C28A2">
              <w:rPr>
                <w:rFonts w:cs="Arial"/>
              </w:rPr>
              <w:t>and compared this with</w:t>
            </w:r>
            <w:r w:rsidR="006C28A2" w:rsidRPr="00AB0794">
              <w:rPr>
                <w:rFonts w:cs="Arial"/>
              </w:rPr>
              <w:t xml:space="preserve"> </w:t>
            </w:r>
            <w:r w:rsidRPr="00AB0794">
              <w:rPr>
                <w:rFonts w:cs="Arial"/>
              </w:rPr>
              <w:t xml:space="preserve">our information and conceptual understanding of the location. We are satisfied that </w:t>
            </w:r>
            <w:r w:rsidR="00A17625" w:rsidRPr="00AB0794">
              <w:rPr>
                <w:rFonts w:cs="Arial"/>
              </w:rPr>
              <w:t xml:space="preserve">the assessment within the </w:t>
            </w:r>
            <w:r w:rsidRPr="00AB0794">
              <w:rPr>
                <w:rFonts w:cs="Arial"/>
              </w:rPr>
              <w:t xml:space="preserve">Supplementary HRA has been carried out in accordance with the Environment Agency’s </w:t>
            </w:r>
            <w:r w:rsidRPr="00AB0794">
              <w:rPr>
                <w:rStyle w:val="Pink"/>
                <w:rFonts w:cs="Arial"/>
                <w:color w:val="auto"/>
              </w:rPr>
              <w:t>Groundwater risk assessment for your environmental permit guidance</w:t>
            </w:r>
            <w:r w:rsidRPr="00AB0794">
              <w:rPr>
                <w:rFonts w:cs="Arial"/>
              </w:rPr>
              <w:t xml:space="preserve"> and Onshore Oil and Gas Sector guidance</w:t>
            </w:r>
            <w:r w:rsidR="00962505">
              <w:rPr>
                <w:rFonts w:cs="Arial"/>
              </w:rPr>
              <w:t>. We are satisfied that</w:t>
            </w:r>
            <w:r w:rsidRPr="00AB0794">
              <w:rPr>
                <w:rFonts w:cs="Arial"/>
              </w:rPr>
              <w:t xml:space="preserve"> the potential risks to groundwater have been adequately identified and addressed.</w:t>
            </w:r>
          </w:p>
          <w:p w14:paraId="492E26C2" w14:textId="61C1E33B" w:rsidR="00ED411C" w:rsidRPr="00AB0794" w:rsidRDefault="00A17625" w:rsidP="00AB0794">
            <w:pPr>
              <w:pStyle w:val="ListParagraph"/>
              <w:numPr>
                <w:ilvl w:val="0"/>
                <w:numId w:val="23"/>
              </w:numPr>
              <w:spacing w:after="60"/>
              <w:ind w:right="113"/>
              <w:contextualSpacing w:val="0"/>
              <w:rPr>
                <w:rStyle w:val="Pink"/>
                <w:rFonts w:eastAsia="Times New Roman" w:cs="Arial"/>
                <w:color w:val="auto"/>
              </w:rPr>
            </w:pPr>
            <w:r w:rsidRPr="00AB0794">
              <w:rPr>
                <w:rStyle w:val="Pink"/>
                <w:rFonts w:cs="Arial"/>
                <w:color w:val="auto"/>
              </w:rPr>
              <w:t xml:space="preserve">We </w:t>
            </w:r>
            <w:r w:rsidR="007A2CF1" w:rsidRPr="00AB0794">
              <w:rPr>
                <w:rStyle w:val="Pink"/>
                <w:rFonts w:cs="Arial"/>
                <w:color w:val="auto"/>
              </w:rPr>
              <w:t xml:space="preserve">agree with the conclusions of the Supplementary HRA that there is negligible risk of pollution to groundwater from the re injection of produced water. See the key issues section on groundwater in this </w:t>
            </w:r>
            <w:r w:rsidR="007A7028" w:rsidRPr="00AB0794">
              <w:rPr>
                <w:rStyle w:val="Pink"/>
                <w:rFonts w:cs="Arial"/>
                <w:color w:val="auto"/>
              </w:rPr>
              <w:t>decision document</w:t>
            </w:r>
            <w:r w:rsidR="007A2CF1" w:rsidRPr="00AB0794">
              <w:rPr>
                <w:rStyle w:val="Pink"/>
                <w:rFonts w:cs="Arial"/>
                <w:color w:val="auto"/>
              </w:rPr>
              <w:t xml:space="preserve"> for more information. </w:t>
            </w:r>
          </w:p>
          <w:p w14:paraId="13B2767B" w14:textId="30FFBE5B" w:rsidR="007A2CF1" w:rsidRPr="00AB0794" w:rsidRDefault="005668AD" w:rsidP="00AB0794">
            <w:pPr>
              <w:pStyle w:val="ListParagraph"/>
              <w:keepLines/>
              <w:numPr>
                <w:ilvl w:val="0"/>
                <w:numId w:val="23"/>
              </w:numPr>
              <w:spacing w:after="60"/>
              <w:ind w:right="113"/>
              <w:contextualSpacing w:val="0"/>
              <w:rPr>
                <w:rFonts w:cs="Arial"/>
              </w:rPr>
            </w:pPr>
            <w:r w:rsidRPr="00AB0794">
              <w:rPr>
                <w:rFonts w:eastAsia="Arial" w:cs="Arial"/>
                <w:color w:val="auto"/>
              </w:rPr>
              <w:t>We are</w:t>
            </w:r>
            <w:r w:rsidR="007A2CF1" w:rsidRPr="00AB0794">
              <w:rPr>
                <w:rFonts w:eastAsia="Arial" w:cs="Arial"/>
                <w:color w:val="auto"/>
              </w:rPr>
              <w:t xml:space="preserve"> satisfied that groundwater monitoring </w:t>
            </w:r>
            <w:r w:rsidR="007A2CF1" w:rsidRPr="00AB0794">
              <w:rPr>
                <w:rFonts w:cs="Arial"/>
              </w:rPr>
              <w:t>is not required at the site because there is no significant risk to any known shallow groundwater receptor</w:t>
            </w:r>
            <w:r w:rsidR="007A2CF1" w:rsidRPr="00AB0794">
              <w:rPr>
                <w:rFonts w:eastAsia="Arial" w:cs="Arial"/>
                <w:color w:val="auto"/>
              </w:rPr>
              <w:t xml:space="preserve">s and sufficient mitigation measures and procedures are in place to prevent any impact on groundwater. See the key issues section of this </w:t>
            </w:r>
            <w:r w:rsidR="007A7028" w:rsidRPr="00AB0794">
              <w:rPr>
                <w:rFonts w:eastAsia="Arial" w:cs="Arial"/>
                <w:color w:val="auto"/>
              </w:rPr>
              <w:t>decision document</w:t>
            </w:r>
            <w:r w:rsidR="007A2CF1" w:rsidRPr="00AB0794">
              <w:rPr>
                <w:rFonts w:eastAsia="Arial" w:cs="Arial"/>
                <w:color w:val="auto"/>
              </w:rPr>
              <w:t xml:space="preserve"> for more information. </w:t>
            </w:r>
          </w:p>
          <w:p w14:paraId="21A2AF64" w14:textId="74DD3081" w:rsidR="007A2CF1" w:rsidRPr="00AB0794" w:rsidRDefault="007A2CF1"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The Water Acceptance and Unloading Procedure (BRO-ANGPR-O0004-3) referenced as an operating technique in the permit confirms that produced water imported onto site will be sampled and salinity measured with a conductivity monitor at an independent laboratory. The produced water sample will also be mixed with produced water from Brockham </w:t>
            </w:r>
            <w:r w:rsidR="00A17625" w:rsidRPr="00AB0794">
              <w:rPr>
                <w:rStyle w:val="Pink"/>
                <w:rFonts w:cs="Arial"/>
                <w:color w:val="auto"/>
              </w:rPr>
              <w:t xml:space="preserve">Oilfield </w:t>
            </w:r>
            <w:r w:rsidRPr="00AB0794">
              <w:rPr>
                <w:rStyle w:val="Pink"/>
                <w:rFonts w:cs="Arial"/>
                <w:color w:val="auto"/>
              </w:rPr>
              <w:t xml:space="preserve">to assess for any visual precipitation. It should also be noted the </w:t>
            </w:r>
            <w:r w:rsidR="00A17625" w:rsidRPr="00AB0794">
              <w:rPr>
                <w:rStyle w:val="Pink"/>
                <w:rFonts w:cs="Arial"/>
                <w:color w:val="auto"/>
              </w:rPr>
              <w:t>O</w:t>
            </w:r>
            <w:r w:rsidRPr="00AB0794">
              <w:rPr>
                <w:rStyle w:val="Pink"/>
                <w:rFonts w:cs="Arial"/>
                <w:color w:val="auto"/>
              </w:rPr>
              <w:t xml:space="preserve">perator is not able to accept produced water from other sites until a bespoke RSR permit has been issued. </w:t>
            </w:r>
          </w:p>
          <w:p w14:paraId="04452F2D" w14:textId="649ACC1B" w:rsidR="0072463B" w:rsidRPr="00AB0794" w:rsidRDefault="007A2CF1"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As explained in the key issues section of this </w:t>
            </w:r>
            <w:r w:rsidR="007A7028" w:rsidRPr="00AB0794">
              <w:rPr>
                <w:rStyle w:val="Pink"/>
                <w:rFonts w:cs="Arial"/>
                <w:color w:val="auto"/>
              </w:rPr>
              <w:t>decision document</w:t>
            </w:r>
            <w:r w:rsidR="00962505">
              <w:rPr>
                <w:rStyle w:val="Pink"/>
                <w:rFonts w:cs="Arial"/>
                <w:color w:val="auto"/>
              </w:rPr>
              <w:t>,</w:t>
            </w:r>
            <w:r w:rsidRPr="00AB0794">
              <w:rPr>
                <w:rStyle w:val="Pink"/>
                <w:rFonts w:cs="Arial"/>
                <w:color w:val="auto"/>
              </w:rPr>
              <w:t xml:space="preserve"> we are satisfied that the Supplementary HRA demonstrates the importance of well integrity and includes robust </w:t>
            </w:r>
            <w:r w:rsidR="00962505" w:rsidRPr="00AB0794">
              <w:rPr>
                <w:rStyle w:val="Pink"/>
                <w:rFonts w:cs="Arial"/>
                <w:color w:val="auto"/>
              </w:rPr>
              <w:t>re</w:t>
            </w:r>
            <w:r w:rsidR="00962505">
              <w:rPr>
                <w:rStyle w:val="Pink"/>
                <w:rFonts w:cs="Arial"/>
                <w:color w:val="auto"/>
              </w:rPr>
              <w:t>-</w:t>
            </w:r>
            <w:r w:rsidRPr="00AB0794">
              <w:rPr>
                <w:rStyle w:val="Pink"/>
                <w:rFonts w:cs="Arial"/>
                <w:color w:val="auto"/>
              </w:rPr>
              <w:t>injection procedures, and detailed monitoring procedures.</w:t>
            </w:r>
          </w:p>
          <w:p w14:paraId="22C60C68" w14:textId="36B09D2B" w:rsidR="0072463B" w:rsidRPr="00AB0794" w:rsidRDefault="00EA31FC" w:rsidP="00AB0794">
            <w:pPr>
              <w:pStyle w:val="ListParagraph"/>
              <w:numPr>
                <w:ilvl w:val="0"/>
                <w:numId w:val="23"/>
              </w:numPr>
              <w:tabs>
                <w:tab w:val="left" w:pos="-720"/>
              </w:tabs>
              <w:spacing w:after="60"/>
              <w:ind w:right="113"/>
              <w:contextualSpacing w:val="0"/>
              <w:rPr>
                <w:rStyle w:val="Pink"/>
                <w:rFonts w:cs="Arial"/>
                <w:color w:val="auto"/>
              </w:rPr>
            </w:pPr>
            <w:r w:rsidRPr="00AB0794">
              <w:rPr>
                <w:rFonts w:cs="Arial"/>
              </w:rPr>
              <w:lastRenderedPageBreak/>
              <w:t>Seismicity linked to oil and gas operations is the remit of th</w:t>
            </w:r>
            <w:r w:rsidR="0072463B" w:rsidRPr="00AB0794">
              <w:rPr>
                <w:rFonts w:cs="Arial"/>
              </w:rPr>
              <w:t xml:space="preserve">e Oil and Gas Authority (OGA). </w:t>
            </w:r>
            <w:r w:rsidRPr="00AB0794">
              <w:rPr>
                <w:rFonts w:cs="Arial"/>
              </w:rPr>
              <w:t>We are satisfied that sufficient information has been presented on the geology and hydrogeology in the HRA in accordance with the Environment Agency’s Groundwater risk assessment for your environmental permit guidance and Onshore Oil and Gas Sector Guidance.</w:t>
            </w:r>
            <w:r w:rsidR="0072463B" w:rsidRPr="00AB0794">
              <w:rPr>
                <w:rStyle w:val="Pink"/>
                <w:rFonts w:cs="Arial"/>
                <w:color w:val="auto"/>
              </w:rPr>
              <w:t xml:space="preserve"> The permitted groundwater activity is to re-inject a maximum of 24m</w:t>
            </w:r>
            <w:r w:rsidR="0072463B" w:rsidRPr="00AB0794">
              <w:rPr>
                <w:rStyle w:val="Pink"/>
                <w:rFonts w:cs="Arial"/>
                <w:color w:val="auto"/>
                <w:vertAlign w:val="superscript"/>
              </w:rPr>
              <w:t>3</w:t>
            </w:r>
            <w:r w:rsidR="0072463B" w:rsidRPr="00AB0794">
              <w:rPr>
                <w:rStyle w:val="Pink"/>
                <w:rFonts w:cs="Arial"/>
                <w:color w:val="auto"/>
              </w:rPr>
              <w:t xml:space="preserve"> </w:t>
            </w:r>
            <w:r w:rsidR="00F60F0F">
              <w:rPr>
                <w:rStyle w:val="Pink"/>
                <w:rFonts w:cs="Arial"/>
                <w:color w:val="auto"/>
              </w:rPr>
              <w:t xml:space="preserve">per day </w:t>
            </w:r>
            <w:r w:rsidR="0072463B" w:rsidRPr="00AB0794">
              <w:rPr>
                <w:rStyle w:val="Pink"/>
                <w:rFonts w:cs="Arial"/>
                <w:color w:val="auto"/>
              </w:rPr>
              <w:t xml:space="preserve">of produced water into the Portland Sand Formation for production support. This is a minor volume of produced water that will be re-injected over a period of 7 hours per day. Hydrocarbons and produced water will be extracted from the Portland Sand Formation and produced water will be re-injected at a pressure below the fracture pressure of the formation. The operating procedures specified in the HRA will ensure that there will be no over pressurisation of the reservoir. </w:t>
            </w:r>
          </w:p>
          <w:p w14:paraId="5656A8F3" w14:textId="1E36862B" w:rsidR="00EA31FC" w:rsidRPr="00AB0794" w:rsidRDefault="00EA31FC" w:rsidP="00AB0794">
            <w:pPr>
              <w:pStyle w:val="ListParagraph"/>
              <w:numPr>
                <w:ilvl w:val="0"/>
                <w:numId w:val="23"/>
              </w:numPr>
              <w:spacing w:after="60"/>
              <w:ind w:right="113"/>
              <w:contextualSpacing w:val="0"/>
              <w:rPr>
                <w:rFonts w:eastAsia="Arial" w:cs="Arial"/>
              </w:rPr>
            </w:pPr>
            <w:r w:rsidRPr="00AB0794">
              <w:rPr>
                <w:rFonts w:eastAsia="Arial" w:cs="Arial"/>
              </w:rPr>
              <w:t xml:space="preserve">Direct discharges to groundwater are prohibited under the Water Framework Directive </w:t>
            </w:r>
            <w:r w:rsidR="002E32E4">
              <w:rPr>
                <w:rFonts w:eastAsia="Arial" w:cs="Arial"/>
              </w:rPr>
              <w:t xml:space="preserve">and Schedule 22 of the 2016 Regulations </w:t>
            </w:r>
            <w:r w:rsidRPr="00AB0794">
              <w:rPr>
                <w:rFonts w:eastAsia="Arial" w:cs="Arial"/>
              </w:rPr>
              <w:t xml:space="preserve">except under certain exemptions. This is explained in more detail in the key issues, groundwater activities section of this </w:t>
            </w:r>
            <w:r w:rsidR="007A7028" w:rsidRPr="00AB0794">
              <w:rPr>
                <w:rFonts w:eastAsia="Arial" w:cs="Arial"/>
              </w:rPr>
              <w:t>decision document</w:t>
            </w:r>
            <w:r w:rsidRPr="00AB0794">
              <w:rPr>
                <w:rFonts w:eastAsia="Arial" w:cs="Arial"/>
              </w:rPr>
              <w:t xml:space="preserve">. </w:t>
            </w:r>
          </w:p>
          <w:p w14:paraId="758FCC4C" w14:textId="7B86EA3C" w:rsidR="00EA31FC" w:rsidRPr="00AB0794" w:rsidRDefault="003E4BC7"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Planning permission is outside the remit of the Environment Agency’s permit determination. It should also be noted the operator is not able to accept produced water from other sites until a bespoke RSR permit has been issued.</w:t>
            </w:r>
          </w:p>
          <w:p w14:paraId="4439A5C9" w14:textId="19D26176" w:rsidR="003E4BC7" w:rsidRPr="00AB0794" w:rsidRDefault="003E4BC7" w:rsidP="00AB0794">
            <w:pPr>
              <w:pStyle w:val="ListParagraph"/>
              <w:keepLines/>
              <w:numPr>
                <w:ilvl w:val="0"/>
                <w:numId w:val="23"/>
              </w:numPr>
              <w:spacing w:after="60"/>
              <w:ind w:right="113"/>
              <w:contextualSpacing w:val="0"/>
              <w:rPr>
                <w:rFonts w:cs="Arial"/>
              </w:rPr>
            </w:pPr>
            <w:r w:rsidRPr="00AB0794">
              <w:rPr>
                <w:rFonts w:cs="Arial"/>
              </w:rPr>
              <w:t xml:space="preserve">We acknowledge historic issues in respect to operator competence. There are sufficient controls in the permit to both ensure the </w:t>
            </w:r>
            <w:r w:rsidR="00EC56BE" w:rsidRPr="00AB0794">
              <w:rPr>
                <w:rFonts w:cs="Arial"/>
              </w:rPr>
              <w:t>O</w:t>
            </w:r>
            <w:r w:rsidRPr="00AB0794">
              <w:rPr>
                <w:rFonts w:cs="Arial"/>
              </w:rPr>
              <w:t>perator will operate in a competent manner, and also to allow us to take measures to bring them into compliance as required. The changes as part of this variation will update the activities permitted and help ensure future compliance.</w:t>
            </w:r>
          </w:p>
          <w:p w14:paraId="3AF8CDAF" w14:textId="77777777" w:rsidR="00815E10" w:rsidRPr="00AB0794" w:rsidRDefault="003E4BC7"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We are satisfied with the accuracy of the information provided in the Supplementary HRA. Regarding the Waste Management Plan, this is a working document that the operator updates during the lifetime of the permit. This is covered by condition 4.3.7 of the permit. </w:t>
            </w:r>
          </w:p>
          <w:p w14:paraId="2AEEC87E" w14:textId="60EF8275" w:rsidR="00815E10" w:rsidRPr="00AB0794" w:rsidRDefault="00815E10"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The Environment Agency has not requested additional 2D seismic data or 3D seismic data. We are satisfied that sufficient information has been presented on the geology and hydrogeology in the supplementary HRA in accordance with the Environment Agency’s Groundwater risk assessment for your environmental permit guidance and Onshore Oil and Gas Sector Guidance. </w:t>
            </w:r>
          </w:p>
          <w:p w14:paraId="413AF7C6" w14:textId="6D7AF026" w:rsidR="00D60F4C" w:rsidRPr="00AB0794" w:rsidRDefault="00C40D75"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The Upper Tunbridge Wells Sand and Ashdown Sand Formation are present at approximately 229m and 381m below ground level. The Upper Tunbridge Wells sand is overlain by 229m of impermeable Weald Clay which prevents the direct recharge of the Upper Tunbridge Wells sand from the surface at this location. There are no groundwater quality samples </w:t>
            </w:r>
            <w:r w:rsidRPr="00AB0794">
              <w:rPr>
                <w:rStyle w:val="Pink"/>
                <w:rFonts w:cs="Arial"/>
                <w:color w:val="auto"/>
              </w:rPr>
              <w:lastRenderedPageBreak/>
              <w:t>from the Upper Tunbridge Wells Sand and Ashdown Sand at this location and these formations are not used for water supply at this location. The Upper Tunbridge Wells sand outcrops 13.5km to the south east of the site, therefore groundwater in the Upper Tunbridge Wells at 229m b</w:t>
            </w:r>
            <w:r w:rsidR="00EC56BE" w:rsidRPr="00AB0794">
              <w:rPr>
                <w:rStyle w:val="Pink"/>
                <w:rFonts w:cs="Arial"/>
                <w:color w:val="auto"/>
              </w:rPr>
              <w:t>elow ground level</w:t>
            </w:r>
            <w:r w:rsidRPr="00AB0794">
              <w:rPr>
                <w:rStyle w:val="Pink"/>
                <w:rFonts w:cs="Arial"/>
                <w:color w:val="auto"/>
              </w:rPr>
              <w:t xml:space="preserve"> is likely to have a long residence time and be of poorer quality. The Ashdown Sand Formation is also overlain by the impermeable Grinstead Clay and </w:t>
            </w:r>
            <w:proofErr w:type="spellStart"/>
            <w:r w:rsidRPr="00AB0794">
              <w:rPr>
                <w:rStyle w:val="Pink"/>
                <w:rFonts w:cs="Arial"/>
                <w:color w:val="auto"/>
              </w:rPr>
              <w:t>Wadhurst</w:t>
            </w:r>
            <w:proofErr w:type="spellEnd"/>
            <w:r w:rsidRPr="00AB0794">
              <w:rPr>
                <w:rStyle w:val="Pink"/>
                <w:rFonts w:cs="Arial"/>
                <w:color w:val="auto"/>
              </w:rPr>
              <w:t xml:space="preserve"> Clay. We are satisfied with the operator’s interpretation that these formations are unlikely to contain potable groundwater and groundwater monitoring of these formations is not required. </w:t>
            </w:r>
          </w:p>
          <w:p w14:paraId="05A90AA1" w14:textId="77777777" w:rsidR="00AB0794" w:rsidRPr="00AB0794" w:rsidRDefault="0072463B" w:rsidP="00AB0794">
            <w:pPr>
              <w:pStyle w:val="ListParagraph"/>
              <w:numPr>
                <w:ilvl w:val="0"/>
                <w:numId w:val="23"/>
              </w:numPr>
              <w:tabs>
                <w:tab w:val="left" w:pos="-720"/>
              </w:tabs>
              <w:spacing w:after="60"/>
              <w:ind w:right="113"/>
              <w:contextualSpacing w:val="0"/>
              <w:rPr>
                <w:rStyle w:val="Pink"/>
                <w:rFonts w:cs="Arial"/>
                <w:color w:val="auto"/>
              </w:rPr>
            </w:pPr>
            <w:r w:rsidRPr="00AB0794">
              <w:rPr>
                <w:rStyle w:val="Pink"/>
                <w:rFonts w:cs="Arial"/>
                <w:color w:val="auto"/>
              </w:rPr>
              <w:t xml:space="preserve">The Portland Sand Formation is the producing oil reservoir. Produced water can be re-injected into formations from which hydrocarbons have been extracted to encourage further production of hydrocarbons under the exemption specified in paragraph 8 (a) of Schedule 22 to the Environmental Permitting Regulations 2016. The re-injection of produced water into geological formations from which hydrocarbons or other substances have been extracted is the best environmental option to minimise the exposure of the public to ionising radiation from the disposal of radioactive waste and is in accordance with the UK NORM Waste Strategy.  </w:t>
            </w:r>
          </w:p>
          <w:p w14:paraId="10A1E8C2" w14:textId="41096F39" w:rsidR="0072463B" w:rsidRPr="00AB0794" w:rsidRDefault="0072463B" w:rsidP="00AB0794">
            <w:pPr>
              <w:pStyle w:val="ListParagraph"/>
              <w:numPr>
                <w:ilvl w:val="0"/>
                <w:numId w:val="0"/>
              </w:numPr>
              <w:tabs>
                <w:tab w:val="left" w:pos="-720"/>
              </w:tabs>
              <w:spacing w:after="60"/>
              <w:ind w:left="720" w:right="113"/>
              <w:contextualSpacing w:val="0"/>
              <w:rPr>
                <w:rStyle w:val="Pink"/>
                <w:rFonts w:cs="Arial"/>
                <w:color w:val="auto"/>
              </w:rPr>
            </w:pPr>
            <w:r w:rsidRPr="00AB0794">
              <w:rPr>
                <w:rStyle w:val="Pink"/>
                <w:rFonts w:cs="Arial"/>
                <w:color w:val="auto"/>
              </w:rPr>
              <w:t xml:space="preserve">The Purbeck Anhydrite overlies the Portland Sand formation and acts as the reservoir seal trapping hydrocarbons in the geological structure. The field bounding fault to the south has downthrown the Purbeck Anhydrite against the Portland Sand which also acts to trap hydrocarbons. Overlying the Purbeck Anhydrite is the Purbeck Beds which consist of approximately 20m of impermeable claystone and mudstone with some interbedded limestone. If the field bounding fault throw is greater than 15m, impermeable claystone and mudstone would also be downthrown against the Portland Sand Formation and would continue to trap hydrocarbons and formation water in the reservoir. </w:t>
            </w:r>
          </w:p>
          <w:p w14:paraId="2EBEA838" w14:textId="3765BDC1" w:rsidR="00815E10" w:rsidRPr="00AB0794" w:rsidRDefault="0072463B" w:rsidP="00AB0794">
            <w:pPr>
              <w:pStyle w:val="ListParagraph"/>
              <w:numPr>
                <w:ilvl w:val="0"/>
                <w:numId w:val="0"/>
              </w:numPr>
              <w:tabs>
                <w:tab w:val="left" w:pos="-720"/>
              </w:tabs>
              <w:spacing w:after="60"/>
              <w:ind w:left="720" w:right="113"/>
              <w:contextualSpacing w:val="0"/>
              <w:rPr>
                <w:rFonts w:cs="Arial"/>
                <w:color w:val="auto"/>
              </w:rPr>
            </w:pPr>
            <w:r w:rsidRPr="00AB0794">
              <w:rPr>
                <w:rStyle w:val="Pink"/>
                <w:rFonts w:cs="Arial"/>
                <w:color w:val="auto"/>
              </w:rPr>
              <w:t xml:space="preserve">The </w:t>
            </w:r>
            <w:r w:rsidR="007B3F61" w:rsidRPr="00AB0794">
              <w:rPr>
                <w:rStyle w:val="Pink"/>
                <w:rFonts w:cs="Arial"/>
                <w:color w:val="auto"/>
              </w:rPr>
              <w:t xml:space="preserve">supplementary </w:t>
            </w:r>
            <w:r w:rsidRPr="00AB0794">
              <w:rPr>
                <w:rStyle w:val="Pink"/>
                <w:rFonts w:cs="Arial"/>
                <w:color w:val="auto"/>
              </w:rPr>
              <w:t xml:space="preserve">HRA confirms well construction for the BRX3 re-injection well and an evaluation of the Cement Bond Log results for the surface and intermediate sections of the re-injection well. We have reviewed the well construction and the evaluation of the Cement Bond Logs results and we are satisfied that the re-injection of produced water poses a negligible risk to groundwater in the Upper Tunbridge Wells Sand and the Ashdown Formation. In addition we are satisfied that the operating procedures set out in the HRA are sufficient to mitigate the risk to groundwater. </w:t>
            </w:r>
          </w:p>
          <w:p w14:paraId="5DFBAC0A" w14:textId="77777777" w:rsidR="0055112D" w:rsidRPr="00AB0794" w:rsidRDefault="0055112D" w:rsidP="00AB0794">
            <w:pPr>
              <w:pStyle w:val="ListParagraph"/>
              <w:numPr>
                <w:ilvl w:val="0"/>
                <w:numId w:val="23"/>
              </w:numPr>
              <w:tabs>
                <w:tab w:val="left" w:pos="-720"/>
              </w:tabs>
              <w:spacing w:after="60"/>
              <w:ind w:right="113"/>
              <w:contextualSpacing w:val="0"/>
              <w:rPr>
                <w:rStyle w:val="Pink"/>
                <w:rFonts w:cs="Arial"/>
                <w:color w:val="auto"/>
              </w:rPr>
            </w:pPr>
            <w:r w:rsidRPr="00AB0794">
              <w:rPr>
                <w:rFonts w:cs="Arial"/>
                <w:color w:val="auto"/>
              </w:rPr>
              <w:t xml:space="preserve">We have reviewed the supplementary HRA in detail and as part of our assessment sent the applicant two Schedule 5 Notices requesting further information. The Notices have been complied with and we are satisfied that </w:t>
            </w:r>
            <w:r w:rsidRPr="00AB0794">
              <w:rPr>
                <w:rStyle w:val="Pink"/>
                <w:rFonts w:cs="Arial"/>
                <w:color w:val="auto"/>
              </w:rPr>
              <w:t xml:space="preserve">sufficient information has been presented on the geology and hydrogeology in the supplementary HRA in accordance with the </w:t>
            </w:r>
            <w:r w:rsidRPr="00AB0794">
              <w:rPr>
                <w:rStyle w:val="Pink"/>
                <w:rFonts w:cs="Arial"/>
                <w:color w:val="auto"/>
              </w:rPr>
              <w:lastRenderedPageBreak/>
              <w:t xml:space="preserve">Environment Agency’s Groundwater risk assessment for your environmental permit guidance and Onshore Oil </w:t>
            </w:r>
            <w:r w:rsidR="006B36ED" w:rsidRPr="00AB0794">
              <w:rPr>
                <w:rStyle w:val="Pink"/>
                <w:rFonts w:cs="Arial"/>
                <w:color w:val="auto"/>
              </w:rPr>
              <w:t>and Gas Sector Guidance.</w:t>
            </w:r>
          </w:p>
          <w:p w14:paraId="45F05B08" w14:textId="3E767E47" w:rsidR="00F91A16" w:rsidRPr="00AB0794" w:rsidRDefault="00F91A16" w:rsidP="00AB0794">
            <w:pPr>
              <w:pStyle w:val="ListParagraph"/>
              <w:numPr>
                <w:ilvl w:val="0"/>
                <w:numId w:val="23"/>
              </w:numPr>
              <w:tabs>
                <w:tab w:val="left" w:pos="-720"/>
              </w:tabs>
              <w:spacing w:after="60"/>
              <w:ind w:right="113"/>
              <w:contextualSpacing w:val="0"/>
              <w:rPr>
                <w:rFonts w:cs="Arial"/>
                <w:color w:val="auto"/>
              </w:rPr>
            </w:pPr>
            <w:r w:rsidRPr="00AB0794">
              <w:rPr>
                <w:rStyle w:val="Pink"/>
                <w:rFonts w:cs="Arial"/>
                <w:color w:val="auto"/>
              </w:rPr>
              <w:t xml:space="preserve">NORM waste are routinely encountered in deeper geology associated with onshore oil production. NORM wastes are controlled through a separate permit as described in the key issues section of this </w:t>
            </w:r>
            <w:r w:rsidR="007A7028" w:rsidRPr="00AB0794">
              <w:rPr>
                <w:rStyle w:val="Pink"/>
                <w:rFonts w:cs="Arial"/>
                <w:color w:val="auto"/>
              </w:rPr>
              <w:t>decision document</w:t>
            </w:r>
            <w:r w:rsidRPr="00AB0794">
              <w:rPr>
                <w:rStyle w:val="Pink"/>
                <w:rFonts w:cs="Arial"/>
                <w:color w:val="auto"/>
              </w:rPr>
              <w:t>.</w:t>
            </w:r>
          </w:p>
        </w:tc>
      </w:tr>
    </w:tbl>
    <w:p w14:paraId="1F6E1948" w14:textId="77777777" w:rsidR="00ED411C" w:rsidRPr="00AB0794" w:rsidRDefault="00ED411C" w:rsidP="002F6967">
      <w:pPr>
        <w:rPr>
          <w:rFonts w:cs="Arial"/>
        </w:rPr>
      </w:pPr>
    </w:p>
    <w:p w14:paraId="21FCA20B" w14:textId="77777777" w:rsidR="00AB0794" w:rsidRPr="00AB0794" w:rsidRDefault="00AB0794" w:rsidP="002F6967">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3948"/>
      </w:tblGrid>
      <w:tr w:rsidR="00380D39" w:rsidRPr="00AB0794" w14:paraId="43F6D511" w14:textId="77777777" w:rsidTr="005C3C45">
        <w:tc>
          <w:tcPr>
            <w:tcW w:w="5000" w:type="pct"/>
          </w:tcPr>
          <w:p w14:paraId="14C4261D" w14:textId="77777777" w:rsidR="00380D39" w:rsidRPr="00AB0794" w:rsidRDefault="00380D39" w:rsidP="005C3C45">
            <w:pPr>
              <w:spacing w:after="0" w:line="240" w:lineRule="auto"/>
              <w:ind w:right="113"/>
              <w:rPr>
                <w:rFonts w:eastAsia="Times New Roman" w:cs="Arial"/>
                <w:b/>
                <w:color w:val="auto"/>
              </w:rPr>
            </w:pPr>
            <w:r w:rsidRPr="00AB0794">
              <w:rPr>
                <w:rFonts w:eastAsia="Times New Roman" w:cs="Arial"/>
                <w:b/>
                <w:color w:val="auto"/>
              </w:rPr>
              <w:t>Response received from</w:t>
            </w:r>
          </w:p>
        </w:tc>
      </w:tr>
      <w:tr w:rsidR="00380D39" w:rsidRPr="00AB0794" w14:paraId="3AAFA372" w14:textId="77777777" w:rsidTr="005C3C45">
        <w:tc>
          <w:tcPr>
            <w:tcW w:w="5000" w:type="pct"/>
          </w:tcPr>
          <w:p w14:paraId="6F58BF4B" w14:textId="4992E4C1" w:rsidR="00380D39" w:rsidRPr="00AB0794" w:rsidRDefault="00380D39" w:rsidP="005C3C45">
            <w:pPr>
              <w:spacing w:after="0" w:line="240" w:lineRule="auto"/>
              <w:ind w:right="113"/>
              <w:rPr>
                <w:rFonts w:eastAsia="Times New Roman" w:cs="Arial"/>
                <w:color w:val="auto"/>
              </w:rPr>
            </w:pPr>
            <w:r w:rsidRPr="00AB0794">
              <w:rPr>
                <w:rFonts w:eastAsia="Times New Roman" w:cs="Arial"/>
                <w:color w:val="auto"/>
              </w:rPr>
              <w:t>Weald Action Group</w:t>
            </w:r>
          </w:p>
        </w:tc>
      </w:tr>
      <w:tr w:rsidR="00380D39" w:rsidRPr="00AB0794" w14:paraId="42FED9AA" w14:textId="77777777" w:rsidTr="005C3C45">
        <w:tc>
          <w:tcPr>
            <w:tcW w:w="5000" w:type="pct"/>
          </w:tcPr>
          <w:p w14:paraId="7F1E2859" w14:textId="77777777" w:rsidR="00380D39" w:rsidRPr="00AB0794" w:rsidRDefault="00380D39" w:rsidP="005C3C45">
            <w:pPr>
              <w:spacing w:after="0" w:line="240" w:lineRule="auto"/>
              <w:ind w:right="113"/>
              <w:rPr>
                <w:rFonts w:eastAsia="Times New Roman" w:cs="Arial"/>
                <w:b/>
                <w:color w:val="auto"/>
              </w:rPr>
            </w:pPr>
            <w:r w:rsidRPr="00AB0794">
              <w:rPr>
                <w:rFonts w:eastAsia="Times New Roman" w:cs="Arial"/>
                <w:b/>
                <w:color w:val="auto"/>
              </w:rPr>
              <w:t>Brief summary of issues raised</w:t>
            </w:r>
          </w:p>
        </w:tc>
      </w:tr>
      <w:tr w:rsidR="00380D39" w:rsidRPr="00AB0794" w14:paraId="29D85341" w14:textId="77777777" w:rsidTr="005C3C45">
        <w:tc>
          <w:tcPr>
            <w:tcW w:w="5000" w:type="pct"/>
          </w:tcPr>
          <w:p w14:paraId="45F127FF" w14:textId="611D194C" w:rsidR="00380D39" w:rsidRPr="00AB0794" w:rsidRDefault="00380D39" w:rsidP="00AB0794">
            <w:pPr>
              <w:spacing w:after="60"/>
              <w:ind w:right="113"/>
              <w:rPr>
                <w:rFonts w:eastAsia="Times New Roman" w:cs="Arial"/>
                <w:color w:val="auto"/>
              </w:rPr>
            </w:pPr>
            <w:r w:rsidRPr="00AB0794">
              <w:rPr>
                <w:rFonts w:eastAsia="Times New Roman" w:cs="Arial"/>
                <w:color w:val="auto"/>
              </w:rPr>
              <w:t>We received a 19 page document. The main concerns identified are:</w:t>
            </w:r>
          </w:p>
          <w:p w14:paraId="5844B5A7" w14:textId="6A2C833F" w:rsidR="00150872" w:rsidRPr="00AB0794" w:rsidRDefault="00380D39" w:rsidP="00AB0794">
            <w:pPr>
              <w:pStyle w:val="ListParagraph"/>
              <w:numPr>
                <w:ilvl w:val="0"/>
                <w:numId w:val="25"/>
              </w:numPr>
              <w:tabs>
                <w:tab w:val="left" w:pos="-720"/>
              </w:tabs>
              <w:spacing w:after="60"/>
              <w:ind w:right="113"/>
              <w:contextualSpacing w:val="0"/>
              <w:rPr>
                <w:rFonts w:cs="Arial"/>
                <w:color w:val="auto"/>
              </w:rPr>
            </w:pPr>
            <w:r w:rsidRPr="00AB0794">
              <w:rPr>
                <w:rFonts w:eastAsia="Times New Roman" w:cs="Arial"/>
                <w:color w:val="auto"/>
              </w:rPr>
              <w:t>General objections in relation to NORM wastes</w:t>
            </w:r>
            <w:r w:rsidR="00AB0794" w:rsidRPr="00AB0794">
              <w:rPr>
                <w:rFonts w:eastAsia="Times New Roman" w:cs="Arial"/>
                <w:color w:val="auto"/>
              </w:rPr>
              <w:t xml:space="preserve">, namely the </w:t>
            </w:r>
            <w:r w:rsidRPr="00AB0794">
              <w:rPr>
                <w:rFonts w:eastAsia="Times New Roman" w:cs="Arial"/>
                <w:color w:val="auto"/>
              </w:rPr>
              <w:t>production, presence and disposal of NORM wastes</w:t>
            </w:r>
            <w:r w:rsidR="00AB0794" w:rsidRPr="00AB0794">
              <w:rPr>
                <w:rFonts w:cs="Arial"/>
                <w:color w:val="auto"/>
              </w:rPr>
              <w:t>.</w:t>
            </w:r>
          </w:p>
          <w:p w14:paraId="79EE4F6A" w14:textId="233FE2C6" w:rsidR="00380D39" w:rsidRPr="00AB0794" w:rsidRDefault="00AB0794"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Concern</w:t>
            </w:r>
            <w:r w:rsidR="00150872" w:rsidRPr="00AB0794">
              <w:rPr>
                <w:rFonts w:cs="Arial"/>
                <w:color w:val="auto"/>
              </w:rPr>
              <w:t xml:space="preserve"> regarding the composition and contamination of flowback fluids and produced fluids along with inconsistent clarity and definition surrounding this area in monitoring and regulation.</w:t>
            </w:r>
          </w:p>
          <w:p w14:paraId="13E5A04B" w14:textId="77777777" w:rsidR="00A13968" w:rsidRPr="00AB0794" w:rsidRDefault="00A13968"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 xml:space="preserve">Concern around </w:t>
            </w:r>
            <w:proofErr w:type="spellStart"/>
            <w:r w:rsidRPr="00AB0794">
              <w:rPr>
                <w:rFonts w:cs="Arial"/>
                <w:color w:val="auto"/>
              </w:rPr>
              <w:t>acidising</w:t>
            </w:r>
            <w:proofErr w:type="spellEnd"/>
            <w:r w:rsidRPr="00AB0794">
              <w:rPr>
                <w:rFonts w:cs="Arial"/>
                <w:color w:val="auto"/>
              </w:rPr>
              <w:t xml:space="preserve"> prior to re-injection. </w:t>
            </w:r>
          </w:p>
          <w:p w14:paraId="0973B047" w14:textId="77777777" w:rsidR="00D60F4C" w:rsidRPr="00AB0794" w:rsidRDefault="00D60F4C"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Concern around the method of assessment of risk and environmental impact from re-injection.</w:t>
            </w:r>
          </w:p>
          <w:p w14:paraId="148C3014" w14:textId="77777777" w:rsidR="00D60F4C" w:rsidRPr="00AB0794" w:rsidRDefault="00D60F4C"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General concerns about the assessment of fractures and faults and the potential for seismic activity to increase</w:t>
            </w:r>
            <w:r w:rsidR="007500D3" w:rsidRPr="00AB0794">
              <w:rPr>
                <w:rFonts w:cs="Arial"/>
                <w:color w:val="auto"/>
              </w:rPr>
              <w:t>.</w:t>
            </w:r>
          </w:p>
          <w:p w14:paraId="346074FE" w14:textId="03044C36" w:rsidR="007500D3" w:rsidRPr="00AB0794" w:rsidRDefault="007500D3" w:rsidP="00AB0794">
            <w:pPr>
              <w:pStyle w:val="ListParagraph"/>
              <w:numPr>
                <w:ilvl w:val="0"/>
                <w:numId w:val="25"/>
              </w:numPr>
              <w:spacing w:after="60"/>
              <w:ind w:right="113"/>
              <w:contextualSpacing w:val="0"/>
              <w:rPr>
                <w:rFonts w:eastAsia="Times New Roman" w:cs="Arial"/>
                <w:color w:val="auto"/>
              </w:rPr>
            </w:pPr>
            <w:r w:rsidRPr="00AB0794">
              <w:rPr>
                <w:rFonts w:eastAsia="Times New Roman" w:cs="Arial"/>
                <w:color w:val="auto"/>
              </w:rPr>
              <w:t xml:space="preserve">Concern about injection well integrity and the ability to withstand the </w:t>
            </w:r>
            <w:r w:rsidR="00A47BF2" w:rsidRPr="00AB0794">
              <w:rPr>
                <w:rFonts w:eastAsia="Times New Roman" w:cs="Arial"/>
                <w:color w:val="auto"/>
              </w:rPr>
              <w:t>re-injec</w:t>
            </w:r>
            <w:r w:rsidRPr="00AB0794">
              <w:rPr>
                <w:rFonts w:eastAsia="Times New Roman" w:cs="Arial"/>
                <w:color w:val="auto"/>
              </w:rPr>
              <w:t xml:space="preserve">tion of produced water. </w:t>
            </w:r>
          </w:p>
          <w:p w14:paraId="440C91D4" w14:textId="77777777" w:rsidR="007500D3" w:rsidRPr="00AB0794" w:rsidRDefault="007500D3"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 xml:space="preserve">General objections in relation to radioactive waste. </w:t>
            </w:r>
          </w:p>
          <w:p w14:paraId="74FC2481" w14:textId="77777777" w:rsidR="007500D3" w:rsidRPr="00AB0794" w:rsidRDefault="007500D3" w:rsidP="00AB0794">
            <w:pPr>
              <w:pStyle w:val="ListParagraph"/>
              <w:numPr>
                <w:ilvl w:val="0"/>
                <w:numId w:val="25"/>
              </w:numPr>
              <w:tabs>
                <w:tab w:val="left" w:pos="-720"/>
              </w:tabs>
              <w:spacing w:after="60"/>
              <w:ind w:right="113"/>
              <w:contextualSpacing w:val="0"/>
              <w:rPr>
                <w:rFonts w:cs="Arial"/>
                <w:color w:val="auto"/>
              </w:rPr>
            </w:pPr>
            <w:r w:rsidRPr="00AB0794">
              <w:rPr>
                <w:rFonts w:cs="Arial"/>
                <w:color w:val="auto"/>
              </w:rPr>
              <w:t xml:space="preserve">Concern about the impact of the activity on human health, specifically consideration of any carcinogenic volatile organic compounds or other toxic contaminants. </w:t>
            </w:r>
          </w:p>
          <w:p w14:paraId="08115DE8" w14:textId="737D538B" w:rsidR="00CD7D1E" w:rsidRPr="00AB0794" w:rsidRDefault="00CD7D1E" w:rsidP="00AB0794">
            <w:pPr>
              <w:pStyle w:val="Default"/>
              <w:keepLines/>
              <w:numPr>
                <w:ilvl w:val="0"/>
                <w:numId w:val="25"/>
              </w:numPr>
              <w:spacing w:after="60" w:line="259" w:lineRule="auto"/>
              <w:ind w:right="113"/>
              <w:rPr>
                <w:color w:val="auto"/>
              </w:rPr>
            </w:pPr>
            <w:r w:rsidRPr="00AB0794">
              <w:rPr>
                <w:color w:val="auto"/>
              </w:rPr>
              <w:t xml:space="preserve">Concern about the Operator’s competence and previous lack of planning permissions. </w:t>
            </w:r>
          </w:p>
          <w:p w14:paraId="33F15B8F" w14:textId="6A0F1E1B" w:rsidR="00CD7D1E" w:rsidRPr="00AB0794" w:rsidRDefault="00CD7D1E" w:rsidP="00AB0794">
            <w:pPr>
              <w:pStyle w:val="Default"/>
              <w:keepLines/>
              <w:numPr>
                <w:ilvl w:val="0"/>
                <w:numId w:val="25"/>
              </w:numPr>
              <w:spacing w:after="60" w:line="259" w:lineRule="auto"/>
              <w:ind w:right="113"/>
              <w:rPr>
                <w:color w:val="auto"/>
              </w:rPr>
            </w:pPr>
            <w:r w:rsidRPr="00AB0794">
              <w:rPr>
                <w:color w:val="auto"/>
              </w:rPr>
              <w:lastRenderedPageBreak/>
              <w:t xml:space="preserve">Concern about documents being missing from the application, specifically, injection rates/pressure, geo hazard assessment, seismic mitigation plans, fire prevention plan, training documents and emergency action plan. </w:t>
            </w:r>
          </w:p>
          <w:p w14:paraId="75CD6F8C" w14:textId="32BF6C64" w:rsidR="00792DC8" w:rsidRPr="00AB0794" w:rsidRDefault="00792DC8" w:rsidP="00AB0794">
            <w:pPr>
              <w:pStyle w:val="Default"/>
              <w:keepLines/>
              <w:numPr>
                <w:ilvl w:val="0"/>
                <w:numId w:val="25"/>
              </w:numPr>
              <w:spacing w:after="60" w:line="259" w:lineRule="auto"/>
              <w:ind w:right="113"/>
              <w:rPr>
                <w:color w:val="auto"/>
              </w:rPr>
            </w:pPr>
            <w:r w:rsidRPr="00AB0794">
              <w:rPr>
                <w:color w:val="auto"/>
              </w:rPr>
              <w:t>Question raised about how often the facility will be inspected</w:t>
            </w:r>
            <w:r w:rsidR="0007419E" w:rsidRPr="00AB0794">
              <w:rPr>
                <w:color w:val="auto"/>
              </w:rPr>
              <w:t xml:space="preserve"> and concern about self-regulation by the operator</w:t>
            </w:r>
            <w:r w:rsidRPr="00AB0794">
              <w:rPr>
                <w:color w:val="auto"/>
              </w:rPr>
              <w:t>?</w:t>
            </w:r>
          </w:p>
          <w:p w14:paraId="76BD51EE" w14:textId="77777777" w:rsidR="00792DC8" w:rsidRPr="00AB0794" w:rsidRDefault="00792DC8" w:rsidP="00AB0794">
            <w:pPr>
              <w:pStyle w:val="Default"/>
              <w:keepLines/>
              <w:numPr>
                <w:ilvl w:val="0"/>
                <w:numId w:val="25"/>
              </w:numPr>
              <w:spacing w:after="60" w:line="259" w:lineRule="auto"/>
              <w:ind w:right="113"/>
              <w:rPr>
                <w:color w:val="auto"/>
              </w:rPr>
            </w:pPr>
            <w:r w:rsidRPr="00AB0794">
              <w:rPr>
                <w:color w:val="auto"/>
              </w:rPr>
              <w:t xml:space="preserve">General concerns raised in relation to radioactive substances in terms of their release, monitoring and communication of data to the public. </w:t>
            </w:r>
          </w:p>
          <w:p w14:paraId="44591DC8" w14:textId="64EB9653" w:rsidR="00CD7D1E" w:rsidRPr="00AB0794" w:rsidRDefault="007D33F7" w:rsidP="00AB0794">
            <w:pPr>
              <w:pStyle w:val="Default"/>
              <w:keepLines/>
              <w:numPr>
                <w:ilvl w:val="0"/>
                <w:numId w:val="25"/>
              </w:numPr>
              <w:spacing w:after="60" w:line="259" w:lineRule="auto"/>
              <w:ind w:right="113"/>
              <w:rPr>
                <w:color w:val="auto"/>
              </w:rPr>
            </w:pPr>
            <w:r w:rsidRPr="00AB0794">
              <w:rPr>
                <w:color w:val="auto"/>
              </w:rPr>
              <w:t xml:space="preserve">Concerns relating to the impact of the activity on drinking water standards. </w:t>
            </w:r>
          </w:p>
        </w:tc>
      </w:tr>
      <w:tr w:rsidR="00380D39" w:rsidRPr="00AB0794" w14:paraId="48C0A69E" w14:textId="77777777" w:rsidTr="005C3C45">
        <w:tc>
          <w:tcPr>
            <w:tcW w:w="5000" w:type="pct"/>
          </w:tcPr>
          <w:p w14:paraId="6AFEB708" w14:textId="77777777" w:rsidR="00380D39" w:rsidRPr="00AB0794" w:rsidRDefault="00380D39" w:rsidP="005C3C45">
            <w:pPr>
              <w:spacing w:after="0" w:line="240" w:lineRule="auto"/>
              <w:ind w:right="113"/>
              <w:rPr>
                <w:rFonts w:eastAsia="Times New Roman" w:cs="Arial"/>
                <w:b/>
                <w:color w:val="auto"/>
              </w:rPr>
            </w:pPr>
            <w:r w:rsidRPr="00AB0794">
              <w:rPr>
                <w:rFonts w:eastAsia="Times New Roman" w:cs="Arial"/>
                <w:b/>
                <w:color w:val="auto"/>
              </w:rPr>
              <w:lastRenderedPageBreak/>
              <w:t>Summary of actions taken or show how this has been covered</w:t>
            </w:r>
          </w:p>
        </w:tc>
      </w:tr>
      <w:tr w:rsidR="00380D39" w:rsidRPr="00AB0794" w14:paraId="6E42B7F8" w14:textId="77777777" w:rsidTr="005C3C45">
        <w:tc>
          <w:tcPr>
            <w:tcW w:w="5000" w:type="pct"/>
          </w:tcPr>
          <w:p w14:paraId="708A3953" w14:textId="764A9B08" w:rsidR="00150872" w:rsidRPr="00AB0794" w:rsidRDefault="00380D39" w:rsidP="00AB0794">
            <w:pPr>
              <w:pStyle w:val="ListParagraph"/>
              <w:numPr>
                <w:ilvl w:val="0"/>
                <w:numId w:val="26"/>
              </w:numPr>
              <w:tabs>
                <w:tab w:val="left" w:pos="-720"/>
              </w:tabs>
              <w:spacing w:after="60"/>
              <w:ind w:right="113"/>
              <w:contextualSpacing w:val="0"/>
              <w:rPr>
                <w:rStyle w:val="Pink"/>
                <w:rFonts w:cs="Arial"/>
                <w:color w:val="auto"/>
              </w:rPr>
            </w:pPr>
            <w:r w:rsidRPr="00AB0794">
              <w:rPr>
                <w:rStyle w:val="Pink"/>
                <w:rFonts w:cs="Arial"/>
                <w:color w:val="auto"/>
              </w:rPr>
              <w:t xml:space="preserve">NORM are routinely encountered in deeper geology associated with onshore oil production. NORM wastes are controlled through a separate permit as described in the key issues section of this </w:t>
            </w:r>
            <w:r w:rsidR="007A7028" w:rsidRPr="00AB0794">
              <w:rPr>
                <w:rStyle w:val="Pink"/>
                <w:rFonts w:cs="Arial"/>
                <w:color w:val="auto"/>
              </w:rPr>
              <w:t>decision document</w:t>
            </w:r>
            <w:r w:rsidRPr="00AB0794">
              <w:rPr>
                <w:rStyle w:val="Pink"/>
                <w:rFonts w:cs="Arial"/>
                <w:color w:val="auto"/>
              </w:rPr>
              <w:t>.</w:t>
            </w:r>
          </w:p>
          <w:p w14:paraId="257ACC1A" w14:textId="4484092E" w:rsidR="00150872" w:rsidRPr="00AB0794" w:rsidRDefault="00150872" w:rsidP="00AB0794">
            <w:pPr>
              <w:pStyle w:val="ListParagraph"/>
              <w:numPr>
                <w:ilvl w:val="0"/>
                <w:numId w:val="26"/>
              </w:numPr>
              <w:tabs>
                <w:tab w:val="left" w:pos="-720"/>
              </w:tabs>
              <w:spacing w:after="60"/>
              <w:ind w:right="113"/>
              <w:contextualSpacing w:val="0"/>
              <w:rPr>
                <w:rFonts w:cs="Arial"/>
                <w:color w:val="auto"/>
              </w:rPr>
            </w:pPr>
            <w:r w:rsidRPr="00AB0794">
              <w:rPr>
                <w:rFonts w:eastAsia="Times New Roman" w:cs="Arial"/>
                <w:color w:val="auto"/>
              </w:rPr>
              <w:t xml:space="preserve">Flowback fluid is a product of hydraulic fracturing. No such activity has been applied for and so we consider this concern not relevant to the existing variation application. </w:t>
            </w:r>
            <w:r w:rsidRPr="00AB0794">
              <w:rPr>
                <w:rFonts w:cs="Arial"/>
              </w:rPr>
              <w:t xml:space="preserve">Produced water is derived from the extraction of oil from oil-bearing strata and as such would be expected to contain hazardous substances in the form of naturally formed dissolved hydrocarbons. The principle of re-injecting produced water for support of oil production activities is acceptable under the current regulatory regimes in the UK. Additive chemicals intrinsic to the extraction of oil will also be present in any </w:t>
            </w:r>
            <w:r w:rsidR="00A47BF2" w:rsidRPr="00AB0794">
              <w:rPr>
                <w:rFonts w:cs="Arial"/>
              </w:rPr>
              <w:t>re-injec</w:t>
            </w:r>
            <w:r w:rsidRPr="00AB0794">
              <w:rPr>
                <w:rFonts w:cs="Arial"/>
              </w:rPr>
              <w:t>ted produced water.</w:t>
            </w:r>
          </w:p>
          <w:p w14:paraId="72F4B6A4" w14:textId="41F059BB" w:rsidR="00150872" w:rsidRPr="00AB0794" w:rsidRDefault="00150872" w:rsidP="00AB0794">
            <w:pPr>
              <w:pStyle w:val="ListParagraph"/>
              <w:keepLines/>
              <w:numPr>
                <w:ilvl w:val="0"/>
                <w:numId w:val="0"/>
              </w:numPr>
              <w:autoSpaceDE w:val="0"/>
              <w:autoSpaceDN w:val="0"/>
              <w:adjustRightInd w:val="0"/>
              <w:spacing w:after="60"/>
              <w:ind w:left="720"/>
              <w:contextualSpacing w:val="0"/>
              <w:rPr>
                <w:rFonts w:cs="Arial"/>
              </w:rPr>
            </w:pPr>
            <w:r w:rsidRPr="00AB0794">
              <w:rPr>
                <w:rFonts w:cs="Arial"/>
              </w:rPr>
              <w:t xml:space="preserve">We have reviewed the Supplementary HRA and are satisfied that the return of this produced water into oil-bearing strata will not result in any unpermitted discharges to other water-bearing strata. </w:t>
            </w:r>
          </w:p>
          <w:p w14:paraId="5192C90A" w14:textId="5FAE65E1" w:rsidR="00150872" w:rsidRPr="00AB0794" w:rsidRDefault="00150872" w:rsidP="00AB0794">
            <w:pPr>
              <w:pStyle w:val="ListParagraph"/>
              <w:keepLines/>
              <w:numPr>
                <w:ilvl w:val="0"/>
                <w:numId w:val="0"/>
              </w:numPr>
              <w:autoSpaceDE w:val="0"/>
              <w:autoSpaceDN w:val="0"/>
              <w:adjustRightInd w:val="0"/>
              <w:spacing w:after="60"/>
              <w:ind w:left="720"/>
              <w:contextualSpacing w:val="0"/>
              <w:rPr>
                <w:rFonts w:eastAsia="Times New Roman" w:cs="Arial"/>
                <w:color w:val="auto"/>
              </w:rPr>
            </w:pPr>
            <w:r w:rsidRPr="00AB0794">
              <w:rPr>
                <w:rFonts w:cs="Arial"/>
              </w:rPr>
              <w:t>We are satisfied that sufficient information has been presented on the geology and hydrogeology in the HRA in accordance with the Environment Agency’s Groundwater risk assessment for your environmental permit guidance and Onshore Oil and Gas Sector Guidance.</w:t>
            </w:r>
          </w:p>
          <w:p w14:paraId="25F5EE5A" w14:textId="77777777" w:rsidR="00380D39" w:rsidRPr="00AB0794" w:rsidRDefault="00A13968" w:rsidP="00AB0794">
            <w:pPr>
              <w:pStyle w:val="ListParagraph"/>
              <w:numPr>
                <w:ilvl w:val="0"/>
                <w:numId w:val="26"/>
              </w:numPr>
              <w:tabs>
                <w:tab w:val="left" w:pos="-720"/>
              </w:tabs>
              <w:spacing w:after="60"/>
              <w:ind w:right="113"/>
              <w:contextualSpacing w:val="0"/>
              <w:rPr>
                <w:rFonts w:cs="Arial"/>
                <w:color w:val="auto"/>
              </w:rPr>
            </w:pPr>
            <w:r w:rsidRPr="00AB0794">
              <w:rPr>
                <w:rFonts w:cs="Arial"/>
                <w:color w:val="auto"/>
              </w:rPr>
              <w:t xml:space="preserve">The applicant has not applied to stimulate the formation with acid or undertake any acid treatment process. We consider this concern not relevant to the existing application. </w:t>
            </w:r>
          </w:p>
          <w:p w14:paraId="66C5C2CB" w14:textId="77777777" w:rsidR="00D60F4C" w:rsidRPr="00AB0794" w:rsidRDefault="00D60F4C" w:rsidP="00AB0794">
            <w:pPr>
              <w:pStyle w:val="ListParagraph"/>
              <w:keepLines/>
              <w:numPr>
                <w:ilvl w:val="0"/>
                <w:numId w:val="26"/>
              </w:numPr>
              <w:autoSpaceDE w:val="0"/>
              <w:autoSpaceDN w:val="0"/>
              <w:adjustRightInd w:val="0"/>
              <w:spacing w:after="60"/>
              <w:contextualSpacing w:val="0"/>
              <w:rPr>
                <w:rFonts w:cs="Arial"/>
              </w:rPr>
            </w:pPr>
            <w:r w:rsidRPr="00AB0794">
              <w:rPr>
                <w:rFonts w:cs="Arial"/>
              </w:rPr>
              <w:t>Produced water is derived from the extraction of oil from oil-bearing strata and as such would be expected to contain hazardous substances in the form of naturally formed dissolved hydrocarbons. The principle of re-injecting produced water for support of oil production activities is acceptable under the current regulatory regimes in the UK.</w:t>
            </w:r>
          </w:p>
          <w:p w14:paraId="4BCEC641" w14:textId="5CF48857" w:rsidR="00D60F4C" w:rsidRPr="00AB0794" w:rsidRDefault="00D60F4C" w:rsidP="00AB0794">
            <w:pPr>
              <w:pStyle w:val="ListParagraph"/>
              <w:keepLines/>
              <w:numPr>
                <w:ilvl w:val="0"/>
                <w:numId w:val="0"/>
              </w:numPr>
              <w:autoSpaceDE w:val="0"/>
              <w:autoSpaceDN w:val="0"/>
              <w:adjustRightInd w:val="0"/>
              <w:spacing w:after="60"/>
              <w:ind w:left="720"/>
              <w:contextualSpacing w:val="0"/>
              <w:rPr>
                <w:rFonts w:cs="Arial"/>
              </w:rPr>
            </w:pPr>
            <w:r w:rsidRPr="00AB0794">
              <w:rPr>
                <w:rFonts w:cs="Arial"/>
              </w:rPr>
              <w:lastRenderedPageBreak/>
              <w:t xml:space="preserve">Additive chemicals intrinsic to the extraction of oil will also be present in any </w:t>
            </w:r>
            <w:r w:rsidR="00A47BF2" w:rsidRPr="00AB0794">
              <w:rPr>
                <w:rFonts w:cs="Arial"/>
              </w:rPr>
              <w:t>re-injec</w:t>
            </w:r>
            <w:r w:rsidRPr="00AB0794">
              <w:rPr>
                <w:rFonts w:cs="Arial"/>
              </w:rPr>
              <w:t>ted produced water.</w:t>
            </w:r>
          </w:p>
          <w:p w14:paraId="569883A7" w14:textId="31E3888E" w:rsidR="00D60F4C" w:rsidRPr="00AB0794" w:rsidRDefault="00D60F4C" w:rsidP="00AB0794">
            <w:pPr>
              <w:pStyle w:val="ListParagraph"/>
              <w:keepLines/>
              <w:numPr>
                <w:ilvl w:val="0"/>
                <w:numId w:val="0"/>
              </w:numPr>
              <w:autoSpaceDE w:val="0"/>
              <w:autoSpaceDN w:val="0"/>
              <w:adjustRightInd w:val="0"/>
              <w:spacing w:after="60"/>
              <w:ind w:left="720"/>
              <w:contextualSpacing w:val="0"/>
              <w:rPr>
                <w:rFonts w:cs="Arial"/>
              </w:rPr>
            </w:pPr>
            <w:r w:rsidRPr="00AB0794">
              <w:rPr>
                <w:rFonts w:cs="Arial"/>
              </w:rPr>
              <w:t xml:space="preserve">We have reviewed the Supplementary HRA and are satisfied </w:t>
            </w:r>
            <w:r w:rsidR="00473922">
              <w:rPr>
                <w:rFonts w:cs="Arial"/>
              </w:rPr>
              <w:t>with</w:t>
            </w:r>
            <w:r w:rsidR="007500D3" w:rsidRPr="00AB0794">
              <w:rPr>
                <w:rFonts w:cs="Arial"/>
              </w:rPr>
              <w:t xml:space="preserve"> the</w:t>
            </w:r>
            <w:r w:rsidRPr="00AB0794">
              <w:rPr>
                <w:rFonts w:cs="Arial"/>
              </w:rPr>
              <w:t xml:space="preserve"> re</w:t>
            </w:r>
            <w:r w:rsidR="007500D3" w:rsidRPr="00AB0794">
              <w:rPr>
                <w:rFonts w:cs="Arial"/>
              </w:rPr>
              <w:t xml:space="preserve">turn of this produced water </w:t>
            </w:r>
            <w:r w:rsidR="00C57F13">
              <w:rPr>
                <w:rFonts w:cs="Arial"/>
              </w:rPr>
              <w:t>into water</w:t>
            </w:r>
            <w:r w:rsidRPr="00AB0794">
              <w:rPr>
                <w:rFonts w:cs="Arial"/>
              </w:rPr>
              <w:t xml:space="preserve">-bearing strata. </w:t>
            </w:r>
          </w:p>
          <w:p w14:paraId="7374FBD4" w14:textId="77777777" w:rsidR="00D60F4C" w:rsidRPr="00AB0794" w:rsidRDefault="00D60F4C" w:rsidP="00AB0794">
            <w:pPr>
              <w:pStyle w:val="ListParagraph"/>
              <w:numPr>
                <w:ilvl w:val="0"/>
                <w:numId w:val="26"/>
              </w:numPr>
              <w:tabs>
                <w:tab w:val="left" w:pos="-720"/>
              </w:tabs>
              <w:spacing w:after="60"/>
              <w:ind w:right="113"/>
              <w:contextualSpacing w:val="0"/>
              <w:rPr>
                <w:rFonts w:cs="Arial"/>
                <w:color w:val="auto"/>
              </w:rPr>
            </w:pPr>
            <w:r w:rsidRPr="00AB0794">
              <w:rPr>
                <w:rFonts w:cs="Arial"/>
                <w:color w:val="auto"/>
              </w:rPr>
              <w:t xml:space="preserve">See previous responses in the above tables regarding faults and seismic activity. </w:t>
            </w:r>
          </w:p>
          <w:p w14:paraId="3C448221" w14:textId="259C761A" w:rsidR="007500D3" w:rsidRPr="00AB0794" w:rsidRDefault="007500D3" w:rsidP="00AB0794">
            <w:pPr>
              <w:pStyle w:val="ListParagraph"/>
              <w:numPr>
                <w:ilvl w:val="0"/>
                <w:numId w:val="26"/>
              </w:numPr>
              <w:tabs>
                <w:tab w:val="left" w:pos="-720"/>
              </w:tabs>
              <w:spacing w:after="60"/>
              <w:ind w:right="113"/>
              <w:contextualSpacing w:val="0"/>
              <w:rPr>
                <w:rStyle w:val="Pink"/>
                <w:rFonts w:cs="Arial"/>
                <w:color w:val="auto"/>
              </w:rPr>
            </w:pPr>
            <w:r w:rsidRPr="00AB0794">
              <w:rPr>
                <w:rStyle w:val="Pink"/>
                <w:rFonts w:cs="Arial"/>
                <w:color w:val="auto"/>
              </w:rPr>
              <w:t xml:space="preserve">As explained in the key issues section of this </w:t>
            </w:r>
            <w:r w:rsidR="007A7028" w:rsidRPr="00AB0794">
              <w:rPr>
                <w:rStyle w:val="Pink"/>
                <w:rFonts w:cs="Arial"/>
                <w:color w:val="auto"/>
              </w:rPr>
              <w:t>decision document</w:t>
            </w:r>
            <w:r w:rsidRPr="00AB0794">
              <w:rPr>
                <w:rStyle w:val="Pink"/>
                <w:rFonts w:cs="Arial"/>
                <w:color w:val="auto"/>
              </w:rPr>
              <w:t xml:space="preserve"> we are satisfied that the Supplementary HRA demonstrates the importance of well integrity and includes robust re</w:t>
            </w:r>
            <w:r w:rsidR="00473922">
              <w:rPr>
                <w:rStyle w:val="Pink"/>
                <w:rFonts w:cs="Arial"/>
                <w:color w:val="auto"/>
              </w:rPr>
              <w:t>-</w:t>
            </w:r>
            <w:r w:rsidRPr="00AB0794">
              <w:rPr>
                <w:rStyle w:val="Pink"/>
                <w:rFonts w:cs="Arial"/>
                <w:color w:val="auto"/>
              </w:rPr>
              <w:t>injection procedures, and detailed monitoring procedures.</w:t>
            </w:r>
          </w:p>
          <w:p w14:paraId="6D77B535" w14:textId="62DF474E" w:rsidR="007500D3" w:rsidRPr="00AB0794" w:rsidRDefault="007500D3" w:rsidP="00AB0794">
            <w:pPr>
              <w:pStyle w:val="ListParagraph"/>
              <w:numPr>
                <w:ilvl w:val="0"/>
                <w:numId w:val="26"/>
              </w:numPr>
              <w:tabs>
                <w:tab w:val="left" w:pos="-720"/>
              </w:tabs>
              <w:spacing w:after="60"/>
              <w:ind w:right="113"/>
              <w:contextualSpacing w:val="0"/>
              <w:rPr>
                <w:rStyle w:val="Pink"/>
                <w:rFonts w:cs="Arial"/>
                <w:color w:val="auto"/>
              </w:rPr>
            </w:pPr>
            <w:r w:rsidRPr="00AB0794">
              <w:rPr>
                <w:rStyle w:val="Pink"/>
                <w:rFonts w:cs="Arial"/>
                <w:color w:val="auto"/>
              </w:rPr>
              <w:t xml:space="preserve">NORM waste are routinely encountered in deeper geology associated with onshore oil production. NORM wastes are controlled through a separate permit as described in the key issues section of this </w:t>
            </w:r>
            <w:r w:rsidR="007A7028" w:rsidRPr="00AB0794">
              <w:rPr>
                <w:rStyle w:val="Pink"/>
                <w:rFonts w:cs="Arial"/>
                <w:color w:val="auto"/>
              </w:rPr>
              <w:t>decision document</w:t>
            </w:r>
            <w:r w:rsidRPr="00AB0794">
              <w:rPr>
                <w:rStyle w:val="Pink"/>
                <w:rFonts w:cs="Arial"/>
                <w:color w:val="auto"/>
              </w:rPr>
              <w:t>.</w:t>
            </w:r>
          </w:p>
          <w:p w14:paraId="246FA113" w14:textId="77777777" w:rsidR="007500D3" w:rsidRPr="00AB0794" w:rsidRDefault="007500D3" w:rsidP="00AB0794">
            <w:pPr>
              <w:pStyle w:val="ListParagraph"/>
              <w:keepLines/>
              <w:numPr>
                <w:ilvl w:val="0"/>
                <w:numId w:val="26"/>
              </w:numPr>
              <w:autoSpaceDE w:val="0"/>
              <w:autoSpaceDN w:val="0"/>
              <w:adjustRightInd w:val="0"/>
              <w:spacing w:after="60"/>
              <w:contextualSpacing w:val="0"/>
              <w:rPr>
                <w:rFonts w:cs="Arial"/>
              </w:rPr>
            </w:pPr>
            <w:r w:rsidRPr="00AB0794">
              <w:rPr>
                <w:rFonts w:cs="Arial"/>
              </w:rPr>
              <w:t>Produced water is derived from the extraction of oil from oil-bearing strata and as such would be expected to contain hazardous substances in the form of naturally formed dissolved hydrocarbons. The principle of re-injecting produced water for support of oil production activities is acceptable under the current regulatory regimes in the UK.</w:t>
            </w:r>
          </w:p>
          <w:p w14:paraId="69832241" w14:textId="4BA337C9" w:rsidR="007500D3" w:rsidRPr="00AB0794" w:rsidRDefault="007500D3" w:rsidP="00AB0794">
            <w:pPr>
              <w:pStyle w:val="ListParagraph"/>
              <w:keepLines/>
              <w:numPr>
                <w:ilvl w:val="0"/>
                <w:numId w:val="0"/>
              </w:numPr>
              <w:autoSpaceDE w:val="0"/>
              <w:autoSpaceDN w:val="0"/>
              <w:adjustRightInd w:val="0"/>
              <w:spacing w:after="60"/>
              <w:ind w:left="720"/>
              <w:contextualSpacing w:val="0"/>
              <w:rPr>
                <w:rFonts w:cs="Arial"/>
              </w:rPr>
            </w:pPr>
            <w:r w:rsidRPr="00AB0794">
              <w:rPr>
                <w:rFonts w:cs="Arial"/>
              </w:rPr>
              <w:t xml:space="preserve">Additive chemicals intrinsic to the extraction of oil will also be present in any </w:t>
            </w:r>
            <w:r w:rsidR="00A47BF2" w:rsidRPr="00AB0794">
              <w:rPr>
                <w:rFonts w:cs="Arial"/>
              </w:rPr>
              <w:t>re-injec</w:t>
            </w:r>
            <w:r w:rsidRPr="00AB0794">
              <w:rPr>
                <w:rFonts w:cs="Arial"/>
              </w:rPr>
              <w:t>ted produced water.</w:t>
            </w:r>
          </w:p>
          <w:p w14:paraId="66C5F4F9" w14:textId="2C1BA4BF" w:rsidR="007500D3" w:rsidRPr="00AB0794" w:rsidRDefault="007500D3" w:rsidP="00AB0794">
            <w:pPr>
              <w:pStyle w:val="ListParagraph"/>
              <w:keepLines/>
              <w:numPr>
                <w:ilvl w:val="0"/>
                <w:numId w:val="0"/>
              </w:numPr>
              <w:autoSpaceDE w:val="0"/>
              <w:autoSpaceDN w:val="0"/>
              <w:adjustRightInd w:val="0"/>
              <w:spacing w:after="60"/>
              <w:ind w:left="720"/>
              <w:contextualSpacing w:val="0"/>
              <w:rPr>
                <w:rFonts w:cs="Arial"/>
              </w:rPr>
            </w:pPr>
            <w:r w:rsidRPr="00AB0794">
              <w:rPr>
                <w:rFonts w:cs="Arial"/>
              </w:rPr>
              <w:t xml:space="preserve">We have reviewed the Supplementary HRA and are satisfied that the return of this produced water into oil-bearing strata will not result in any unpermitted discharges to other water-bearing strata and there will be no harm to human health. </w:t>
            </w:r>
          </w:p>
          <w:p w14:paraId="6102DF21" w14:textId="77777777" w:rsidR="007500D3" w:rsidRPr="00AB0794" w:rsidRDefault="00CD7D1E" w:rsidP="00AB0794">
            <w:pPr>
              <w:pStyle w:val="ListParagraph"/>
              <w:numPr>
                <w:ilvl w:val="0"/>
                <w:numId w:val="26"/>
              </w:numPr>
              <w:tabs>
                <w:tab w:val="left" w:pos="-720"/>
              </w:tabs>
              <w:spacing w:after="60"/>
              <w:ind w:right="113"/>
              <w:contextualSpacing w:val="0"/>
              <w:rPr>
                <w:rFonts w:cs="Arial"/>
                <w:color w:val="auto"/>
              </w:rPr>
            </w:pPr>
            <w:r w:rsidRPr="00AB0794">
              <w:rPr>
                <w:rFonts w:cs="Arial"/>
                <w:color w:val="auto"/>
              </w:rPr>
              <w:t xml:space="preserve">See previous responses in the above tables regarding operator competency. </w:t>
            </w:r>
          </w:p>
          <w:p w14:paraId="22968A80" w14:textId="05C0D2CE" w:rsidR="00CD7D1E" w:rsidRPr="00AB0794" w:rsidRDefault="00CD7D1E" w:rsidP="00AB0794">
            <w:pPr>
              <w:pStyle w:val="ListParagraph"/>
              <w:numPr>
                <w:ilvl w:val="0"/>
                <w:numId w:val="26"/>
              </w:numPr>
              <w:tabs>
                <w:tab w:val="left" w:pos="-720"/>
              </w:tabs>
              <w:spacing w:after="60"/>
              <w:ind w:right="113"/>
              <w:contextualSpacing w:val="0"/>
              <w:rPr>
                <w:rFonts w:cs="Arial"/>
                <w:color w:val="auto"/>
              </w:rPr>
            </w:pPr>
            <w:r w:rsidRPr="00AB0794">
              <w:rPr>
                <w:rFonts w:cs="Arial"/>
                <w:color w:val="auto"/>
              </w:rPr>
              <w:t>We assessed all documents submitted as part of the application and various requests for information. We are satisfied that the operator provided all required documentation</w:t>
            </w:r>
            <w:r w:rsidR="00F900AF" w:rsidRPr="00AB0794">
              <w:rPr>
                <w:rFonts w:cs="Arial"/>
                <w:color w:val="auto"/>
              </w:rPr>
              <w:t xml:space="preserve"> in terms of injection rates/pressure</w:t>
            </w:r>
            <w:r w:rsidR="00792DC8" w:rsidRPr="00AB0794">
              <w:rPr>
                <w:rFonts w:cs="Arial"/>
                <w:color w:val="auto"/>
              </w:rPr>
              <w:t xml:space="preserve"> and seismicity. Further information on these issues is provided in the above tables of responses</w:t>
            </w:r>
            <w:r w:rsidR="00F900AF" w:rsidRPr="00AB0794">
              <w:rPr>
                <w:rFonts w:cs="Arial"/>
                <w:color w:val="auto"/>
              </w:rPr>
              <w:t xml:space="preserve">. </w:t>
            </w:r>
          </w:p>
          <w:p w14:paraId="2BC9CB31" w14:textId="77777777" w:rsidR="00F900AF" w:rsidRPr="00AB0794" w:rsidRDefault="00F900AF" w:rsidP="00AB0794">
            <w:pPr>
              <w:pStyle w:val="ListParagraph"/>
              <w:numPr>
                <w:ilvl w:val="0"/>
                <w:numId w:val="0"/>
              </w:numPr>
              <w:tabs>
                <w:tab w:val="left" w:pos="-720"/>
              </w:tabs>
              <w:spacing w:after="60"/>
              <w:ind w:left="720" w:right="113"/>
              <w:contextualSpacing w:val="0"/>
              <w:rPr>
                <w:rFonts w:cs="Arial"/>
                <w:color w:val="auto"/>
              </w:rPr>
            </w:pPr>
            <w:r w:rsidRPr="00AB0794">
              <w:rPr>
                <w:rFonts w:cs="Arial"/>
                <w:color w:val="auto"/>
              </w:rPr>
              <w:t xml:space="preserve">We are satisfied that the operator’s management system and associated procedures will ensure appropriate staffing during operational hours. </w:t>
            </w:r>
          </w:p>
          <w:p w14:paraId="181C3C4A" w14:textId="77777777" w:rsidR="00792DC8" w:rsidRPr="00AB0794" w:rsidRDefault="00F900AF" w:rsidP="00AB0794">
            <w:pPr>
              <w:pStyle w:val="ListParagraph"/>
              <w:numPr>
                <w:ilvl w:val="0"/>
                <w:numId w:val="0"/>
              </w:numPr>
              <w:tabs>
                <w:tab w:val="left" w:pos="-720"/>
              </w:tabs>
              <w:spacing w:after="60"/>
              <w:ind w:left="720" w:right="113"/>
              <w:contextualSpacing w:val="0"/>
              <w:rPr>
                <w:rFonts w:cs="Arial"/>
                <w:color w:val="auto"/>
              </w:rPr>
            </w:pPr>
            <w:r w:rsidRPr="00AB0794">
              <w:rPr>
                <w:rFonts w:cs="Arial"/>
                <w:color w:val="auto"/>
              </w:rPr>
              <w:t>The operator has procedures in place in the event of accidents or emergencies, including fire. A fire prevention plan is not required for the addition of a grou</w:t>
            </w:r>
            <w:r w:rsidR="00792DC8" w:rsidRPr="00AB0794">
              <w:rPr>
                <w:rFonts w:cs="Arial"/>
                <w:color w:val="auto"/>
              </w:rPr>
              <w:t>ndwater activity to the permit.</w:t>
            </w:r>
          </w:p>
          <w:p w14:paraId="52C0781B" w14:textId="77777777" w:rsidR="00F91A16" w:rsidRPr="00AB0794" w:rsidRDefault="00F91A16" w:rsidP="00AB0794">
            <w:pPr>
              <w:pStyle w:val="ListParagraph"/>
              <w:numPr>
                <w:ilvl w:val="0"/>
                <w:numId w:val="26"/>
              </w:numPr>
              <w:spacing w:after="60"/>
              <w:contextualSpacing w:val="0"/>
              <w:rPr>
                <w:rFonts w:cs="Arial"/>
              </w:rPr>
            </w:pPr>
            <w:r w:rsidRPr="00AB0794">
              <w:rPr>
                <w:rFonts w:cs="Arial"/>
              </w:rPr>
              <w:t xml:space="preserve">The facility may be checked by the Environment Agency in two ways: </w:t>
            </w:r>
          </w:p>
          <w:p w14:paraId="0D7C66D8" w14:textId="6C2AA5B4" w:rsidR="00F91A16" w:rsidRPr="00AB0794" w:rsidRDefault="00F91A16" w:rsidP="00AB0794">
            <w:pPr>
              <w:pStyle w:val="ListParagraph"/>
              <w:numPr>
                <w:ilvl w:val="1"/>
                <w:numId w:val="26"/>
              </w:numPr>
              <w:spacing w:after="60"/>
              <w:contextualSpacing w:val="0"/>
              <w:rPr>
                <w:rFonts w:cs="Arial"/>
              </w:rPr>
            </w:pPr>
            <w:r w:rsidRPr="00AB0794">
              <w:rPr>
                <w:rFonts w:cs="Arial"/>
              </w:rPr>
              <w:lastRenderedPageBreak/>
              <w:t>an assessment - a desk based check of whether the operator is complying with their permit, for example checking they’re</w:t>
            </w:r>
            <w:r w:rsidR="003D59B2" w:rsidRPr="00AB0794">
              <w:rPr>
                <w:rFonts w:cs="Arial"/>
              </w:rPr>
              <w:t xml:space="preserve"> sending in required information.</w:t>
            </w:r>
          </w:p>
          <w:p w14:paraId="78822FAD" w14:textId="410429E3" w:rsidR="00F91A16" w:rsidRPr="00AB0794" w:rsidRDefault="00F91A16" w:rsidP="00AB0794">
            <w:pPr>
              <w:pStyle w:val="ListParagraph"/>
              <w:numPr>
                <w:ilvl w:val="1"/>
                <w:numId w:val="26"/>
              </w:numPr>
              <w:spacing w:after="60"/>
              <w:contextualSpacing w:val="0"/>
              <w:rPr>
                <w:rFonts w:cs="Arial"/>
              </w:rPr>
            </w:pPr>
            <w:r w:rsidRPr="00AB0794">
              <w:rPr>
                <w:rFonts w:cs="Arial"/>
              </w:rPr>
              <w:t>an inspection - where an officer visits the site</w:t>
            </w:r>
          </w:p>
          <w:p w14:paraId="3FC2368A" w14:textId="7480646B" w:rsidR="00F91A16" w:rsidRPr="00AB0794" w:rsidRDefault="00F91A16" w:rsidP="00AB0794">
            <w:pPr>
              <w:spacing w:after="60"/>
              <w:ind w:left="720"/>
              <w:rPr>
                <w:rFonts w:cs="Arial"/>
              </w:rPr>
            </w:pPr>
            <w:r w:rsidRPr="00AB0794">
              <w:rPr>
                <w:rFonts w:cs="Arial"/>
              </w:rPr>
              <w:t xml:space="preserve">Inspections </w:t>
            </w:r>
            <w:r w:rsidR="00F2752D" w:rsidRPr="00AB0794">
              <w:rPr>
                <w:rFonts w:cs="Arial"/>
              </w:rPr>
              <w:t>can be planned ahead or be unannounced.</w:t>
            </w:r>
            <w:r w:rsidRPr="00AB0794">
              <w:rPr>
                <w:rFonts w:cs="Arial"/>
              </w:rPr>
              <w:t xml:space="preserve"> Environment Agency staff will look around the site and ask questions. We may ask to see documents or talk to staff. The frequency of inspections depends on the type of site and whether there are any on-going compliance issues that require additional visits. In normal circumstances we would anticipate inspecting a site of this type </w:t>
            </w:r>
            <w:r w:rsidR="0080070F" w:rsidRPr="00AB0794">
              <w:rPr>
                <w:rFonts w:cs="Arial"/>
              </w:rPr>
              <w:t xml:space="preserve">at least twice a year. </w:t>
            </w:r>
          </w:p>
          <w:p w14:paraId="16AFF100" w14:textId="0E04998B" w:rsidR="00792DC8" w:rsidRPr="00AB0794" w:rsidRDefault="00792DC8" w:rsidP="00AB0794">
            <w:pPr>
              <w:pStyle w:val="ListParagraph"/>
              <w:numPr>
                <w:ilvl w:val="0"/>
                <w:numId w:val="26"/>
              </w:numPr>
              <w:spacing w:after="60"/>
              <w:contextualSpacing w:val="0"/>
              <w:rPr>
                <w:rStyle w:val="Pink"/>
                <w:rFonts w:cs="Arial"/>
                <w:color w:val="auto"/>
              </w:rPr>
            </w:pPr>
            <w:r w:rsidRPr="00AB0794">
              <w:rPr>
                <w:rStyle w:val="Pink"/>
                <w:rFonts w:cs="Arial"/>
                <w:color w:val="auto"/>
              </w:rPr>
              <w:t xml:space="preserve">NORM waste are routinely encountered in deeper geology associated with onshore oil production. NORM wastes are controlled through a separate permit as described in the key issues section of this </w:t>
            </w:r>
            <w:r w:rsidR="007A7028" w:rsidRPr="00AB0794">
              <w:rPr>
                <w:rStyle w:val="Pink"/>
                <w:rFonts w:cs="Arial"/>
                <w:color w:val="auto"/>
              </w:rPr>
              <w:t>decision document</w:t>
            </w:r>
            <w:r w:rsidRPr="00AB0794">
              <w:rPr>
                <w:rStyle w:val="Pink"/>
                <w:rFonts w:cs="Arial"/>
                <w:color w:val="auto"/>
              </w:rPr>
              <w:t>.</w:t>
            </w:r>
          </w:p>
          <w:p w14:paraId="03083E17" w14:textId="219522C5" w:rsidR="00792DC8" w:rsidRPr="00AB0794" w:rsidRDefault="007D33F7" w:rsidP="00AB0794">
            <w:pPr>
              <w:pStyle w:val="ListParagraph"/>
              <w:numPr>
                <w:ilvl w:val="0"/>
                <w:numId w:val="26"/>
              </w:numPr>
              <w:tabs>
                <w:tab w:val="left" w:pos="-720"/>
              </w:tabs>
              <w:spacing w:after="60"/>
              <w:ind w:right="113"/>
              <w:contextualSpacing w:val="0"/>
              <w:rPr>
                <w:rFonts w:cs="Arial"/>
                <w:color w:val="auto"/>
              </w:rPr>
            </w:pPr>
            <w:r w:rsidRPr="00AB0794">
              <w:rPr>
                <w:rStyle w:val="Pink"/>
                <w:rFonts w:cs="Arial"/>
                <w:color w:val="auto"/>
              </w:rPr>
              <w:t>See the responses in the above tables regarding our assessment of the impact on groundwater. We are satisfied with the operator’s interpretation that these formations are unlikely to contain potable groundwater and groundwater monitoring of these formations is not required.</w:t>
            </w:r>
          </w:p>
        </w:tc>
      </w:tr>
    </w:tbl>
    <w:p w14:paraId="68E85606" w14:textId="77777777" w:rsidR="005C6200" w:rsidRDefault="005C6200" w:rsidP="002F6967">
      <w:pPr>
        <w:pStyle w:val="Topictitle"/>
        <w:rPr>
          <w:rFonts w:cs="Arial"/>
          <w:color w:val="auto"/>
          <w:sz w:val="24"/>
          <w:szCs w:val="24"/>
        </w:rPr>
      </w:pPr>
    </w:p>
    <w:p w14:paraId="7ABD1775" w14:textId="082B6040" w:rsidR="002F6967" w:rsidRPr="00A31F8A" w:rsidRDefault="002F6967" w:rsidP="002F6967">
      <w:pPr>
        <w:pStyle w:val="Topictitle"/>
        <w:rPr>
          <w:rFonts w:cs="Arial"/>
          <w:color w:val="auto"/>
          <w:sz w:val="28"/>
          <w:szCs w:val="24"/>
        </w:rPr>
      </w:pPr>
      <w:r w:rsidRPr="00A31F8A">
        <w:rPr>
          <w:rFonts w:cs="Arial"/>
          <w:color w:val="auto"/>
          <w:sz w:val="28"/>
          <w:szCs w:val="24"/>
        </w:rPr>
        <w:t>Representations from i</w:t>
      </w:r>
      <w:r w:rsidR="00016979" w:rsidRPr="00A31F8A">
        <w:rPr>
          <w:rFonts w:cs="Arial"/>
          <w:color w:val="auto"/>
          <w:sz w:val="28"/>
          <w:szCs w:val="24"/>
        </w:rPr>
        <w:t>n</w:t>
      </w:r>
      <w:r w:rsidR="000E4631" w:rsidRPr="00A31F8A">
        <w:rPr>
          <w:rFonts w:cs="Arial"/>
          <w:color w:val="auto"/>
          <w:sz w:val="28"/>
          <w:szCs w:val="24"/>
        </w:rPr>
        <w:t>dividual members of the public</w:t>
      </w:r>
    </w:p>
    <w:p w14:paraId="155C80D1" w14:textId="20922083" w:rsidR="00742C95" w:rsidRPr="00AB0794" w:rsidRDefault="00742C95" w:rsidP="002F6967">
      <w:pPr>
        <w:pStyle w:val="Topictitle"/>
        <w:rPr>
          <w:rFonts w:cs="Arial"/>
          <w:b w:val="0"/>
          <w:color w:val="auto"/>
          <w:sz w:val="24"/>
          <w:szCs w:val="24"/>
        </w:rPr>
      </w:pPr>
      <w:r w:rsidRPr="00AB0794">
        <w:rPr>
          <w:rFonts w:cs="Arial"/>
          <w:b w:val="0"/>
          <w:color w:val="auto"/>
          <w:sz w:val="24"/>
          <w:szCs w:val="24"/>
        </w:rPr>
        <w:t xml:space="preserve">A total of 175 responses were received from members of the public. Their comments are summarised below. </w:t>
      </w:r>
      <w:r w:rsidR="005D00FB">
        <w:rPr>
          <w:rFonts w:cs="Arial"/>
          <w:b w:val="0"/>
          <w:color w:val="auto"/>
          <w:sz w:val="24"/>
          <w:szCs w:val="24"/>
        </w:rPr>
        <w:t>Many responses overlapped in terms of content therefore w</w:t>
      </w:r>
      <w:r w:rsidR="00C86C24" w:rsidRPr="00AB0794">
        <w:rPr>
          <w:rFonts w:cs="Arial"/>
          <w:b w:val="0"/>
          <w:color w:val="auto"/>
          <w:sz w:val="24"/>
          <w:szCs w:val="24"/>
        </w:rPr>
        <w:t xml:space="preserve">e have </w:t>
      </w:r>
      <w:r w:rsidR="005C6200">
        <w:rPr>
          <w:rFonts w:cs="Arial"/>
          <w:b w:val="0"/>
          <w:color w:val="auto"/>
          <w:sz w:val="24"/>
          <w:szCs w:val="24"/>
        </w:rPr>
        <w:t xml:space="preserve">only included </w:t>
      </w:r>
      <w:r w:rsidR="00C86C24" w:rsidRPr="00AB0794">
        <w:rPr>
          <w:rFonts w:cs="Arial"/>
          <w:b w:val="0"/>
          <w:color w:val="auto"/>
          <w:sz w:val="24"/>
          <w:szCs w:val="24"/>
        </w:rPr>
        <w:t xml:space="preserve">comments </w:t>
      </w:r>
      <w:r w:rsidR="005D00FB">
        <w:rPr>
          <w:rFonts w:cs="Arial"/>
          <w:b w:val="0"/>
          <w:color w:val="auto"/>
          <w:sz w:val="24"/>
          <w:szCs w:val="24"/>
        </w:rPr>
        <w:t xml:space="preserve">below that are </w:t>
      </w:r>
      <w:r w:rsidR="005C6200">
        <w:rPr>
          <w:rFonts w:cs="Arial"/>
          <w:b w:val="0"/>
          <w:color w:val="auto"/>
          <w:sz w:val="24"/>
          <w:szCs w:val="24"/>
        </w:rPr>
        <w:t xml:space="preserve">not </w:t>
      </w:r>
      <w:r w:rsidR="00C86C24" w:rsidRPr="00AB0794">
        <w:rPr>
          <w:rFonts w:cs="Arial"/>
          <w:b w:val="0"/>
          <w:color w:val="auto"/>
          <w:sz w:val="24"/>
          <w:szCs w:val="24"/>
        </w:rPr>
        <w:t xml:space="preserve">already addressed above in our response to queries from statutory consultees, local MPs, assembly members, councillors, parish/town community councils and community groups/organisations.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672"/>
        <w:gridCol w:w="9284"/>
      </w:tblGrid>
      <w:tr w:rsidR="000E4631" w:rsidRPr="00AB0794" w14:paraId="6F27BC2C" w14:textId="4D6F69CA" w:rsidTr="005D00FB">
        <w:tc>
          <w:tcPr>
            <w:tcW w:w="1674" w:type="pct"/>
          </w:tcPr>
          <w:p w14:paraId="277FDC00" w14:textId="77777777"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Brief summary of issues raised</w:t>
            </w:r>
          </w:p>
        </w:tc>
        <w:tc>
          <w:tcPr>
            <w:tcW w:w="3326" w:type="pct"/>
          </w:tcPr>
          <w:p w14:paraId="463A5A2D" w14:textId="3D9790D1" w:rsidR="000E4631" w:rsidRPr="00AB0794" w:rsidRDefault="000E4631" w:rsidP="00ED411C">
            <w:pPr>
              <w:spacing w:after="0" w:line="240" w:lineRule="auto"/>
              <w:ind w:right="113"/>
              <w:rPr>
                <w:rFonts w:eastAsia="Times New Roman" w:cs="Arial"/>
                <w:b/>
                <w:color w:val="auto"/>
              </w:rPr>
            </w:pPr>
            <w:r w:rsidRPr="00AB0794">
              <w:rPr>
                <w:rFonts w:eastAsia="Times New Roman" w:cs="Arial"/>
                <w:b/>
                <w:color w:val="auto"/>
              </w:rPr>
              <w:t>Summary of actions taken or show how this has been covered</w:t>
            </w:r>
          </w:p>
        </w:tc>
      </w:tr>
      <w:tr w:rsidR="005C6200" w:rsidRPr="00AB0794" w14:paraId="177A83F2" w14:textId="77777777" w:rsidTr="005D00FB">
        <w:tc>
          <w:tcPr>
            <w:tcW w:w="5000" w:type="pct"/>
            <w:gridSpan w:val="2"/>
          </w:tcPr>
          <w:p w14:paraId="06CA3C5E" w14:textId="555C806B" w:rsidR="005C6200" w:rsidRPr="00AB0794" w:rsidRDefault="005C6200" w:rsidP="00ED411C">
            <w:pPr>
              <w:spacing w:after="0" w:line="240" w:lineRule="auto"/>
              <w:ind w:right="113"/>
              <w:rPr>
                <w:rFonts w:eastAsia="Times New Roman" w:cs="Arial"/>
                <w:b/>
                <w:color w:val="auto"/>
              </w:rPr>
            </w:pPr>
            <w:r>
              <w:rPr>
                <w:rFonts w:eastAsia="Times New Roman" w:cs="Arial"/>
                <w:b/>
                <w:color w:val="auto"/>
              </w:rPr>
              <w:t>Gas flaring</w:t>
            </w:r>
          </w:p>
        </w:tc>
      </w:tr>
      <w:tr w:rsidR="000E4631" w:rsidRPr="00AB0794" w14:paraId="360C41DD" w14:textId="47A24A7C" w:rsidTr="005D00FB">
        <w:tc>
          <w:tcPr>
            <w:tcW w:w="1674" w:type="pct"/>
          </w:tcPr>
          <w:p w14:paraId="626ACB75" w14:textId="3119EE1B" w:rsidR="000E4631" w:rsidRPr="00AB0794" w:rsidRDefault="00C86C24" w:rsidP="00ED411C">
            <w:pPr>
              <w:spacing w:after="0" w:line="240" w:lineRule="auto"/>
              <w:ind w:right="113"/>
              <w:rPr>
                <w:rFonts w:eastAsia="Times New Roman" w:cs="Arial"/>
                <w:color w:val="auto"/>
              </w:rPr>
            </w:pPr>
            <w:r w:rsidRPr="00AB0794">
              <w:rPr>
                <w:rFonts w:eastAsia="Times New Roman" w:cs="Arial"/>
                <w:color w:val="auto"/>
              </w:rPr>
              <w:t>Concerns raised about gas flaring</w:t>
            </w:r>
          </w:p>
        </w:tc>
        <w:tc>
          <w:tcPr>
            <w:tcW w:w="3326" w:type="pct"/>
          </w:tcPr>
          <w:p w14:paraId="38106498" w14:textId="7E6B7CC3" w:rsidR="000E4631" w:rsidRPr="00AB0794" w:rsidRDefault="00C86C24" w:rsidP="005C6200">
            <w:pPr>
              <w:spacing w:after="60"/>
              <w:ind w:right="113"/>
              <w:rPr>
                <w:rFonts w:eastAsia="Times New Roman" w:cs="Arial"/>
                <w:color w:val="auto"/>
              </w:rPr>
            </w:pPr>
            <w:r w:rsidRPr="00AB0794">
              <w:rPr>
                <w:rFonts w:eastAsia="Times New Roman" w:cs="Arial"/>
                <w:color w:val="auto"/>
              </w:rPr>
              <w:t>This concern is not relevant to the application as no changes are proposed to the existing</w:t>
            </w:r>
            <w:r w:rsidR="00473922">
              <w:rPr>
                <w:rFonts w:eastAsia="Times New Roman" w:cs="Arial"/>
                <w:color w:val="auto"/>
              </w:rPr>
              <w:t xml:space="preserve"> permitted</w:t>
            </w:r>
            <w:r w:rsidRPr="00AB0794">
              <w:rPr>
                <w:rFonts w:eastAsia="Times New Roman" w:cs="Arial"/>
                <w:color w:val="auto"/>
              </w:rPr>
              <w:t xml:space="preserve"> drilling activity</w:t>
            </w:r>
            <w:r w:rsidR="00E10B18">
              <w:rPr>
                <w:rFonts w:eastAsia="Times New Roman" w:cs="Arial"/>
                <w:color w:val="auto"/>
              </w:rPr>
              <w:t xml:space="preserve"> and flare</w:t>
            </w:r>
            <w:r w:rsidRPr="00AB0794">
              <w:rPr>
                <w:rFonts w:eastAsia="Times New Roman" w:cs="Arial"/>
                <w:color w:val="auto"/>
              </w:rPr>
              <w:t xml:space="preserve">. </w:t>
            </w:r>
          </w:p>
        </w:tc>
      </w:tr>
      <w:tr w:rsidR="005C6200" w:rsidRPr="00AB0794" w14:paraId="00F15C9B" w14:textId="77777777" w:rsidTr="005D00FB">
        <w:tc>
          <w:tcPr>
            <w:tcW w:w="5000" w:type="pct"/>
            <w:gridSpan w:val="2"/>
          </w:tcPr>
          <w:p w14:paraId="6D9B7C02" w14:textId="1D86291B" w:rsidR="005C6200" w:rsidRPr="005C6200" w:rsidRDefault="005C6200" w:rsidP="005C6200">
            <w:pPr>
              <w:spacing w:after="60"/>
              <w:ind w:right="113"/>
              <w:rPr>
                <w:rFonts w:eastAsia="Times New Roman" w:cs="Arial"/>
                <w:b/>
                <w:color w:val="auto"/>
              </w:rPr>
            </w:pPr>
            <w:r w:rsidRPr="005C6200">
              <w:rPr>
                <w:rFonts w:eastAsia="Times New Roman" w:cs="Arial"/>
                <w:b/>
                <w:color w:val="auto"/>
              </w:rPr>
              <w:lastRenderedPageBreak/>
              <w:t>Sampling and monitoring</w:t>
            </w:r>
          </w:p>
        </w:tc>
      </w:tr>
      <w:tr w:rsidR="000E4631" w:rsidRPr="00AB0794" w14:paraId="46003784" w14:textId="67EFE41F" w:rsidTr="005D00FB">
        <w:tc>
          <w:tcPr>
            <w:tcW w:w="1674" w:type="pct"/>
          </w:tcPr>
          <w:p w14:paraId="0F478684" w14:textId="52D3A296" w:rsidR="000E4631" w:rsidRPr="00AB0794" w:rsidRDefault="00C86C24" w:rsidP="00ED411C">
            <w:pPr>
              <w:spacing w:after="0" w:line="240" w:lineRule="auto"/>
              <w:ind w:right="113"/>
              <w:rPr>
                <w:rFonts w:eastAsia="Times New Roman" w:cs="Arial"/>
                <w:color w:val="auto"/>
              </w:rPr>
            </w:pPr>
            <w:r w:rsidRPr="00AB0794">
              <w:rPr>
                <w:rFonts w:eastAsia="Times New Roman" w:cs="Arial"/>
                <w:color w:val="auto"/>
              </w:rPr>
              <w:t xml:space="preserve">Concern about how the Environment Agency will ensure the produced water samples are genuine and whether they will be collected by an independent agency. </w:t>
            </w:r>
          </w:p>
        </w:tc>
        <w:tc>
          <w:tcPr>
            <w:tcW w:w="3326" w:type="pct"/>
          </w:tcPr>
          <w:p w14:paraId="790F6F58" w14:textId="1EBD6A75" w:rsidR="000E4631" w:rsidRPr="00AB0794" w:rsidRDefault="00F2752D" w:rsidP="005934C0">
            <w:pPr>
              <w:tabs>
                <w:tab w:val="left" w:pos="-720"/>
              </w:tabs>
              <w:spacing w:after="60"/>
              <w:ind w:right="113"/>
              <w:rPr>
                <w:rFonts w:eastAsia="Times New Roman" w:cs="Arial"/>
                <w:b/>
                <w:color w:val="auto"/>
              </w:rPr>
            </w:pPr>
            <w:r w:rsidRPr="00AB0794">
              <w:rPr>
                <w:rStyle w:val="Pink"/>
                <w:rFonts w:cs="Arial"/>
                <w:color w:val="auto"/>
              </w:rPr>
              <w:t>The Water Acceptance and Unloading Procedure (BRO-ANGPR-O0004-3) referenced as an operating technique in the permit</w:t>
            </w:r>
            <w:r w:rsidR="00E10B18">
              <w:rPr>
                <w:rStyle w:val="Pink"/>
                <w:rFonts w:cs="Arial"/>
                <w:color w:val="auto"/>
              </w:rPr>
              <w:t xml:space="preserve"> (Table S1.2)</w:t>
            </w:r>
            <w:r w:rsidRPr="00AB0794">
              <w:rPr>
                <w:rStyle w:val="Pink"/>
                <w:rFonts w:cs="Arial"/>
                <w:color w:val="auto"/>
              </w:rPr>
              <w:t xml:space="preserve"> confirms that produced water to be imported onto site </w:t>
            </w:r>
            <w:r w:rsidR="00A96B01" w:rsidRPr="00AB0794">
              <w:rPr>
                <w:rStyle w:val="Pink"/>
                <w:rFonts w:cs="Arial"/>
                <w:color w:val="auto"/>
              </w:rPr>
              <w:t xml:space="preserve">as well as produced water from Brockham </w:t>
            </w:r>
            <w:r w:rsidRPr="00AB0794">
              <w:rPr>
                <w:rStyle w:val="Pink"/>
                <w:rFonts w:cs="Arial"/>
                <w:color w:val="auto"/>
              </w:rPr>
              <w:t xml:space="preserve">will be sampled and salinity measured with a conductivity monitor at an independent laboratory. The produced water sample will also be mixed with produced water from Brockham to assess for any visual precipitation. It should also be noted the operator is not able to accept produced water from other sites until a bespoke RSR permit has been issued. </w:t>
            </w:r>
          </w:p>
        </w:tc>
      </w:tr>
      <w:tr w:rsidR="005C6200" w:rsidRPr="00AB0794" w14:paraId="66047FD6" w14:textId="77777777" w:rsidTr="005D00FB">
        <w:tc>
          <w:tcPr>
            <w:tcW w:w="5000" w:type="pct"/>
            <w:gridSpan w:val="2"/>
          </w:tcPr>
          <w:p w14:paraId="3192C10B" w14:textId="2FAB2A55" w:rsidR="005C6200" w:rsidRPr="005C6200" w:rsidRDefault="005C6200" w:rsidP="005934C0">
            <w:pPr>
              <w:tabs>
                <w:tab w:val="left" w:pos="-720"/>
              </w:tabs>
              <w:spacing w:after="60"/>
              <w:ind w:right="113"/>
              <w:rPr>
                <w:rStyle w:val="Pink"/>
                <w:rFonts w:cs="Arial"/>
                <w:b/>
                <w:color w:val="auto"/>
              </w:rPr>
            </w:pPr>
            <w:r w:rsidRPr="005C6200">
              <w:rPr>
                <w:rStyle w:val="Pink"/>
                <w:rFonts w:cs="Arial"/>
                <w:b/>
                <w:color w:val="auto"/>
              </w:rPr>
              <w:t>Environmental impact</w:t>
            </w:r>
          </w:p>
        </w:tc>
      </w:tr>
      <w:tr w:rsidR="005C6200" w:rsidRPr="00AB0794" w14:paraId="7D997AE0" w14:textId="77777777" w:rsidTr="005D00FB">
        <w:tc>
          <w:tcPr>
            <w:tcW w:w="1674" w:type="pct"/>
          </w:tcPr>
          <w:p w14:paraId="06A5F949" w14:textId="4FDA00C7"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Concern about the impact on nearby watercourses.</w:t>
            </w:r>
          </w:p>
        </w:tc>
        <w:tc>
          <w:tcPr>
            <w:tcW w:w="3326" w:type="pct"/>
          </w:tcPr>
          <w:p w14:paraId="795CB6D8" w14:textId="77777777" w:rsidR="005C6200" w:rsidRPr="00AB0794" w:rsidRDefault="005C6200" w:rsidP="005C6200">
            <w:pPr>
              <w:keepLines/>
              <w:autoSpaceDE w:val="0"/>
              <w:autoSpaceDN w:val="0"/>
              <w:adjustRightInd w:val="0"/>
              <w:spacing w:after="60"/>
              <w:rPr>
                <w:rFonts w:cs="Arial"/>
              </w:rPr>
            </w:pPr>
            <w:r w:rsidRPr="00AB0794">
              <w:rPr>
                <w:rFonts w:cs="Arial"/>
              </w:rPr>
              <w:t>Produced water is derived from the extraction of oil from oil-bearing strata and as such would be expected to contain hazardous substances in the form of naturally formed dissolved hydrocarbons. The principle of re-injecting produced water for support of oil production activities is acceptable under the current regulatory regimes in the UK.</w:t>
            </w:r>
          </w:p>
          <w:p w14:paraId="74DF7387" w14:textId="77777777" w:rsidR="005C6200" w:rsidRPr="00AB0794" w:rsidRDefault="005C6200" w:rsidP="005C6200">
            <w:pPr>
              <w:keepLines/>
              <w:autoSpaceDE w:val="0"/>
              <w:autoSpaceDN w:val="0"/>
              <w:adjustRightInd w:val="0"/>
              <w:spacing w:after="60"/>
              <w:rPr>
                <w:rFonts w:cs="Arial"/>
              </w:rPr>
            </w:pPr>
            <w:r w:rsidRPr="00AB0794">
              <w:rPr>
                <w:rFonts w:cs="Arial"/>
              </w:rPr>
              <w:t>Additive chemicals intrinsic to the extraction of oil will also be present in any re-injected produced water.</w:t>
            </w:r>
          </w:p>
          <w:p w14:paraId="28591C25" w14:textId="3B5FF402" w:rsidR="005C6200" w:rsidRPr="00AB0794" w:rsidRDefault="005C6200" w:rsidP="005C6200">
            <w:pPr>
              <w:tabs>
                <w:tab w:val="left" w:pos="-720"/>
              </w:tabs>
              <w:spacing w:after="60"/>
              <w:ind w:right="113"/>
              <w:rPr>
                <w:rStyle w:val="Pink"/>
                <w:rFonts w:cs="Arial"/>
                <w:color w:val="auto"/>
              </w:rPr>
            </w:pPr>
            <w:r w:rsidRPr="00AB0794">
              <w:rPr>
                <w:rFonts w:cs="Arial"/>
              </w:rPr>
              <w:t xml:space="preserve">We have reviewed the Supplementary HRA and are satisfied that the return of this produced water into oil-bearing strata will not result in any unpermitted discharges to other water-bearing strata. As such we are satisfied there will be no significant impact on nearby surface watercourses. </w:t>
            </w:r>
          </w:p>
        </w:tc>
      </w:tr>
      <w:tr w:rsidR="005C6200" w:rsidRPr="00AB0794" w14:paraId="1708A7BF" w14:textId="77777777" w:rsidTr="005D00FB">
        <w:tc>
          <w:tcPr>
            <w:tcW w:w="1674" w:type="pct"/>
          </w:tcPr>
          <w:p w14:paraId="6AB8316B" w14:textId="3CA7E0CF" w:rsidR="005C6200" w:rsidRPr="005C6200" w:rsidRDefault="005C6200" w:rsidP="005C6200">
            <w:pPr>
              <w:spacing w:after="0" w:line="240" w:lineRule="auto"/>
              <w:ind w:right="113"/>
              <w:rPr>
                <w:rFonts w:eastAsia="Times New Roman" w:cs="Arial"/>
                <w:color w:val="auto"/>
              </w:rPr>
            </w:pPr>
            <w:r w:rsidRPr="005C6200">
              <w:rPr>
                <w:rFonts w:eastAsia="Times New Roman" w:cs="Arial"/>
                <w:color w:val="auto"/>
              </w:rPr>
              <w:t xml:space="preserve">Concern that the associated risks are too great to justify a declining production from an already depleted reservoir. </w:t>
            </w:r>
          </w:p>
        </w:tc>
        <w:tc>
          <w:tcPr>
            <w:tcW w:w="3326" w:type="pct"/>
          </w:tcPr>
          <w:p w14:paraId="374CC404" w14:textId="1018DDAF" w:rsidR="005C6200" w:rsidRPr="005C6200" w:rsidRDefault="005C6200" w:rsidP="005C6200">
            <w:pPr>
              <w:spacing w:after="0" w:line="240" w:lineRule="auto"/>
              <w:ind w:right="113"/>
              <w:rPr>
                <w:rStyle w:val="Pink"/>
                <w:rFonts w:cs="Arial"/>
                <w:color w:val="auto"/>
              </w:rPr>
            </w:pPr>
            <w:r w:rsidRPr="005C6200">
              <w:rPr>
                <w:rFonts w:eastAsia="Times New Roman" w:cs="Arial"/>
                <w:color w:val="auto"/>
              </w:rPr>
              <w:t xml:space="preserve">We have assessed the risk associated with the groundwater activity as described in more detail in the key issues section of this decision document. We are satisfied that the purpose of injection is to support production. The amount of oil produced from the reservoir is not relevant to our decision. </w:t>
            </w:r>
          </w:p>
        </w:tc>
      </w:tr>
      <w:tr w:rsidR="005C6200" w:rsidRPr="00AB0794" w14:paraId="6BF353E5" w14:textId="77777777" w:rsidTr="005D00FB">
        <w:tc>
          <w:tcPr>
            <w:tcW w:w="1674" w:type="pct"/>
          </w:tcPr>
          <w:p w14:paraId="57CCCB16" w14:textId="2260A539"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lastRenderedPageBreak/>
              <w:t>Concern about flooding from increased groundwater.</w:t>
            </w:r>
          </w:p>
        </w:tc>
        <w:tc>
          <w:tcPr>
            <w:tcW w:w="3326" w:type="pct"/>
          </w:tcPr>
          <w:p w14:paraId="6697E32E" w14:textId="70AF3BC5" w:rsidR="005C6200" w:rsidRPr="00AB0794" w:rsidRDefault="005C6200" w:rsidP="005C6200">
            <w:pPr>
              <w:tabs>
                <w:tab w:val="left" w:pos="-720"/>
              </w:tabs>
              <w:spacing w:after="60"/>
              <w:ind w:right="113"/>
              <w:rPr>
                <w:rStyle w:val="Pink"/>
                <w:rFonts w:cs="Arial"/>
                <w:color w:val="auto"/>
              </w:rPr>
            </w:pPr>
            <w:r w:rsidRPr="00AB0794">
              <w:rPr>
                <w:rFonts w:eastAsia="Times New Roman" w:cs="Arial"/>
                <w:color w:val="auto"/>
              </w:rPr>
              <w:t xml:space="preserve">Re-injection takes place into a deep formation sealed by faults and a low permeability cap overlying the formation. There is no plausible pathway for the produced water to enter a shallower formation and exit at the surface. </w:t>
            </w:r>
          </w:p>
        </w:tc>
      </w:tr>
      <w:tr w:rsidR="005C6200" w:rsidRPr="00AB0794" w14:paraId="75530DAF" w14:textId="602F8D5C" w:rsidTr="005D00FB">
        <w:tc>
          <w:tcPr>
            <w:tcW w:w="1674" w:type="pct"/>
          </w:tcPr>
          <w:p w14:paraId="115E9A53" w14:textId="3DB3866E" w:rsidR="005C6200" w:rsidRPr="005C6200" w:rsidRDefault="005C6200" w:rsidP="005C6200">
            <w:pPr>
              <w:spacing w:after="0" w:line="240" w:lineRule="auto"/>
              <w:ind w:right="113"/>
              <w:rPr>
                <w:rFonts w:eastAsia="Times New Roman" w:cs="Arial"/>
                <w:b/>
                <w:color w:val="auto"/>
              </w:rPr>
            </w:pPr>
            <w:r w:rsidRPr="00AB0794">
              <w:rPr>
                <w:rFonts w:eastAsia="Times New Roman" w:cs="Arial"/>
                <w:color w:val="auto"/>
              </w:rPr>
              <w:t xml:space="preserve">Concern about local air quality given that many parts of Surrey are already breaching air quality targets. </w:t>
            </w:r>
          </w:p>
        </w:tc>
        <w:tc>
          <w:tcPr>
            <w:tcW w:w="3326" w:type="pct"/>
          </w:tcPr>
          <w:p w14:paraId="1B4EEF25" w14:textId="2B38FD35" w:rsidR="005C6200" w:rsidRPr="00AB0794" w:rsidRDefault="005C6200" w:rsidP="005C6200">
            <w:pPr>
              <w:keepLines/>
              <w:autoSpaceDE w:val="0"/>
              <w:autoSpaceDN w:val="0"/>
              <w:adjustRightInd w:val="0"/>
              <w:spacing w:after="60"/>
              <w:rPr>
                <w:rFonts w:eastAsia="Times New Roman" w:cs="Arial"/>
                <w:color w:val="auto"/>
              </w:rPr>
            </w:pPr>
            <w:r w:rsidRPr="00AB0794">
              <w:rPr>
                <w:rFonts w:eastAsia="Times New Roman" w:cs="Arial"/>
                <w:color w:val="auto"/>
              </w:rPr>
              <w:t xml:space="preserve">There are no changes proposed that will have an impact on air emissions from the site. We consider this concern is not relevant to the application. </w:t>
            </w:r>
          </w:p>
        </w:tc>
      </w:tr>
      <w:tr w:rsidR="005C6200" w:rsidRPr="00AB0794" w14:paraId="094BDF30" w14:textId="77777777" w:rsidTr="005D00FB">
        <w:tc>
          <w:tcPr>
            <w:tcW w:w="1674" w:type="pct"/>
          </w:tcPr>
          <w:p w14:paraId="7E054CFA" w14:textId="4456AC86"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about the presence of Red Kites in Surrey and the need to update the environmental impact assessment for the site. </w:t>
            </w:r>
          </w:p>
        </w:tc>
        <w:tc>
          <w:tcPr>
            <w:tcW w:w="3326" w:type="pct"/>
          </w:tcPr>
          <w:p w14:paraId="2C6712E0" w14:textId="4C257B74" w:rsidR="005C6200" w:rsidRPr="00AB0794" w:rsidRDefault="005C6200" w:rsidP="005C6200">
            <w:pPr>
              <w:keepLines/>
              <w:autoSpaceDE w:val="0"/>
              <w:autoSpaceDN w:val="0"/>
              <w:adjustRightInd w:val="0"/>
              <w:spacing w:after="60"/>
              <w:rPr>
                <w:rFonts w:eastAsia="Times New Roman" w:cs="Arial"/>
                <w:color w:val="auto"/>
              </w:rPr>
            </w:pPr>
            <w:r w:rsidRPr="00AB0794">
              <w:rPr>
                <w:rFonts w:cs="Arial"/>
                <w:color w:val="auto"/>
              </w:rPr>
              <w:t xml:space="preserve">There are no changes to point source emissions to air, sewer or surface water as a result of the variation. We consider that the application will not affect any site of nature conservation, landscape and heritage, and/or protected species or habitats identified. We therefore consider this concern is not relevant to the application. </w:t>
            </w:r>
          </w:p>
        </w:tc>
      </w:tr>
      <w:tr w:rsidR="005C6200" w:rsidRPr="00AB0794" w14:paraId="01B1328B" w14:textId="77777777" w:rsidTr="005D00FB">
        <w:tc>
          <w:tcPr>
            <w:tcW w:w="1674" w:type="pct"/>
          </w:tcPr>
          <w:p w14:paraId="242A478A" w14:textId="09E59FF0"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Concern about the safe storage of fluids.</w:t>
            </w:r>
          </w:p>
        </w:tc>
        <w:tc>
          <w:tcPr>
            <w:tcW w:w="3326" w:type="pct"/>
          </w:tcPr>
          <w:p w14:paraId="05073CB9" w14:textId="4935712F" w:rsidR="005C6200" w:rsidRPr="00AB0794" w:rsidRDefault="005C6200" w:rsidP="005C6200">
            <w:pPr>
              <w:keepLines/>
              <w:autoSpaceDE w:val="0"/>
              <w:autoSpaceDN w:val="0"/>
              <w:adjustRightInd w:val="0"/>
              <w:spacing w:after="60"/>
              <w:rPr>
                <w:rFonts w:cs="Arial"/>
                <w:color w:val="auto"/>
              </w:rPr>
            </w:pPr>
            <w:r w:rsidRPr="00AB0794">
              <w:rPr>
                <w:rFonts w:eastAsia="Times New Roman" w:cs="Arial"/>
                <w:color w:val="auto"/>
              </w:rPr>
              <w:t xml:space="preserve">We have accepted the operator’s assessment of risk and are satisfied that appropriate measures and procedures are in place to ensure that all liquids, including produced water and chemicals, will be stored in accordance with the necessary containment measures to ensure there is no risk to the environment. </w:t>
            </w:r>
          </w:p>
        </w:tc>
      </w:tr>
      <w:tr w:rsidR="005C6200" w:rsidRPr="00AB0794" w14:paraId="17055FBD" w14:textId="77777777" w:rsidTr="005D00FB">
        <w:tc>
          <w:tcPr>
            <w:tcW w:w="5000" w:type="pct"/>
            <w:gridSpan w:val="2"/>
          </w:tcPr>
          <w:p w14:paraId="547B3DF9" w14:textId="4D8F9C86" w:rsidR="005C6200" w:rsidRPr="005C6200" w:rsidRDefault="005C6200" w:rsidP="005C6200">
            <w:pPr>
              <w:spacing w:after="0" w:line="240" w:lineRule="auto"/>
              <w:ind w:right="113"/>
              <w:rPr>
                <w:rFonts w:eastAsia="Times New Roman" w:cs="Arial"/>
                <w:b/>
                <w:color w:val="auto"/>
              </w:rPr>
            </w:pPr>
            <w:r w:rsidRPr="005C6200">
              <w:rPr>
                <w:rFonts w:eastAsia="Times New Roman" w:cs="Arial"/>
                <w:b/>
                <w:color w:val="auto"/>
              </w:rPr>
              <w:t>Regulation and compliance</w:t>
            </w:r>
          </w:p>
        </w:tc>
      </w:tr>
      <w:tr w:rsidR="005C6200" w:rsidRPr="00AB0794" w14:paraId="47279153" w14:textId="77777777" w:rsidTr="005D00FB">
        <w:tc>
          <w:tcPr>
            <w:tcW w:w="1674" w:type="pct"/>
          </w:tcPr>
          <w:p w14:paraId="2A2EEBC2" w14:textId="53FDCB25"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about the failure of regulation of the geological aspects of unconventional oil and gas sites with severe implications for environmental safety. </w:t>
            </w:r>
          </w:p>
        </w:tc>
        <w:tc>
          <w:tcPr>
            <w:tcW w:w="3326" w:type="pct"/>
          </w:tcPr>
          <w:p w14:paraId="65173A61" w14:textId="4A672FAB" w:rsidR="005C6200" w:rsidRPr="00AB0794" w:rsidRDefault="005C6200" w:rsidP="005C6200">
            <w:pPr>
              <w:spacing w:after="0" w:line="240" w:lineRule="auto"/>
              <w:ind w:right="113"/>
              <w:rPr>
                <w:rFonts w:eastAsia="Times New Roman" w:cs="Arial"/>
                <w:color w:val="FF0000"/>
              </w:rPr>
            </w:pPr>
            <w:r w:rsidRPr="00AB0794">
              <w:rPr>
                <w:rFonts w:eastAsia="Times New Roman" w:cs="Arial"/>
                <w:color w:val="auto"/>
              </w:rPr>
              <w:t xml:space="preserve">Unconventional oil and gas sites are those involving hydraulic fracturing of shale which is not occurring under this permit.  This is therefore not relevant to this determination. </w:t>
            </w:r>
          </w:p>
        </w:tc>
      </w:tr>
      <w:tr w:rsidR="005C6200" w:rsidRPr="00AB0794" w14:paraId="66D7385B" w14:textId="77777777" w:rsidTr="005D00FB">
        <w:tc>
          <w:tcPr>
            <w:tcW w:w="1674" w:type="pct"/>
          </w:tcPr>
          <w:p w14:paraId="72730492" w14:textId="716395D0"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about who would be </w:t>
            </w:r>
            <w:r w:rsidR="00845716">
              <w:rPr>
                <w:rFonts w:eastAsia="Times New Roman" w:cs="Arial"/>
                <w:color w:val="auto"/>
              </w:rPr>
              <w:t>responsible</w:t>
            </w:r>
            <w:r w:rsidRPr="00AB0794">
              <w:rPr>
                <w:rFonts w:eastAsia="Times New Roman" w:cs="Arial"/>
                <w:color w:val="auto"/>
              </w:rPr>
              <w:t xml:space="preserve"> for remediating any contamination to groundwater.</w:t>
            </w:r>
          </w:p>
        </w:tc>
        <w:tc>
          <w:tcPr>
            <w:tcW w:w="3326" w:type="pct"/>
          </w:tcPr>
          <w:p w14:paraId="41835817" w14:textId="4E9578D5"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Our approach to any environmental pollution incident involves investigation into the significance of the incident, identification of the source and consideration of the pathway. Any action taken depends on the outcome of such an investigation </w:t>
            </w:r>
          </w:p>
        </w:tc>
      </w:tr>
      <w:tr w:rsidR="005C6200" w:rsidRPr="00AB0794" w14:paraId="701EDFA1" w14:textId="77777777" w:rsidTr="005D00FB">
        <w:tc>
          <w:tcPr>
            <w:tcW w:w="1674" w:type="pct"/>
          </w:tcPr>
          <w:p w14:paraId="7F931360" w14:textId="1258B1B6"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lastRenderedPageBreak/>
              <w:t>Concern about the impact on biodiversity, including the food chain.</w:t>
            </w:r>
          </w:p>
        </w:tc>
        <w:tc>
          <w:tcPr>
            <w:tcW w:w="3326" w:type="pct"/>
          </w:tcPr>
          <w:p w14:paraId="485B42CF" w14:textId="6FA6507B" w:rsidR="005C6200" w:rsidRPr="00AB0794" w:rsidRDefault="005C6200" w:rsidP="005C6200">
            <w:pPr>
              <w:spacing w:after="0" w:line="240" w:lineRule="auto"/>
              <w:ind w:right="113"/>
              <w:rPr>
                <w:rFonts w:eastAsia="Times New Roman" w:cs="Arial"/>
                <w:color w:val="auto"/>
              </w:rPr>
            </w:pPr>
            <w:r w:rsidRPr="00AB0794">
              <w:rPr>
                <w:rFonts w:eastAsia="Arial" w:cs="Arial"/>
                <w:color w:val="auto"/>
              </w:rPr>
              <w:t xml:space="preserve">We are satisfied that groundwater monitoring </w:t>
            </w:r>
            <w:r w:rsidRPr="00AB0794">
              <w:rPr>
                <w:rFonts w:cs="Arial"/>
              </w:rPr>
              <w:t>is not required at the site because there is no significant risk to any known shallow groundwater receptor</w:t>
            </w:r>
            <w:r w:rsidRPr="00AB0794">
              <w:rPr>
                <w:rFonts w:eastAsia="Arial" w:cs="Arial"/>
                <w:color w:val="auto"/>
              </w:rPr>
              <w:t xml:space="preserve">s and sufficient mitigation measures and procedures are in place to prevent any impact on groundwater. See the key issues section of this decision document for more information. </w:t>
            </w:r>
          </w:p>
        </w:tc>
      </w:tr>
      <w:tr w:rsidR="005C6200" w:rsidRPr="00AB0794" w14:paraId="3387D925" w14:textId="77777777" w:rsidTr="005D00FB">
        <w:tc>
          <w:tcPr>
            <w:tcW w:w="1674" w:type="pct"/>
          </w:tcPr>
          <w:p w14:paraId="18BC09C5" w14:textId="49B842D6"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over the Environment Agency’s finances and resources not being sufficient to effectively regulate the site. </w:t>
            </w:r>
          </w:p>
        </w:tc>
        <w:tc>
          <w:tcPr>
            <w:tcW w:w="3326" w:type="pct"/>
          </w:tcPr>
          <w:p w14:paraId="00CF80AB" w14:textId="3CE8E8E1" w:rsidR="005C6200" w:rsidRPr="00AB0794" w:rsidRDefault="005C6200" w:rsidP="005C6200">
            <w:pPr>
              <w:spacing w:after="0" w:line="240" w:lineRule="auto"/>
              <w:ind w:right="113"/>
              <w:rPr>
                <w:rFonts w:eastAsia="Arial" w:cs="Arial"/>
                <w:color w:val="auto"/>
              </w:rPr>
            </w:pPr>
            <w:r w:rsidRPr="00AB0794">
              <w:rPr>
                <w:rFonts w:eastAsia="Times New Roman" w:cs="Arial"/>
                <w:color w:val="auto"/>
              </w:rPr>
              <w:t xml:space="preserve">Compliance activities will be undertaken by the Environment Agency area enforcement teams after the issue of the permit to ensuring compliance with the permit condition. Sufficient resources will be made available by the Environment Agency to comply with our regulatory requirements. </w:t>
            </w:r>
          </w:p>
        </w:tc>
      </w:tr>
      <w:tr w:rsidR="005C6200" w:rsidRPr="00AB0794" w14:paraId="7A6B3651" w14:textId="77777777" w:rsidTr="005D00FB">
        <w:tc>
          <w:tcPr>
            <w:tcW w:w="5000" w:type="pct"/>
            <w:gridSpan w:val="2"/>
          </w:tcPr>
          <w:p w14:paraId="65E0C179" w14:textId="77DF9B52" w:rsidR="005C6200" w:rsidRPr="005C6200" w:rsidRDefault="005C6200" w:rsidP="005C6200">
            <w:pPr>
              <w:spacing w:after="0" w:line="240" w:lineRule="auto"/>
              <w:ind w:right="113"/>
              <w:rPr>
                <w:rFonts w:eastAsia="Times New Roman" w:cs="Arial"/>
                <w:b/>
                <w:color w:val="auto"/>
              </w:rPr>
            </w:pPr>
            <w:r w:rsidRPr="005C6200">
              <w:rPr>
                <w:rFonts w:eastAsia="Times New Roman" w:cs="Arial"/>
                <w:b/>
                <w:color w:val="auto"/>
              </w:rPr>
              <w:t>Amenity</w:t>
            </w:r>
          </w:p>
        </w:tc>
      </w:tr>
      <w:tr w:rsidR="005C6200" w:rsidRPr="00AB0794" w14:paraId="79ECA464" w14:textId="77777777" w:rsidTr="005D00FB">
        <w:tc>
          <w:tcPr>
            <w:tcW w:w="1674" w:type="pct"/>
          </w:tcPr>
          <w:p w14:paraId="68BDBE02" w14:textId="65CE2D8C"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about increased road traffic, especially as tankers having been seen arriving at the site yet the site is apparently not producing oil at the current time. </w:t>
            </w:r>
          </w:p>
        </w:tc>
        <w:tc>
          <w:tcPr>
            <w:tcW w:w="3326" w:type="pct"/>
          </w:tcPr>
          <w:p w14:paraId="31B6344B" w14:textId="77777777" w:rsidR="005C6200" w:rsidRPr="00AB0794" w:rsidRDefault="005C6200" w:rsidP="005C6200">
            <w:pPr>
              <w:spacing w:after="0" w:line="240" w:lineRule="auto"/>
              <w:ind w:right="113"/>
              <w:rPr>
                <w:rFonts w:cs="Arial"/>
              </w:rPr>
            </w:pPr>
            <w:r w:rsidRPr="00AB0794">
              <w:rPr>
                <w:rFonts w:cs="Arial"/>
              </w:rPr>
              <w:t xml:space="preserve">The planning authority determines whether the activity is an acceptable use of the land. It considers matters such as visual impact, traffic and access issues, which do not form part of our Environmental Permit decision making process. We consider the concern about increased traffic is outside of the remit of the Environment Agency. </w:t>
            </w:r>
          </w:p>
          <w:p w14:paraId="522F4165" w14:textId="3600F252" w:rsidR="005C6200" w:rsidRPr="00AB0794" w:rsidRDefault="005C6200" w:rsidP="005C6200">
            <w:pPr>
              <w:spacing w:after="0" w:line="240" w:lineRule="auto"/>
              <w:ind w:right="113"/>
              <w:rPr>
                <w:rFonts w:eastAsia="Times New Roman" w:cs="Arial"/>
                <w:color w:val="auto"/>
              </w:rPr>
            </w:pPr>
            <w:r w:rsidRPr="00AB0794">
              <w:rPr>
                <w:rFonts w:cs="Arial"/>
              </w:rPr>
              <w:t xml:space="preserve">Regarding the presence of tankers at the site, this information has been passed to the relevant member of the regulated industry team. </w:t>
            </w:r>
          </w:p>
        </w:tc>
      </w:tr>
      <w:tr w:rsidR="005C6200" w:rsidRPr="00AB0794" w14:paraId="69696069" w14:textId="77777777" w:rsidTr="005D00FB">
        <w:tc>
          <w:tcPr>
            <w:tcW w:w="1674" w:type="pct"/>
          </w:tcPr>
          <w:p w14:paraId="181804C6" w14:textId="0B1F1032"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Concern about increased noise pollution. </w:t>
            </w:r>
          </w:p>
        </w:tc>
        <w:tc>
          <w:tcPr>
            <w:tcW w:w="3326" w:type="pct"/>
          </w:tcPr>
          <w:p w14:paraId="6C7BEE14" w14:textId="41BCFBDF"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There is no increased risk of noise as a result of this variation. We consider this issue not relevant to the application. </w:t>
            </w:r>
          </w:p>
        </w:tc>
      </w:tr>
      <w:tr w:rsidR="005C6200" w:rsidRPr="00AB0794" w14:paraId="4529DE37" w14:textId="77777777" w:rsidTr="005D00FB">
        <w:tc>
          <w:tcPr>
            <w:tcW w:w="5000" w:type="pct"/>
            <w:gridSpan w:val="2"/>
          </w:tcPr>
          <w:p w14:paraId="7940C747" w14:textId="7D740202" w:rsidR="005C6200" w:rsidRPr="005C6200" w:rsidRDefault="005C6200" w:rsidP="005C6200">
            <w:pPr>
              <w:spacing w:after="0" w:line="240" w:lineRule="auto"/>
              <w:ind w:right="113"/>
              <w:rPr>
                <w:rFonts w:eastAsia="Times New Roman" w:cs="Arial"/>
                <w:b/>
                <w:color w:val="auto"/>
              </w:rPr>
            </w:pPr>
            <w:r w:rsidRPr="005C6200">
              <w:rPr>
                <w:rFonts w:eastAsia="Times New Roman" w:cs="Arial"/>
                <w:b/>
                <w:color w:val="auto"/>
              </w:rPr>
              <w:t>The determination process</w:t>
            </w:r>
          </w:p>
        </w:tc>
      </w:tr>
      <w:tr w:rsidR="005C6200" w:rsidRPr="00AB0794" w14:paraId="6D4DEF78" w14:textId="77777777" w:rsidTr="005D00FB">
        <w:tc>
          <w:tcPr>
            <w:tcW w:w="1674" w:type="pct"/>
          </w:tcPr>
          <w:p w14:paraId="47EACD94" w14:textId="0CBEB72E"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Questions relating to whether this application has been assessed in detail, specifically has a “2018 report” been updated in 2021.</w:t>
            </w:r>
          </w:p>
        </w:tc>
        <w:tc>
          <w:tcPr>
            <w:tcW w:w="3326" w:type="pct"/>
          </w:tcPr>
          <w:p w14:paraId="15DD7E96" w14:textId="7EF5BD86" w:rsidR="005C6200" w:rsidRPr="00AB0794" w:rsidRDefault="005C6200" w:rsidP="005C6200">
            <w:pPr>
              <w:spacing w:after="0" w:line="240" w:lineRule="auto"/>
              <w:ind w:right="113"/>
              <w:rPr>
                <w:rFonts w:eastAsia="Times New Roman" w:cs="Arial"/>
                <w:color w:val="auto"/>
              </w:rPr>
            </w:pPr>
            <w:r w:rsidRPr="00AB0794">
              <w:rPr>
                <w:rFonts w:cs="Arial"/>
                <w:color w:val="auto"/>
              </w:rPr>
              <w:t>We assessed all documents submitted as part of the application and various requests for information. We are satisfied that the operator provided all required documentation for this type of application and that it was up to date.</w:t>
            </w:r>
          </w:p>
        </w:tc>
      </w:tr>
      <w:tr w:rsidR="005C6200" w:rsidRPr="00AB0794" w14:paraId="2D35771E" w14:textId="77777777" w:rsidTr="005D00FB">
        <w:tc>
          <w:tcPr>
            <w:tcW w:w="1674" w:type="pct"/>
          </w:tcPr>
          <w:p w14:paraId="4B44ED70" w14:textId="551A9195"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lastRenderedPageBreak/>
              <w:t xml:space="preserve">No consultation documents have been supplied to those impacted, for example, a leaflet through the door. </w:t>
            </w:r>
          </w:p>
        </w:tc>
        <w:tc>
          <w:tcPr>
            <w:tcW w:w="3326" w:type="pct"/>
          </w:tcPr>
          <w:p w14:paraId="774FE741" w14:textId="77777777" w:rsidR="005C6200" w:rsidRPr="00AB0794" w:rsidRDefault="005C6200" w:rsidP="005C6200">
            <w:pPr>
              <w:spacing w:after="60"/>
              <w:ind w:right="113"/>
              <w:rPr>
                <w:rFonts w:eastAsia="Times New Roman" w:cs="Arial"/>
                <w:color w:val="auto"/>
              </w:rPr>
            </w:pPr>
            <w:r w:rsidRPr="00AB0794">
              <w:rPr>
                <w:rFonts w:eastAsia="Times New Roman" w:cs="Arial"/>
                <w:color w:val="auto"/>
              </w:rPr>
              <w:t xml:space="preserve">The consultation section of this decision document sets out how we publicised the application. All application documents, including the non-technical summary, were available to view as part of that consultation. We are satisfied we have fulfilled our obligations in this regard. </w:t>
            </w:r>
          </w:p>
          <w:p w14:paraId="2E55D0BC" w14:textId="4F67988E"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See the consultation section of this decision document for more information. </w:t>
            </w:r>
          </w:p>
        </w:tc>
      </w:tr>
      <w:tr w:rsidR="005C6200" w:rsidRPr="00AB0794" w14:paraId="3A6E7A68" w14:textId="77777777" w:rsidTr="005D00FB">
        <w:tc>
          <w:tcPr>
            <w:tcW w:w="1674" w:type="pct"/>
          </w:tcPr>
          <w:p w14:paraId="278A6E89" w14:textId="3BF4B748" w:rsidR="005C6200" w:rsidRPr="00AB0794" w:rsidRDefault="005C6200" w:rsidP="005C6200">
            <w:pPr>
              <w:spacing w:after="0" w:line="240" w:lineRule="auto"/>
              <w:ind w:right="113"/>
              <w:rPr>
                <w:rFonts w:eastAsia="Times New Roman" w:cs="Arial"/>
                <w:color w:val="auto"/>
              </w:rPr>
            </w:pPr>
            <w:r w:rsidRPr="00AB0794">
              <w:rPr>
                <w:rFonts w:eastAsia="Times New Roman" w:cs="Arial"/>
                <w:color w:val="auto"/>
              </w:rPr>
              <w:t xml:space="preserve">There was no cement bond log available for the re-injection activity, </w:t>
            </w:r>
          </w:p>
        </w:tc>
        <w:tc>
          <w:tcPr>
            <w:tcW w:w="3326" w:type="pct"/>
          </w:tcPr>
          <w:p w14:paraId="04BF500B" w14:textId="36280B37" w:rsidR="005C6200" w:rsidRPr="00AB0794" w:rsidRDefault="005C6200" w:rsidP="005C6200">
            <w:pPr>
              <w:spacing w:after="0" w:line="240" w:lineRule="auto"/>
              <w:ind w:right="113"/>
              <w:rPr>
                <w:rFonts w:eastAsia="Times New Roman" w:cs="Arial"/>
                <w:color w:val="auto"/>
              </w:rPr>
            </w:pPr>
            <w:r w:rsidRPr="00AB0794">
              <w:rPr>
                <w:rStyle w:val="Pink"/>
                <w:rFonts w:cs="Arial"/>
                <w:color w:val="auto"/>
              </w:rPr>
              <w:t>The supplementary HRA confirms well construction for the BRX3 re-injection well and an evaluation of the Cement Bond Log results for the surface and intermediate sections of the re-injection well. We have reviewed the well construction and the evaluation of the Cement Bond Logs results and we are satisfied that the re-injection of produced water poses a negligible risk to groundwater in the Upper Tunbridge Wells Sand and the Ashdown Formation. In addition we are satisfied that the operating procedures set out in the HRA are sufficient to mitigate the risk to groundwater.</w:t>
            </w:r>
          </w:p>
        </w:tc>
      </w:tr>
    </w:tbl>
    <w:p w14:paraId="2EA7AC54" w14:textId="77777777" w:rsidR="000E4631" w:rsidRPr="00AB0794" w:rsidRDefault="000E4631" w:rsidP="002F6967">
      <w:pPr>
        <w:pStyle w:val="Topictitle"/>
        <w:rPr>
          <w:rFonts w:cs="Arial"/>
          <w:color w:val="B10E1E"/>
          <w:sz w:val="24"/>
          <w:szCs w:val="24"/>
        </w:rPr>
      </w:pPr>
    </w:p>
    <w:sectPr w:rsidR="000E4631" w:rsidRPr="00AB0794" w:rsidSect="00C86C24">
      <w:pgSz w:w="16838" w:h="11906" w:orient="landscape"/>
      <w:pgMar w:top="1418"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749F" w14:textId="77777777" w:rsidR="000A7BFE" w:rsidRDefault="000A7BFE" w:rsidP="00FA03F2">
      <w:r>
        <w:separator/>
      </w:r>
    </w:p>
  </w:endnote>
  <w:endnote w:type="continuationSeparator" w:id="0">
    <w:p w14:paraId="0E338F42" w14:textId="77777777" w:rsidR="000A7BFE" w:rsidRDefault="000A7BFE" w:rsidP="00FA03F2">
      <w:r>
        <w:continuationSeparator/>
      </w:r>
    </w:p>
  </w:endnote>
  <w:endnote w:type="continuationNotice" w:id="1">
    <w:p w14:paraId="35EAC8E1" w14:textId="77777777" w:rsidR="000A7BFE" w:rsidRDefault="000A7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ABAD" w14:textId="77777777" w:rsidR="0007340C" w:rsidRDefault="0007340C" w:rsidP="001155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4BE1" w14:textId="12BBB155" w:rsidR="0007340C" w:rsidRPr="00623218" w:rsidRDefault="0007340C" w:rsidP="008941B8">
    <w:pPr>
      <w:tabs>
        <w:tab w:val="left" w:pos="10"/>
        <w:tab w:val="left" w:pos="2442"/>
        <w:tab w:val="center" w:pos="4323"/>
      </w:tabs>
      <w:spacing w:after="0"/>
      <w:ind w:left="-851" w:right="-851"/>
      <w:rPr>
        <w:rStyle w:val="Text"/>
      </w:rPr>
    </w:pPr>
    <w:r>
      <w:tab/>
      <w:t xml:space="preserve">EPR/BL9763IN/V005 </w:t>
    </w:r>
    <w:r>
      <w:tab/>
    </w:r>
    <w:r>
      <w:tab/>
    </w:r>
    <w:r>
      <w:tab/>
    </w:r>
    <w:r>
      <w:tab/>
    </w:r>
    <w:r>
      <w:tab/>
    </w:r>
    <w:r>
      <w:tab/>
    </w:r>
    <w:r w:rsidRPr="00486248">
      <w:t xml:space="preserve">Page </w:t>
    </w:r>
    <w:r w:rsidRPr="00486248">
      <w:fldChar w:fldCharType="begin"/>
    </w:r>
    <w:r w:rsidRPr="00486248">
      <w:instrText xml:space="preserve"> PAGE </w:instrText>
    </w:r>
    <w:r w:rsidRPr="00486248">
      <w:fldChar w:fldCharType="separate"/>
    </w:r>
    <w:r w:rsidR="007765CC">
      <w:rPr>
        <w:noProof/>
      </w:rPr>
      <w:t>20</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7765CC">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4BE5" w14:textId="298540FB" w:rsidR="0007340C" w:rsidRPr="00623218" w:rsidRDefault="0007340C" w:rsidP="00115560">
    <w:pPr>
      <w:tabs>
        <w:tab w:val="left" w:pos="126"/>
        <w:tab w:val="left" w:pos="2802"/>
        <w:tab w:val="center" w:pos="4323"/>
      </w:tabs>
      <w:spacing w:after="0"/>
      <w:ind w:left="-851" w:right="-851"/>
      <w:rPr>
        <w:rStyle w:val="Text"/>
      </w:rPr>
    </w:pPr>
    <w:r>
      <w:rPr>
        <w:rStyle w:val="Text"/>
      </w:rPr>
      <w:tab/>
    </w:r>
    <w:sdt>
      <w:sdtPr>
        <w:rPr>
          <w:rStyle w:val="Text"/>
        </w:rPr>
        <w:alias w:val="Reference"/>
        <w:tag w:val="ContentCloud_Reference"/>
        <w:id w:val="-1396043256"/>
        <w:placeholder>
          <w:docPart w:val="9FED94AE5399485F9DFAA9E9043A3962"/>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ED419E52-76DC-4726-AD2D-DEBA38712B3A}"/>
        <w:text/>
      </w:sdtPr>
      <w:sdtEndPr>
        <w:rPr>
          <w:rStyle w:val="Text"/>
        </w:rPr>
      </w:sdtEndPr>
      <w:sdtContent>
        <w:r>
          <w:rPr>
            <w:rStyle w:val="Text"/>
          </w:rPr>
          <w:t>EPR/BL9763IN/V005</w:t>
        </w:r>
      </w:sdtContent>
    </w:sdt>
    <w:r>
      <w:rPr>
        <w:rStyle w:val="Text"/>
      </w:rPr>
      <w:tab/>
    </w:r>
    <w:sdt>
      <w:sdtPr>
        <w:rPr>
          <w:rStyle w:val="Text"/>
        </w:rPr>
        <w:alias w:val="Publish date"/>
        <w:tag w:val="ContentCloud_PublishDate"/>
        <w:id w:val="-1636643197"/>
        <w:placeholder>
          <w:docPart w:val="4188094996044FFFBA6094E9B97B0D1B"/>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PublishDate[1]" w:storeItemID="{ED419E52-76DC-4726-AD2D-DEBA38712B3A}"/>
        <w:date w:fullDate="2020-11-20T14:48:00Z">
          <w:dateFormat w:val="d/M/yyyy"/>
          <w:lid w:val="en-GB"/>
          <w:storeMappedDataAs w:val="dateTime"/>
          <w:calendar w:val="gregorian"/>
        </w:date>
      </w:sdtPr>
      <w:sdtEndPr>
        <w:rPr>
          <w:rStyle w:val="Text"/>
        </w:rPr>
      </w:sdtEndPr>
      <w:sdtContent>
        <w:r>
          <w:rPr>
            <w:rStyle w:val="Text"/>
          </w:rPr>
          <w:t>20/11/2020</w:t>
        </w:r>
      </w:sdtContent>
    </w:sdt>
    <w:r>
      <w:rPr>
        <w:rStyle w:val="Text"/>
      </w:rPr>
      <w:tab/>
    </w:r>
    <w:r>
      <w:rPr>
        <w:rStyle w:val="Text"/>
      </w:rPr>
      <w:tab/>
    </w:r>
    <w:r>
      <w:rPr>
        <w:rStyle w:val="Text"/>
      </w:rPr>
      <w:tab/>
    </w:r>
    <w:r w:rsidRPr="00486248">
      <w:t xml:space="preserve">Page </w:t>
    </w:r>
    <w:r w:rsidRPr="00486248">
      <w:fldChar w:fldCharType="begin"/>
    </w:r>
    <w:r w:rsidRPr="00486248">
      <w:instrText xml:space="preserve"> PAGE </w:instrText>
    </w:r>
    <w:r w:rsidRPr="00486248">
      <w:fldChar w:fldCharType="separate"/>
    </w:r>
    <w:r w:rsidR="007765CC">
      <w:rPr>
        <w:noProof/>
      </w:rPr>
      <w:t>11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7765CC">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2383" w14:textId="77777777" w:rsidR="000A7BFE" w:rsidRDefault="000A7BFE" w:rsidP="00FA03F2">
      <w:r>
        <w:separator/>
      </w:r>
    </w:p>
  </w:footnote>
  <w:footnote w:type="continuationSeparator" w:id="0">
    <w:p w14:paraId="17C91926" w14:textId="77777777" w:rsidR="000A7BFE" w:rsidRDefault="000A7BFE" w:rsidP="00FA03F2">
      <w:r>
        <w:continuationSeparator/>
      </w:r>
    </w:p>
  </w:footnote>
  <w:footnote w:type="continuationNotice" w:id="1">
    <w:p w14:paraId="78C02B02" w14:textId="77777777" w:rsidR="000A7BFE" w:rsidRDefault="000A7BFE">
      <w:pPr>
        <w:spacing w:after="0" w:line="240" w:lineRule="auto"/>
      </w:pPr>
    </w:p>
  </w:footnote>
  <w:footnote w:id="2">
    <w:p w14:paraId="33454CA3" w14:textId="77777777" w:rsidR="0007340C" w:rsidRPr="00471BA2" w:rsidRDefault="0007340C" w:rsidP="00166EFC">
      <w:pPr>
        <w:pStyle w:val="FootnoteText"/>
        <w:rPr>
          <w:sz w:val="16"/>
          <w:szCs w:val="16"/>
        </w:rPr>
      </w:pPr>
      <w:r w:rsidRPr="00471BA2">
        <w:rPr>
          <w:rStyle w:val="FootnoteReference"/>
          <w:sz w:val="16"/>
          <w:szCs w:val="16"/>
        </w:rPr>
        <w:footnoteRef/>
      </w:r>
      <w:r w:rsidRPr="00471BA2">
        <w:rPr>
          <w:sz w:val="16"/>
          <w:szCs w:val="16"/>
        </w:rPr>
        <w:t xml:space="preserve"> </w:t>
      </w:r>
      <w:r w:rsidRPr="00471BA2">
        <w:rPr>
          <w:rFonts w:cs="Arial"/>
          <w:sz w:val="16"/>
          <w:szCs w:val="16"/>
        </w:rPr>
        <w:t>Hydrogeological Risk Assessment in Support of Re-Permit Application (SLR Ref: 422.07154.00001.01, Version No: Draft Rev 5 Issue, September 2018)</w:t>
      </w:r>
    </w:p>
  </w:footnote>
  <w:footnote w:id="3">
    <w:p w14:paraId="455D3477" w14:textId="17BC30BE" w:rsidR="0007340C" w:rsidRPr="005950F0" w:rsidRDefault="0007340C">
      <w:pPr>
        <w:pStyle w:val="FootnoteText"/>
        <w:rPr>
          <w:sz w:val="16"/>
          <w:szCs w:val="16"/>
        </w:rPr>
      </w:pPr>
      <w:r>
        <w:rPr>
          <w:rStyle w:val="FootnoteReference"/>
        </w:rPr>
        <w:footnoteRef/>
      </w:r>
      <w:r>
        <w:t xml:space="preserve"> </w:t>
      </w:r>
      <w:r w:rsidRPr="005950F0">
        <w:rPr>
          <w:sz w:val="16"/>
          <w:szCs w:val="16"/>
        </w:rPr>
        <w:t>Supplementary Hydrogeological Risk Assessment in Support of Permit Variation Application for a Groundwater Activity for the Injection of Process Waters (SLR Ref: 422.07154.00002), Version No: Issue Rev 6, August 2020</w:t>
      </w:r>
    </w:p>
  </w:footnote>
  <w:footnote w:id="4">
    <w:p w14:paraId="173E851F" w14:textId="3D1EEABB" w:rsidR="0007340C" w:rsidRDefault="0007340C">
      <w:pPr>
        <w:pStyle w:val="FootnoteText"/>
      </w:pPr>
      <w:r w:rsidRPr="005950F0">
        <w:rPr>
          <w:rStyle w:val="FootnoteReference"/>
          <w:sz w:val="16"/>
          <w:szCs w:val="16"/>
        </w:rPr>
        <w:footnoteRef/>
      </w:r>
      <w:r w:rsidRPr="005950F0">
        <w:rPr>
          <w:sz w:val="16"/>
          <w:szCs w:val="16"/>
        </w:rPr>
        <w:t xml:space="preserve"> Supplementary Hydrogeological Risk Assessment in Support of Permit Variation Application for a Groundwater Activity for the Injection of Process Waters (SLR Ref: 422.07154.00002), Version No: Issue Rev 7, June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D57D" w14:textId="3D90A6B8" w:rsidR="0007340C" w:rsidRDefault="000A7BFE">
    <w:pPr>
      <w:pStyle w:val="Header"/>
    </w:pPr>
    <w:r>
      <w:rPr>
        <w:noProof/>
      </w:rPr>
      <w:pict w14:anchorId="6CB6D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1609" o:spid="_x0000_s2050" type="#_x0000_t136" style="position:absolute;margin-left:0;margin-top:0;width:435.4pt;height:174.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4BE0" w14:textId="48FF036A" w:rsidR="0007340C" w:rsidRDefault="000A7BFE" w:rsidP="00115560">
    <w:pPr>
      <w:pStyle w:val="Header"/>
      <w:jc w:val="center"/>
    </w:pPr>
    <w:r>
      <w:rPr>
        <w:noProof/>
      </w:rPr>
      <w:pict w14:anchorId="42581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1610" o:spid="_x0000_s2051" type="#_x0000_t136" style="position:absolute;left:0;text-align:left;margin-left:0;margin-top:0;width:435.4pt;height:174.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4BE2" w14:textId="3A072F6B" w:rsidR="0007340C" w:rsidRDefault="000A7BFE" w:rsidP="007A74AC">
    <w:pPr>
      <w:pStyle w:val="Header"/>
      <w:ind w:right="-1276"/>
      <w:jc w:val="right"/>
    </w:pPr>
    <w:r>
      <w:rPr>
        <w:noProof/>
      </w:rPr>
      <w:pict w14:anchorId="3DA9E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1608" o:spid="_x0000_s2049" type="#_x0000_t136" style="position:absolute;left:0;text-align:left;margin-left:0;margin-top:0;width:435.4pt;height:174.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7340C" w:rsidRPr="007A74AC">
      <w:rPr>
        <w:noProof/>
        <w:lang w:eastAsia="en-GB"/>
      </w:rPr>
      <w:drawing>
        <wp:inline distT="0" distB="0" distL="0" distR="0" wp14:anchorId="557D4BE6" wp14:editId="557D4BE7">
          <wp:extent cx="2676525" cy="885825"/>
          <wp:effectExtent l="0" t="0" r="9525" b="9525"/>
          <wp:docPr id="2" name="Picture 2" descr="EA logo_PMSblac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ogo_PMSblac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85825"/>
                  </a:xfrm>
                  <a:prstGeom prst="rect">
                    <a:avLst/>
                  </a:prstGeom>
                  <a:noFill/>
                  <a:ln>
                    <a:noFill/>
                  </a:ln>
                </pic:spPr>
              </pic:pic>
            </a:graphicData>
          </a:graphic>
        </wp:inline>
      </w:drawing>
    </w:r>
  </w:p>
  <w:p w14:paraId="557D4BE3" w14:textId="2ED6AB42" w:rsidR="0007340C" w:rsidRDefault="0007340C" w:rsidP="005C3BA8">
    <w:pPr>
      <w:pStyle w:val="Title"/>
    </w:pPr>
    <w:r>
      <w:t>Permitting Decisions- Variation</w:t>
    </w:r>
  </w:p>
  <w:p w14:paraId="3EED6B04" w14:textId="72B6B81F" w:rsidR="0007340C" w:rsidRPr="005C3C45" w:rsidRDefault="0007340C" w:rsidP="005C3C45">
    <w:pPr>
      <w:rPr>
        <w:b/>
      </w:rPr>
    </w:pPr>
    <w:r w:rsidRPr="005C3C45">
      <w:rPr>
        <w:b/>
      </w:rPr>
      <w:t xml:space="preserve">Consultation on our </w:t>
    </w:r>
    <w:r>
      <w:rPr>
        <w:b/>
      </w:rPr>
      <w:t>decision document</w:t>
    </w:r>
    <w:r w:rsidRPr="005C3C45">
      <w:rPr>
        <w:b/>
      </w:rPr>
      <w:t xml:space="preserve"> recording our decision-making process</w:t>
    </w:r>
  </w:p>
  <w:p w14:paraId="557D4BE4" w14:textId="77777777" w:rsidR="0007340C" w:rsidRPr="007A74AC" w:rsidRDefault="0007340C" w:rsidP="007A74AC">
    <w:pPr>
      <w:pStyle w:val="Block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CC"/>
    <w:multiLevelType w:val="hybridMultilevel"/>
    <w:tmpl w:val="52AA9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9D13EB3"/>
    <w:multiLevelType w:val="hybridMultilevel"/>
    <w:tmpl w:val="CE48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F3C0B"/>
    <w:multiLevelType w:val="hybridMultilevel"/>
    <w:tmpl w:val="EC9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814B1"/>
    <w:multiLevelType w:val="hybridMultilevel"/>
    <w:tmpl w:val="D5B055E8"/>
    <w:lvl w:ilvl="0" w:tplc="763667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287337"/>
    <w:multiLevelType w:val="hybridMultilevel"/>
    <w:tmpl w:val="E312D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819BB"/>
    <w:multiLevelType w:val="hybridMultilevel"/>
    <w:tmpl w:val="CE48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F57E8"/>
    <w:multiLevelType w:val="hybridMultilevel"/>
    <w:tmpl w:val="AB36D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F3094"/>
    <w:multiLevelType w:val="hybridMultilevel"/>
    <w:tmpl w:val="2D765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CC053A"/>
    <w:multiLevelType w:val="hybridMultilevel"/>
    <w:tmpl w:val="79E0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3416B"/>
    <w:multiLevelType w:val="hybridMultilevel"/>
    <w:tmpl w:val="EB70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32F8"/>
    <w:multiLevelType w:val="hybridMultilevel"/>
    <w:tmpl w:val="7902D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5ABA"/>
    <w:multiLevelType w:val="hybridMultilevel"/>
    <w:tmpl w:val="C3F64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E64CE"/>
    <w:multiLevelType w:val="hybridMultilevel"/>
    <w:tmpl w:val="0902DA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DE4FBD"/>
    <w:multiLevelType w:val="hybridMultilevel"/>
    <w:tmpl w:val="C1C8AB44"/>
    <w:lvl w:ilvl="0" w:tplc="F6388B7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37B49"/>
    <w:multiLevelType w:val="hybridMultilevel"/>
    <w:tmpl w:val="79FC50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50B57"/>
    <w:multiLevelType w:val="hybridMultilevel"/>
    <w:tmpl w:val="79FC50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40F92"/>
    <w:multiLevelType w:val="hybridMultilevel"/>
    <w:tmpl w:val="7902D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43726"/>
    <w:multiLevelType w:val="hybridMultilevel"/>
    <w:tmpl w:val="CE48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E6C41"/>
    <w:multiLevelType w:val="hybridMultilevel"/>
    <w:tmpl w:val="7902D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4F0F2A"/>
    <w:multiLevelType w:val="hybridMultilevel"/>
    <w:tmpl w:val="FFE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B5A70"/>
    <w:multiLevelType w:val="hybridMultilevel"/>
    <w:tmpl w:val="C3F64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F8355A"/>
    <w:multiLevelType w:val="hybridMultilevel"/>
    <w:tmpl w:val="940647D8"/>
    <w:lvl w:ilvl="0" w:tplc="8182C286">
      <w:start w:val="1"/>
      <w:numFmt w:val="decimal"/>
      <w:pStyle w:val="ListParagraph"/>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15:restartNumberingAfterBreak="0">
    <w:nsid w:val="6565205E"/>
    <w:multiLevelType w:val="hybridMultilevel"/>
    <w:tmpl w:val="D23E20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7503645"/>
    <w:multiLevelType w:val="hybridMultilevel"/>
    <w:tmpl w:val="CE48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93475"/>
    <w:multiLevelType w:val="hybridMultilevel"/>
    <w:tmpl w:val="C3F64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94BFC"/>
    <w:multiLevelType w:val="hybridMultilevel"/>
    <w:tmpl w:val="5C34B4F0"/>
    <w:lvl w:ilvl="0" w:tplc="2F6CB2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26C23"/>
    <w:multiLevelType w:val="hybridMultilevel"/>
    <w:tmpl w:val="815A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D7084"/>
    <w:multiLevelType w:val="hybridMultilevel"/>
    <w:tmpl w:val="32DE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D7D6A"/>
    <w:multiLevelType w:val="hybridMultilevel"/>
    <w:tmpl w:val="4B263F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570073"/>
    <w:multiLevelType w:val="hybridMultilevel"/>
    <w:tmpl w:val="D39A4F26"/>
    <w:lvl w:ilvl="0" w:tplc="FEEC62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F1AE2"/>
    <w:multiLevelType w:val="hybridMultilevel"/>
    <w:tmpl w:val="AB36D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32"/>
  </w:num>
  <w:num w:numId="8">
    <w:abstractNumId w:val="14"/>
  </w:num>
  <w:num w:numId="9">
    <w:abstractNumId w:val="20"/>
  </w:num>
  <w:num w:numId="10">
    <w:abstractNumId w:val="28"/>
  </w:num>
  <w:num w:numId="11">
    <w:abstractNumId w:val="33"/>
  </w:num>
  <w:num w:numId="12">
    <w:abstractNumId w:val="5"/>
  </w:num>
  <w:num w:numId="13">
    <w:abstractNumId w:val="10"/>
  </w:num>
  <w:num w:numId="14">
    <w:abstractNumId w:val="25"/>
  </w:num>
  <w:num w:numId="15">
    <w:abstractNumId w:val="3"/>
  </w:num>
  <w:num w:numId="16">
    <w:abstractNumId w:val="0"/>
  </w:num>
  <w:num w:numId="17">
    <w:abstractNumId w:val="19"/>
  </w:num>
  <w:num w:numId="18">
    <w:abstractNumId w:val="11"/>
  </w:num>
  <w:num w:numId="19">
    <w:abstractNumId w:val="17"/>
  </w:num>
  <w:num w:numId="20">
    <w:abstractNumId w:val="27"/>
  </w:num>
  <w:num w:numId="21">
    <w:abstractNumId w:val="12"/>
  </w:num>
  <w:num w:numId="22">
    <w:abstractNumId w:val="4"/>
  </w:num>
  <w:num w:numId="23">
    <w:abstractNumId w:val="31"/>
  </w:num>
  <w:num w:numId="24">
    <w:abstractNumId w:val="15"/>
  </w:num>
  <w:num w:numId="25">
    <w:abstractNumId w:val="18"/>
  </w:num>
  <w:num w:numId="26">
    <w:abstractNumId w:val="34"/>
  </w:num>
  <w:num w:numId="27">
    <w:abstractNumId w:val="13"/>
  </w:num>
  <w:num w:numId="28">
    <w:abstractNumId w:val="16"/>
  </w:num>
  <w:num w:numId="29">
    <w:abstractNumId w:val="26"/>
  </w:num>
  <w:num w:numId="30">
    <w:abstractNumId w:val="9"/>
  </w:num>
  <w:num w:numId="31">
    <w:abstractNumId w:val="29"/>
  </w:num>
  <w:num w:numId="32">
    <w:abstractNumId w:val="8"/>
  </w:num>
  <w:num w:numId="33">
    <w:abstractNumId w:val="7"/>
  </w:num>
  <w:num w:numId="34">
    <w:abstractNumId w:val="2"/>
  </w:num>
  <w:num w:numId="35">
    <w:abstractNumId w:val="22"/>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formatting="1" w:enforcement="0"/>
  <w:defaultTabStop w:val="720"/>
  <w:defaultTableStyle w:val="Table"/>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2"/>
    <w:rsid w:val="00003F94"/>
    <w:rsid w:val="0000700A"/>
    <w:rsid w:val="00011BB7"/>
    <w:rsid w:val="00012A4C"/>
    <w:rsid w:val="00014973"/>
    <w:rsid w:val="00016979"/>
    <w:rsid w:val="000238A2"/>
    <w:rsid w:val="00023A24"/>
    <w:rsid w:val="00023F4C"/>
    <w:rsid w:val="000269BA"/>
    <w:rsid w:val="0003394D"/>
    <w:rsid w:val="000353F1"/>
    <w:rsid w:val="000355E8"/>
    <w:rsid w:val="00035D62"/>
    <w:rsid w:val="000361C8"/>
    <w:rsid w:val="00042D05"/>
    <w:rsid w:val="00045A1F"/>
    <w:rsid w:val="00045B75"/>
    <w:rsid w:val="00045D6A"/>
    <w:rsid w:val="00045E97"/>
    <w:rsid w:val="00053B7C"/>
    <w:rsid w:val="00054897"/>
    <w:rsid w:val="00054F71"/>
    <w:rsid w:val="0006311C"/>
    <w:rsid w:val="00063558"/>
    <w:rsid w:val="00065CB7"/>
    <w:rsid w:val="00070506"/>
    <w:rsid w:val="0007340C"/>
    <w:rsid w:val="0007419E"/>
    <w:rsid w:val="00080C40"/>
    <w:rsid w:val="00086CB4"/>
    <w:rsid w:val="0008738F"/>
    <w:rsid w:val="000905B0"/>
    <w:rsid w:val="000906FB"/>
    <w:rsid w:val="00090AB6"/>
    <w:rsid w:val="00091518"/>
    <w:rsid w:val="00094187"/>
    <w:rsid w:val="00095948"/>
    <w:rsid w:val="000A208B"/>
    <w:rsid w:val="000A7BFE"/>
    <w:rsid w:val="000B739C"/>
    <w:rsid w:val="000C0292"/>
    <w:rsid w:val="000C18D6"/>
    <w:rsid w:val="000C40CE"/>
    <w:rsid w:val="000C4695"/>
    <w:rsid w:val="000C5069"/>
    <w:rsid w:val="000C55EA"/>
    <w:rsid w:val="000C7E35"/>
    <w:rsid w:val="000D788D"/>
    <w:rsid w:val="000E41A9"/>
    <w:rsid w:val="000E4631"/>
    <w:rsid w:val="000F1F95"/>
    <w:rsid w:val="000F21F1"/>
    <w:rsid w:val="000F6887"/>
    <w:rsid w:val="00100F2A"/>
    <w:rsid w:val="00101A90"/>
    <w:rsid w:val="00107846"/>
    <w:rsid w:val="00111976"/>
    <w:rsid w:val="00113D50"/>
    <w:rsid w:val="001149F9"/>
    <w:rsid w:val="00115560"/>
    <w:rsid w:val="00123F9F"/>
    <w:rsid w:val="001246D6"/>
    <w:rsid w:val="00124E19"/>
    <w:rsid w:val="00131296"/>
    <w:rsid w:val="00132615"/>
    <w:rsid w:val="00133298"/>
    <w:rsid w:val="0013476B"/>
    <w:rsid w:val="001360D3"/>
    <w:rsid w:val="00144BA0"/>
    <w:rsid w:val="00145446"/>
    <w:rsid w:val="00147900"/>
    <w:rsid w:val="00147A24"/>
    <w:rsid w:val="00150872"/>
    <w:rsid w:val="00157CD2"/>
    <w:rsid w:val="0016015B"/>
    <w:rsid w:val="00163317"/>
    <w:rsid w:val="00166EFC"/>
    <w:rsid w:val="001670AC"/>
    <w:rsid w:val="00171066"/>
    <w:rsid w:val="00172F35"/>
    <w:rsid w:val="00182289"/>
    <w:rsid w:val="00183C86"/>
    <w:rsid w:val="00187291"/>
    <w:rsid w:val="00190286"/>
    <w:rsid w:val="00190412"/>
    <w:rsid w:val="001923EF"/>
    <w:rsid w:val="001A4B08"/>
    <w:rsid w:val="001A7401"/>
    <w:rsid w:val="001B1DD3"/>
    <w:rsid w:val="001B1F6A"/>
    <w:rsid w:val="001B3926"/>
    <w:rsid w:val="001B4AF7"/>
    <w:rsid w:val="001B547B"/>
    <w:rsid w:val="001B6752"/>
    <w:rsid w:val="001C361E"/>
    <w:rsid w:val="001C45ED"/>
    <w:rsid w:val="001C4B08"/>
    <w:rsid w:val="001C5060"/>
    <w:rsid w:val="001C60B3"/>
    <w:rsid w:val="001C7ECF"/>
    <w:rsid w:val="001D3D8E"/>
    <w:rsid w:val="001D3E81"/>
    <w:rsid w:val="001D529F"/>
    <w:rsid w:val="001D5BBA"/>
    <w:rsid w:val="001E3C95"/>
    <w:rsid w:val="001E4CA4"/>
    <w:rsid w:val="001F1CFD"/>
    <w:rsid w:val="001F50AD"/>
    <w:rsid w:val="001F7D7C"/>
    <w:rsid w:val="00202495"/>
    <w:rsid w:val="00203496"/>
    <w:rsid w:val="00205E33"/>
    <w:rsid w:val="0020660A"/>
    <w:rsid w:val="00217AC7"/>
    <w:rsid w:val="0022052E"/>
    <w:rsid w:val="002207AD"/>
    <w:rsid w:val="00223DD8"/>
    <w:rsid w:val="002265D1"/>
    <w:rsid w:val="0024114F"/>
    <w:rsid w:val="00241AB9"/>
    <w:rsid w:val="00247F64"/>
    <w:rsid w:val="002538CF"/>
    <w:rsid w:val="0025457C"/>
    <w:rsid w:val="00254B86"/>
    <w:rsid w:val="002627DC"/>
    <w:rsid w:val="0026439A"/>
    <w:rsid w:val="002712C8"/>
    <w:rsid w:val="00272635"/>
    <w:rsid w:val="00274603"/>
    <w:rsid w:val="00276ABD"/>
    <w:rsid w:val="00283453"/>
    <w:rsid w:val="00286215"/>
    <w:rsid w:val="00287C0E"/>
    <w:rsid w:val="00287F15"/>
    <w:rsid w:val="00292386"/>
    <w:rsid w:val="002A072F"/>
    <w:rsid w:val="002A0F2E"/>
    <w:rsid w:val="002A269D"/>
    <w:rsid w:val="002B13C4"/>
    <w:rsid w:val="002B213D"/>
    <w:rsid w:val="002B4A5E"/>
    <w:rsid w:val="002C0AFA"/>
    <w:rsid w:val="002C31F3"/>
    <w:rsid w:val="002C48B3"/>
    <w:rsid w:val="002C494B"/>
    <w:rsid w:val="002C7309"/>
    <w:rsid w:val="002C7E94"/>
    <w:rsid w:val="002D07F6"/>
    <w:rsid w:val="002D4539"/>
    <w:rsid w:val="002D479F"/>
    <w:rsid w:val="002D6623"/>
    <w:rsid w:val="002D7F79"/>
    <w:rsid w:val="002E0F1E"/>
    <w:rsid w:val="002E1369"/>
    <w:rsid w:val="002E32E4"/>
    <w:rsid w:val="002E34AE"/>
    <w:rsid w:val="002E43B4"/>
    <w:rsid w:val="002E4616"/>
    <w:rsid w:val="002E77C5"/>
    <w:rsid w:val="002F1889"/>
    <w:rsid w:val="002F18D2"/>
    <w:rsid w:val="002F6411"/>
    <w:rsid w:val="002F6967"/>
    <w:rsid w:val="00306183"/>
    <w:rsid w:val="00310DA3"/>
    <w:rsid w:val="00326B56"/>
    <w:rsid w:val="00327F40"/>
    <w:rsid w:val="00331272"/>
    <w:rsid w:val="00333845"/>
    <w:rsid w:val="00335B85"/>
    <w:rsid w:val="00335BC1"/>
    <w:rsid w:val="003425A8"/>
    <w:rsid w:val="00347D08"/>
    <w:rsid w:val="003502E3"/>
    <w:rsid w:val="00352303"/>
    <w:rsid w:val="00364A8E"/>
    <w:rsid w:val="00373210"/>
    <w:rsid w:val="003744EB"/>
    <w:rsid w:val="00375F7E"/>
    <w:rsid w:val="00380A08"/>
    <w:rsid w:val="00380D39"/>
    <w:rsid w:val="00383355"/>
    <w:rsid w:val="003848FA"/>
    <w:rsid w:val="003852CA"/>
    <w:rsid w:val="00390782"/>
    <w:rsid w:val="00392833"/>
    <w:rsid w:val="0039487F"/>
    <w:rsid w:val="00396EC6"/>
    <w:rsid w:val="003B4CE6"/>
    <w:rsid w:val="003B7F84"/>
    <w:rsid w:val="003C182A"/>
    <w:rsid w:val="003D0773"/>
    <w:rsid w:val="003D0A3C"/>
    <w:rsid w:val="003D5042"/>
    <w:rsid w:val="003D59B2"/>
    <w:rsid w:val="003D76FD"/>
    <w:rsid w:val="003E1698"/>
    <w:rsid w:val="003E2938"/>
    <w:rsid w:val="003E4973"/>
    <w:rsid w:val="003E4BC7"/>
    <w:rsid w:val="003E5B9B"/>
    <w:rsid w:val="003E5FC1"/>
    <w:rsid w:val="003E6839"/>
    <w:rsid w:val="003E7869"/>
    <w:rsid w:val="003E7D9A"/>
    <w:rsid w:val="003F11E7"/>
    <w:rsid w:val="003F388C"/>
    <w:rsid w:val="003F5FF5"/>
    <w:rsid w:val="004030BC"/>
    <w:rsid w:val="00405D7D"/>
    <w:rsid w:val="004077D5"/>
    <w:rsid w:val="0041192F"/>
    <w:rsid w:val="00412E7D"/>
    <w:rsid w:val="00417950"/>
    <w:rsid w:val="00427256"/>
    <w:rsid w:val="0042795C"/>
    <w:rsid w:val="00446E81"/>
    <w:rsid w:val="00447A14"/>
    <w:rsid w:val="00450CC7"/>
    <w:rsid w:val="00451074"/>
    <w:rsid w:val="00456E58"/>
    <w:rsid w:val="0046550E"/>
    <w:rsid w:val="00466071"/>
    <w:rsid w:val="00471BA2"/>
    <w:rsid w:val="00473922"/>
    <w:rsid w:val="004767FA"/>
    <w:rsid w:val="004802E3"/>
    <w:rsid w:val="00483886"/>
    <w:rsid w:val="00483FFE"/>
    <w:rsid w:val="00484B55"/>
    <w:rsid w:val="004857B9"/>
    <w:rsid w:val="004879A4"/>
    <w:rsid w:val="004901DD"/>
    <w:rsid w:val="0049295F"/>
    <w:rsid w:val="00496FBD"/>
    <w:rsid w:val="004A5559"/>
    <w:rsid w:val="004A76B8"/>
    <w:rsid w:val="004B130D"/>
    <w:rsid w:val="004B738D"/>
    <w:rsid w:val="004D0C02"/>
    <w:rsid w:val="004D51A1"/>
    <w:rsid w:val="004E2919"/>
    <w:rsid w:val="004E359E"/>
    <w:rsid w:val="004E58A1"/>
    <w:rsid w:val="004F6026"/>
    <w:rsid w:val="00505F94"/>
    <w:rsid w:val="0051321F"/>
    <w:rsid w:val="005150F6"/>
    <w:rsid w:val="005160FB"/>
    <w:rsid w:val="00525FFC"/>
    <w:rsid w:val="00527AAD"/>
    <w:rsid w:val="00531416"/>
    <w:rsid w:val="005319FA"/>
    <w:rsid w:val="00542408"/>
    <w:rsid w:val="0055112D"/>
    <w:rsid w:val="005511DF"/>
    <w:rsid w:val="0055242B"/>
    <w:rsid w:val="005528F6"/>
    <w:rsid w:val="00554636"/>
    <w:rsid w:val="0055621E"/>
    <w:rsid w:val="0056222B"/>
    <w:rsid w:val="00565CB5"/>
    <w:rsid w:val="0056640C"/>
    <w:rsid w:val="005668AD"/>
    <w:rsid w:val="005738EA"/>
    <w:rsid w:val="00575EE0"/>
    <w:rsid w:val="00576082"/>
    <w:rsid w:val="00576F28"/>
    <w:rsid w:val="00581A69"/>
    <w:rsid w:val="005837F8"/>
    <w:rsid w:val="00592FD8"/>
    <w:rsid w:val="005934C0"/>
    <w:rsid w:val="005950F0"/>
    <w:rsid w:val="005A5C93"/>
    <w:rsid w:val="005B3F5A"/>
    <w:rsid w:val="005B505E"/>
    <w:rsid w:val="005C3BA8"/>
    <w:rsid w:val="005C3C45"/>
    <w:rsid w:val="005C5959"/>
    <w:rsid w:val="005C6200"/>
    <w:rsid w:val="005D00FB"/>
    <w:rsid w:val="005D073A"/>
    <w:rsid w:val="005D0E22"/>
    <w:rsid w:val="005D270C"/>
    <w:rsid w:val="005E09FD"/>
    <w:rsid w:val="005E11F4"/>
    <w:rsid w:val="005E6FE4"/>
    <w:rsid w:val="005F1AC9"/>
    <w:rsid w:val="005F2419"/>
    <w:rsid w:val="005F2581"/>
    <w:rsid w:val="005F3F22"/>
    <w:rsid w:val="005F7171"/>
    <w:rsid w:val="005F789A"/>
    <w:rsid w:val="006043D3"/>
    <w:rsid w:val="006048B3"/>
    <w:rsid w:val="0060759C"/>
    <w:rsid w:val="00621658"/>
    <w:rsid w:val="00621AAF"/>
    <w:rsid w:val="0062278F"/>
    <w:rsid w:val="00623218"/>
    <w:rsid w:val="0063190D"/>
    <w:rsid w:val="006358A6"/>
    <w:rsid w:val="00642E51"/>
    <w:rsid w:val="00646324"/>
    <w:rsid w:val="00650F37"/>
    <w:rsid w:val="00657983"/>
    <w:rsid w:val="00660A6E"/>
    <w:rsid w:val="00664E21"/>
    <w:rsid w:val="006662EA"/>
    <w:rsid w:val="00670350"/>
    <w:rsid w:val="0067050A"/>
    <w:rsid w:val="0067080A"/>
    <w:rsid w:val="006714DE"/>
    <w:rsid w:val="00675276"/>
    <w:rsid w:val="00677361"/>
    <w:rsid w:val="00682405"/>
    <w:rsid w:val="0068472B"/>
    <w:rsid w:val="006853CE"/>
    <w:rsid w:val="00686CEF"/>
    <w:rsid w:val="0068769C"/>
    <w:rsid w:val="00687ECC"/>
    <w:rsid w:val="00692AB2"/>
    <w:rsid w:val="00695140"/>
    <w:rsid w:val="00697002"/>
    <w:rsid w:val="006A21BD"/>
    <w:rsid w:val="006A53CB"/>
    <w:rsid w:val="006B244C"/>
    <w:rsid w:val="006B28CA"/>
    <w:rsid w:val="006B36ED"/>
    <w:rsid w:val="006C081E"/>
    <w:rsid w:val="006C19A4"/>
    <w:rsid w:val="006C21FA"/>
    <w:rsid w:val="006C234F"/>
    <w:rsid w:val="006C28A2"/>
    <w:rsid w:val="006C4040"/>
    <w:rsid w:val="006C7807"/>
    <w:rsid w:val="006C79CF"/>
    <w:rsid w:val="006D0934"/>
    <w:rsid w:val="006D3320"/>
    <w:rsid w:val="006D7EEE"/>
    <w:rsid w:val="006E49C0"/>
    <w:rsid w:val="006E4F0E"/>
    <w:rsid w:val="006E6788"/>
    <w:rsid w:val="006F2B26"/>
    <w:rsid w:val="006F42D2"/>
    <w:rsid w:val="00711CDF"/>
    <w:rsid w:val="00712100"/>
    <w:rsid w:val="00716008"/>
    <w:rsid w:val="00717AFE"/>
    <w:rsid w:val="007225F1"/>
    <w:rsid w:val="00722CB0"/>
    <w:rsid w:val="0072463B"/>
    <w:rsid w:val="00724B18"/>
    <w:rsid w:val="007253DE"/>
    <w:rsid w:val="007264A6"/>
    <w:rsid w:val="0073752D"/>
    <w:rsid w:val="007418D9"/>
    <w:rsid w:val="00742C95"/>
    <w:rsid w:val="007500D3"/>
    <w:rsid w:val="00750202"/>
    <w:rsid w:val="00761DF8"/>
    <w:rsid w:val="00771631"/>
    <w:rsid w:val="007765CC"/>
    <w:rsid w:val="00780CBF"/>
    <w:rsid w:val="00782319"/>
    <w:rsid w:val="00786356"/>
    <w:rsid w:val="00791B5C"/>
    <w:rsid w:val="00792DC8"/>
    <w:rsid w:val="00793F59"/>
    <w:rsid w:val="0079649D"/>
    <w:rsid w:val="007A00D7"/>
    <w:rsid w:val="007A2CF1"/>
    <w:rsid w:val="007A5AD6"/>
    <w:rsid w:val="007A6A68"/>
    <w:rsid w:val="007A7028"/>
    <w:rsid w:val="007A74AC"/>
    <w:rsid w:val="007B3F61"/>
    <w:rsid w:val="007B7E9A"/>
    <w:rsid w:val="007C2D30"/>
    <w:rsid w:val="007C511A"/>
    <w:rsid w:val="007C6785"/>
    <w:rsid w:val="007D16CE"/>
    <w:rsid w:val="007D1996"/>
    <w:rsid w:val="007D33C5"/>
    <w:rsid w:val="007D33F7"/>
    <w:rsid w:val="007D5D70"/>
    <w:rsid w:val="007E16DC"/>
    <w:rsid w:val="007E2D09"/>
    <w:rsid w:val="007E4452"/>
    <w:rsid w:val="007E7443"/>
    <w:rsid w:val="007F3EA0"/>
    <w:rsid w:val="007F41A7"/>
    <w:rsid w:val="00800041"/>
    <w:rsid w:val="0080070F"/>
    <w:rsid w:val="00800F9C"/>
    <w:rsid w:val="00804E76"/>
    <w:rsid w:val="00805289"/>
    <w:rsid w:val="008111C7"/>
    <w:rsid w:val="00815E10"/>
    <w:rsid w:val="00816E12"/>
    <w:rsid w:val="00826C44"/>
    <w:rsid w:val="00827904"/>
    <w:rsid w:val="00840653"/>
    <w:rsid w:val="008420C3"/>
    <w:rsid w:val="00843F8F"/>
    <w:rsid w:val="00845716"/>
    <w:rsid w:val="008522D4"/>
    <w:rsid w:val="008617F6"/>
    <w:rsid w:val="0087382E"/>
    <w:rsid w:val="008810BD"/>
    <w:rsid w:val="008877D3"/>
    <w:rsid w:val="00894146"/>
    <w:rsid w:val="008941B8"/>
    <w:rsid w:val="0089599C"/>
    <w:rsid w:val="00896CF2"/>
    <w:rsid w:val="00896D26"/>
    <w:rsid w:val="008A106C"/>
    <w:rsid w:val="008B2F95"/>
    <w:rsid w:val="008B6587"/>
    <w:rsid w:val="008C2486"/>
    <w:rsid w:val="008D3732"/>
    <w:rsid w:val="008D3C6C"/>
    <w:rsid w:val="008D6229"/>
    <w:rsid w:val="008D6C1A"/>
    <w:rsid w:val="008D78DF"/>
    <w:rsid w:val="008E0047"/>
    <w:rsid w:val="008E37C1"/>
    <w:rsid w:val="008E3BF1"/>
    <w:rsid w:val="008E68FB"/>
    <w:rsid w:val="008E78FE"/>
    <w:rsid w:val="008F2C91"/>
    <w:rsid w:val="008F61D9"/>
    <w:rsid w:val="009046D9"/>
    <w:rsid w:val="00907068"/>
    <w:rsid w:val="00910751"/>
    <w:rsid w:val="009143C9"/>
    <w:rsid w:val="009151B7"/>
    <w:rsid w:val="00915AEE"/>
    <w:rsid w:val="009207DC"/>
    <w:rsid w:val="00921EF3"/>
    <w:rsid w:val="00924B42"/>
    <w:rsid w:val="00926975"/>
    <w:rsid w:val="00930FEF"/>
    <w:rsid w:val="009326EE"/>
    <w:rsid w:val="00933201"/>
    <w:rsid w:val="00940034"/>
    <w:rsid w:val="00943488"/>
    <w:rsid w:val="00954DAC"/>
    <w:rsid w:val="00956442"/>
    <w:rsid w:val="009574EE"/>
    <w:rsid w:val="00961163"/>
    <w:rsid w:val="00962505"/>
    <w:rsid w:val="0096430C"/>
    <w:rsid w:val="00967C4B"/>
    <w:rsid w:val="0098195A"/>
    <w:rsid w:val="00982F9C"/>
    <w:rsid w:val="00983528"/>
    <w:rsid w:val="0099332B"/>
    <w:rsid w:val="00993DCB"/>
    <w:rsid w:val="00997CE7"/>
    <w:rsid w:val="009A1A55"/>
    <w:rsid w:val="009A44CF"/>
    <w:rsid w:val="009A5160"/>
    <w:rsid w:val="009A5F38"/>
    <w:rsid w:val="009A6A7F"/>
    <w:rsid w:val="009B10E0"/>
    <w:rsid w:val="009B2790"/>
    <w:rsid w:val="009B28A0"/>
    <w:rsid w:val="009B7EC1"/>
    <w:rsid w:val="009D0684"/>
    <w:rsid w:val="009D0A1F"/>
    <w:rsid w:val="009D47A5"/>
    <w:rsid w:val="009D77DB"/>
    <w:rsid w:val="009F0C55"/>
    <w:rsid w:val="009F0F0B"/>
    <w:rsid w:val="009F239D"/>
    <w:rsid w:val="009F369C"/>
    <w:rsid w:val="00A01F94"/>
    <w:rsid w:val="00A044D3"/>
    <w:rsid w:val="00A13968"/>
    <w:rsid w:val="00A142C5"/>
    <w:rsid w:val="00A1505D"/>
    <w:rsid w:val="00A15EEC"/>
    <w:rsid w:val="00A17625"/>
    <w:rsid w:val="00A17D29"/>
    <w:rsid w:val="00A2093B"/>
    <w:rsid w:val="00A20DE5"/>
    <w:rsid w:val="00A2111E"/>
    <w:rsid w:val="00A30098"/>
    <w:rsid w:val="00A308E0"/>
    <w:rsid w:val="00A31F8A"/>
    <w:rsid w:val="00A32DB3"/>
    <w:rsid w:val="00A34484"/>
    <w:rsid w:val="00A37678"/>
    <w:rsid w:val="00A4054F"/>
    <w:rsid w:val="00A4513E"/>
    <w:rsid w:val="00A472F1"/>
    <w:rsid w:val="00A47BF2"/>
    <w:rsid w:val="00A51D56"/>
    <w:rsid w:val="00A53AE9"/>
    <w:rsid w:val="00A57A5D"/>
    <w:rsid w:val="00A6484D"/>
    <w:rsid w:val="00A70F8F"/>
    <w:rsid w:val="00A82050"/>
    <w:rsid w:val="00A83AB9"/>
    <w:rsid w:val="00A862E6"/>
    <w:rsid w:val="00A86F91"/>
    <w:rsid w:val="00A93C72"/>
    <w:rsid w:val="00A962B4"/>
    <w:rsid w:val="00A9667E"/>
    <w:rsid w:val="00A96B01"/>
    <w:rsid w:val="00AB0794"/>
    <w:rsid w:val="00AB3F49"/>
    <w:rsid w:val="00AB4198"/>
    <w:rsid w:val="00AB4DA9"/>
    <w:rsid w:val="00AB4F73"/>
    <w:rsid w:val="00AB5416"/>
    <w:rsid w:val="00AB57DA"/>
    <w:rsid w:val="00AB6430"/>
    <w:rsid w:val="00AC4D92"/>
    <w:rsid w:val="00AC6512"/>
    <w:rsid w:val="00AD025F"/>
    <w:rsid w:val="00AD7DB5"/>
    <w:rsid w:val="00AE20D1"/>
    <w:rsid w:val="00AF5133"/>
    <w:rsid w:val="00B0019B"/>
    <w:rsid w:val="00B02E04"/>
    <w:rsid w:val="00B046F0"/>
    <w:rsid w:val="00B11D29"/>
    <w:rsid w:val="00B1374D"/>
    <w:rsid w:val="00B174F0"/>
    <w:rsid w:val="00B20197"/>
    <w:rsid w:val="00B20273"/>
    <w:rsid w:val="00B20F0A"/>
    <w:rsid w:val="00B234BB"/>
    <w:rsid w:val="00B234D4"/>
    <w:rsid w:val="00B444B1"/>
    <w:rsid w:val="00B526C8"/>
    <w:rsid w:val="00B531D1"/>
    <w:rsid w:val="00B56443"/>
    <w:rsid w:val="00B674FB"/>
    <w:rsid w:val="00B7270D"/>
    <w:rsid w:val="00B72865"/>
    <w:rsid w:val="00B833D1"/>
    <w:rsid w:val="00B83B99"/>
    <w:rsid w:val="00B85CB8"/>
    <w:rsid w:val="00B97696"/>
    <w:rsid w:val="00BA30A7"/>
    <w:rsid w:val="00BA5785"/>
    <w:rsid w:val="00BA78AD"/>
    <w:rsid w:val="00BB26C4"/>
    <w:rsid w:val="00BB5734"/>
    <w:rsid w:val="00BB6287"/>
    <w:rsid w:val="00BB7C83"/>
    <w:rsid w:val="00BC592C"/>
    <w:rsid w:val="00BD4693"/>
    <w:rsid w:val="00BD5735"/>
    <w:rsid w:val="00BD78CB"/>
    <w:rsid w:val="00BE0C1A"/>
    <w:rsid w:val="00BE2053"/>
    <w:rsid w:val="00BE69BF"/>
    <w:rsid w:val="00BF3619"/>
    <w:rsid w:val="00C129E6"/>
    <w:rsid w:val="00C22650"/>
    <w:rsid w:val="00C32412"/>
    <w:rsid w:val="00C34BF8"/>
    <w:rsid w:val="00C34E82"/>
    <w:rsid w:val="00C40D75"/>
    <w:rsid w:val="00C45CB5"/>
    <w:rsid w:val="00C4654F"/>
    <w:rsid w:val="00C533E3"/>
    <w:rsid w:val="00C5456F"/>
    <w:rsid w:val="00C5768F"/>
    <w:rsid w:val="00C57F13"/>
    <w:rsid w:val="00C6027F"/>
    <w:rsid w:val="00C604E3"/>
    <w:rsid w:val="00C63E4E"/>
    <w:rsid w:val="00C655B2"/>
    <w:rsid w:val="00C65B7F"/>
    <w:rsid w:val="00C71827"/>
    <w:rsid w:val="00C8254C"/>
    <w:rsid w:val="00C82BDD"/>
    <w:rsid w:val="00C86C24"/>
    <w:rsid w:val="00C87133"/>
    <w:rsid w:val="00C8758D"/>
    <w:rsid w:val="00C90A1E"/>
    <w:rsid w:val="00C91741"/>
    <w:rsid w:val="00C95553"/>
    <w:rsid w:val="00CA08A1"/>
    <w:rsid w:val="00CA265C"/>
    <w:rsid w:val="00CA7090"/>
    <w:rsid w:val="00CB0826"/>
    <w:rsid w:val="00CB1994"/>
    <w:rsid w:val="00CB2821"/>
    <w:rsid w:val="00CC2550"/>
    <w:rsid w:val="00CC2CDC"/>
    <w:rsid w:val="00CC6483"/>
    <w:rsid w:val="00CC69EC"/>
    <w:rsid w:val="00CC7120"/>
    <w:rsid w:val="00CD1739"/>
    <w:rsid w:val="00CD7D1E"/>
    <w:rsid w:val="00CE23D9"/>
    <w:rsid w:val="00CE3A81"/>
    <w:rsid w:val="00CE58D7"/>
    <w:rsid w:val="00CF1E07"/>
    <w:rsid w:val="00CF5938"/>
    <w:rsid w:val="00D04A66"/>
    <w:rsid w:val="00D06F67"/>
    <w:rsid w:val="00D104EF"/>
    <w:rsid w:val="00D22269"/>
    <w:rsid w:val="00D24E27"/>
    <w:rsid w:val="00D25B4E"/>
    <w:rsid w:val="00D26B24"/>
    <w:rsid w:val="00D33ECE"/>
    <w:rsid w:val="00D4458D"/>
    <w:rsid w:val="00D459B2"/>
    <w:rsid w:val="00D466CA"/>
    <w:rsid w:val="00D50E86"/>
    <w:rsid w:val="00D52A36"/>
    <w:rsid w:val="00D52CFB"/>
    <w:rsid w:val="00D534D1"/>
    <w:rsid w:val="00D555A9"/>
    <w:rsid w:val="00D55F93"/>
    <w:rsid w:val="00D60B92"/>
    <w:rsid w:val="00D60F4C"/>
    <w:rsid w:val="00D623A7"/>
    <w:rsid w:val="00D64DCE"/>
    <w:rsid w:val="00D706FA"/>
    <w:rsid w:val="00D71CEF"/>
    <w:rsid w:val="00D82CCF"/>
    <w:rsid w:val="00D87467"/>
    <w:rsid w:val="00DA04FB"/>
    <w:rsid w:val="00DA4AC1"/>
    <w:rsid w:val="00DB35DD"/>
    <w:rsid w:val="00DB4D84"/>
    <w:rsid w:val="00DB5F9D"/>
    <w:rsid w:val="00DC15F9"/>
    <w:rsid w:val="00DC178B"/>
    <w:rsid w:val="00DC3E04"/>
    <w:rsid w:val="00DC5908"/>
    <w:rsid w:val="00DC7CB3"/>
    <w:rsid w:val="00DC7F17"/>
    <w:rsid w:val="00DD232A"/>
    <w:rsid w:val="00DE10F4"/>
    <w:rsid w:val="00DE2B5E"/>
    <w:rsid w:val="00DE767B"/>
    <w:rsid w:val="00DF1E44"/>
    <w:rsid w:val="00DF30C2"/>
    <w:rsid w:val="00DF74F5"/>
    <w:rsid w:val="00E023AD"/>
    <w:rsid w:val="00E06C54"/>
    <w:rsid w:val="00E10B18"/>
    <w:rsid w:val="00E12FFC"/>
    <w:rsid w:val="00E15880"/>
    <w:rsid w:val="00E25616"/>
    <w:rsid w:val="00E26C4F"/>
    <w:rsid w:val="00E35A73"/>
    <w:rsid w:val="00E36E9A"/>
    <w:rsid w:val="00E414E1"/>
    <w:rsid w:val="00E5652B"/>
    <w:rsid w:val="00E60D3C"/>
    <w:rsid w:val="00E804A3"/>
    <w:rsid w:val="00E812B8"/>
    <w:rsid w:val="00E8390B"/>
    <w:rsid w:val="00E83A00"/>
    <w:rsid w:val="00E97486"/>
    <w:rsid w:val="00EA1A7A"/>
    <w:rsid w:val="00EA31FC"/>
    <w:rsid w:val="00EA3E52"/>
    <w:rsid w:val="00EB03AF"/>
    <w:rsid w:val="00EB2F43"/>
    <w:rsid w:val="00EB615B"/>
    <w:rsid w:val="00EC31AF"/>
    <w:rsid w:val="00EC5066"/>
    <w:rsid w:val="00EC56BE"/>
    <w:rsid w:val="00ED411C"/>
    <w:rsid w:val="00ED63A7"/>
    <w:rsid w:val="00ED65E0"/>
    <w:rsid w:val="00EE23D7"/>
    <w:rsid w:val="00EE2495"/>
    <w:rsid w:val="00EF36E8"/>
    <w:rsid w:val="00F0143C"/>
    <w:rsid w:val="00F043D1"/>
    <w:rsid w:val="00F11422"/>
    <w:rsid w:val="00F12FC9"/>
    <w:rsid w:val="00F1381E"/>
    <w:rsid w:val="00F25A28"/>
    <w:rsid w:val="00F2752D"/>
    <w:rsid w:val="00F32890"/>
    <w:rsid w:val="00F34A5B"/>
    <w:rsid w:val="00F448FD"/>
    <w:rsid w:val="00F454A7"/>
    <w:rsid w:val="00F47485"/>
    <w:rsid w:val="00F60F0F"/>
    <w:rsid w:val="00F62A60"/>
    <w:rsid w:val="00F6400F"/>
    <w:rsid w:val="00F7078D"/>
    <w:rsid w:val="00F7643D"/>
    <w:rsid w:val="00F8385A"/>
    <w:rsid w:val="00F87CFB"/>
    <w:rsid w:val="00F900AF"/>
    <w:rsid w:val="00F91A16"/>
    <w:rsid w:val="00F926D4"/>
    <w:rsid w:val="00FA03F2"/>
    <w:rsid w:val="00FC4B23"/>
    <w:rsid w:val="00FD0D3F"/>
    <w:rsid w:val="00FE04D6"/>
    <w:rsid w:val="00FE07DB"/>
    <w:rsid w:val="00FE1280"/>
    <w:rsid w:val="00FE2D93"/>
    <w:rsid w:val="00FF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7D4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539"/>
  </w:style>
  <w:style w:type="paragraph" w:styleId="Heading1">
    <w:name w:val="heading 1"/>
    <w:basedOn w:val="Normal"/>
    <w:next w:val="Normal"/>
    <w:link w:val="Heading1Char"/>
    <w:uiPriority w:val="9"/>
    <w:locked/>
    <w:rsid w:val="007A5AD6"/>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locked/>
    <w:rsid w:val="007A5AD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locked/>
    <w:rsid w:val="00FA03F2"/>
    <w:pPr>
      <w:keepNext/>
      <w:keepLines/>
      <w:spacing w:before="40"/>
      <w:outlineLvl w:val="2"/>
    </w:pPr>
    <w:rPr>
      <w:rFonts w:asciiTheme="majorHAnsi" w:eastAsiaTheme="majorEastAsia" w:hAnsiTheme="majorHAnsi" w:cstheme="majorBidi"/>
      <w:color w:val="3A5D0F" w:themeColor="accent1" w:themeShade="7F"/>
    </w:rPr>
  </w:style>
  <w:style w:type="paragraph" w:styleId="Heading4">
    <w:name w:val="heading 4"/>
    <w:basedOn w:val="Normal"/>
    <w:next w:val="Normal"/>
    <w:link w:val="Heading4Char"/>
    <w:uiPriority w:val="9"/>
    <w:semiHidden/>
    <w:unhideWhenUsed/>
    <w:qFormat/>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1C7ECF"/>
    <w:pPr>
      <w:pBdr>
        <w:top w:val="single" w:sz="4" w:space="1" w:color="auto"/>
      </w:pBdr>
      <w:spacing w:before="120" w:after="0"/>
      <w:ind w:left="1701"/>
    </w:pPr>
  </w:style>
  <w:style w:type="paragraph" w:customStyle="1" w:styleId="Contenttitle">
    <w:name w:val="Content title"/>
    <w:basedOn w:val="Heading1"/>
    <w:link w:val="ContenttitleChar"/>
    <w:rsid w:val="00045E97"/>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6043D3"/>
    <w:rPr>
      <w:b/>
      <w:bCs/>
      <w:iCs/>
      <w:sz w:val="32"/>
      <w:szCs w:val="32"/>
    </w:rPr>
  </w:style>
  <w:style w:type="paragraph" w:customStyle="1" w:styleId="Topictitle">
    <w:name w:val="Topic title"/>
    <w:basedOn w:val="Heading3"/>
    <w:link w:val="TopictitleChar"/>
    <w:qFormat/>
    <w:rsid w:val="006043D3"/>
    <w:pPr>
      <w:keepLines w:val="0"/>
      <w:spacing w:before="0" w:line="276" w:lineRule="auto"/>
      <w:outlineLvl w:val="1"/>
    </w:pPr>
    <w:rPr>
      <w:rFonts w:ascii="Arial" w:eastAsiaTheme="minorHAnsi" w:hAnsi="Arial" w:cstheme="minorBidi"/>
      <w:b/>
      <w:bCs/>
      <w:iCs/>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82050"/>
    <w:pPr>
      <w:spacing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semiHidden/>
    <w:rsid w:val="00FA03F2"/>
    <w:rPr>
      <w:rFonts w:asciiTheme="majorHAnsi" w:eastAsiaTheme="majorEastAsia" w:hAnsiTheme="majorHAnsi" w:cstheme="majorBidi"/>
      <w:color w:val="3A5D0F" w:themeColor="accent1" w:themeShade="7F"/>
      <w:sz w:val="24"/>
      <w:szCs w:val="24"/>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B234BB"/>
  </w:style>
  <w:style w:type="paragraph" w:customStyle="1" w:styleId="BulletText1">
    <w:name w:val="Bullet Text 1"/>
    <w:basedOn w:val="Normal"/>
    <w:link w:val="BulletText1Char"/>
    <w:qFormat/>
    <w:rsid w:val="00B234BB"/>
    <w:pPr>
      <w:numPr>
        <w:numId w:val="1"/>
      </w:numPr>
      <w:spacing w:before="60"/>
      <w:ind w:left="641" w:hanging="357"/>
    </w:pPr>
  </w:style>
  <w:style w:type="character" w:customStyle="1" w:styleId="BulletText2Char">
    <w:name w:val="Bullet Text 2 Char"/>
    <w:link w:val="BulletText2"/>
    <w:locked/>
    <w:rsid w:val="00B234BB"/>
  </w:style>
  <w:style w:type="paragraph" w:customStyle="1" w:styleId="BulletText2">
    <w:name w:val="Bullet Text 2"/>
    <w:basedOn w:val="Normal"/>
    <w:link w:val="BulletText2Char"/>
    <w:qFormat/>
    <w:rsid w:val="00B234BB"/>
    <w:pPr>
      <w:numPr>
        <w:numId w:val="2"/>
      </w:numPr>
      <w:spacing w:before="60"/>
      <w:ind w:left="1208" w:hanging="357"/>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link w:val="SectiontitleChar"/>
    <w:qFormat/>
    <w:rsid w:val="006043D3"/>
    <w:pPr>
      <w:spacing w:before="0" w:line="276" w:lineRule="auto"/>
      <w:outlineLvl w:val="0"/>
    </w:pPr>
    <w:rPr>
      <w:bCs/>
      <w:sz w:val="36"/>
      <w:szCs w:val="32"/>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uiPriority w:val="34"/>
    <w:qFormat/>
    <w:rsid w:val="00182289"/>
    <w:pPr>
      <w:numPr>
        <w:numId w:val="5"/>
      </w:numPr>
      <w:spacing w:after="0"/>
      <w:contextualSpacing/>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A5AD6"/>
    <w:rPr>
      <w:rFonts w:eastAsiaTheme="majorEastAsia" w:cstheme="majorBidi"/>
      <w:b/>
      <w:sz w:val="36"/>
      <w:szCs w:val="32"/>
    </w:rPr>
  </w:style>
  <w:style w:type="paragraph" w:styleId="TOCHeading">
    <w:name w:val="TOC Heading"/>
    <w:basedOn w:val="Heading1"/>
    <w:next w:val="Normal"/>
    <w:uiPriority w:val="39"/>
    <w:unhideWhenUsed/>
    <w:rsid w:val="00E25616"/>
    <w:pPr>
      <w:spacing w:before="0"/>
      <w:outlineLvl w:val="9"/>
    </w:pPr>
    <w:rPr>
      <w:sz w:val="32"/>
      <w:szCs w:val="28"/>
      <w:lang w:val="en-US"/>
    </w:r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AC4D92"/>
    <w:pPr>
      <w:spacing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cPr>
        <w:shd w:val="clear" w:color="auto" w:fill="000000" w:themeFill="text1"/>
      </w:tcPr>
    </w:tblStylePr>
  </w:style>
  <w:style w:type="table" w:customStyle="1" w:styleId="Footertable">
    <w:name w:val="Footer table"/>
    <w:basedOn w:val="TableNormal"/>
    <w:uiPriority w:val="99"/>
    <w:rsid w:val="00A82050"/>
    <w:pPr>
      <w:spacing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semiHidden/>
    <w:rsid w:val="007A5AD6"/>
    <w:rPr>
      <w:rFonts w:eastAsiaTheme="majorEastAsia" w:cstheme="majorBidi"/>
      <w:b/>
      <w:sz w:val="32"/>
      <w:szCs w:val="26"/>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FC4B23"/>
  </w:style>
  <w:style w:type="paragraph" w:customStyle="1" w:styleId="Chaptertitle">
    <w:name w:val="Chapter title"/>
    <w:basedOn w:val="Sectiontitle"/>
    <w:link w:val="ChaptertitleChar"/>
    <w:rsid w:val="005738EA"/>
  </w:style>
  <w:style w:type="character" w:customStyle="1" w:styleId="ContenttitleChar">
    <w:name w:val="Content title Char"/>
    <w:basedOn w:val="DefaultParagraphFont"/>
    <w:link w:val="Contenttitle"/>
    <w:rsid w:val="00045E97"/>
    <w:rPr>
      <w:rFonts w:eastAsiaTheme="majorEastAsia" w:cstheme="majorBidi"/>
      <w:b/>
      <w:kern w:val="32"/>
      <w:sz w:val="40"/>
      <w:szCs w:val="32"/>
    </w:rPr>
  </w:style>
  <w:style w:type="character" w:customStyle="1" w:styleId="DocumenttitleChar">
    <w:name w:val="Document title Char"/>
    <w:basedOn w:val="ContenttitleChar"/>
    <w:link w:val="Documenttitle"/>
    <w:rsid w:val="00FC4B23"/>
    <w:rPr>
      <w:rFonts w:eastAsiaTheme="majorEastAsia" w:cstheme="majorBidi"/>
      <w:b/>
      <w:kern w:val="32"/>
      <w:sz w:val="40"/>
      <w:szCs w:val="32"/>
    </w:rPr>
  </w:style>
  <w:style w:type="character" w:customStyle="1" w:styleId="ChaptertitleChar">
    <w:name w:val="Chapter title Char"/>
    <w:basedOn w:val="SectiontitleChar"/>
    <w:link w:val="Chaptertitle"/>
    <w:rsid w:val="005738EA"/>
    <w:rPr>
      <w:rFonts w:eastAsiaTheme="majorEastAsia" w:cstheme="majorBidi"/>
      <w:b/>
      <w:bCs/>
      <w:sz w:val="36"/>
      <w:szCs w:val="32"/>
    </w:rPr>
  </w:style>
  <w:style w:type="paragraph" w:customStyle="1" w:styleId="Principleheader">
    <w:name w:val="Principle header"/>
    <w:basedOn w:val="Heading2"/>
    <w:link w:val="PrincipleheaderChar"/>
    <w:rsid w:val="00D26B24"/>
    <w:pPr>
      <w:numPr>
        <w:numId w:val="3"/>
      </w:numPr>
    </w:pPr>
    <w:rPr>
      <w:sz w:val="36"/>
      <w:szCs w:val="36"/>
    </w:rPr>
  </w:style>
  <w:style w:type="character" w:customStyle="1" w:styleId="PrincipleheaderChar">
    <w:name w:val="Principle header Char"/>
    <w:basedOn w:val="DefaultParagraphFont"/>
    <w:link w:val="Principleheader"/>
    <w:rsid w:val="00910751"/>
    <w:rPr>
      <w:rFonts w:eastAsiaTheme="majorEastAsia" w:cstheme="majorBidi"/>
      <w:b/>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link w:val="NumberedblockChar"/>
    <w:qFormat/>
    <w:rsid w:val="00392833"/>
    <w:pPr>
      <w:numPr>
        <w:numId w:val="4"/>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Sub-blockheading">
    <w:name w:val="Sub-block heading"/>
    <w:basedOn w:val="Blockheading"/>
    <w:link w:val="Sub-blockheadingChar"/>
    <w:qFormat/>
    <w:rsid w:val="005319FA"/>
    <w:pPr>
      <w:outlineLvl w:val="3"/>
    </w:pPr>
    <w:rPr>
      <w:sz w:val="24"/>
    </w:rPr>
  </w:style>
  <w:style w:type="paragraph" w:customStyle="1" w:styleId="Audienceheading">
    <w:name w:val="Audience heading"/>
    <w:basedOn w:val="Blockheading"/>
    <w:link w:val="AudienceheadingChar"/>
    <w:rsid w:val="005319FA"/>
    <w:pPr>
      <w:outlineLvl w:val="9"/>
    </w:pPr>
  </w:style>
  <w:style w:type="character" w:customStyle="1" w:styleId="Sub-blockheadingChar">
    <w:name w:val="Sub-block heading Char"/>
    <w:basedOn w:val="DefaultParagraphFont"/>
    <w:link w:val="Sub-blockheading"/>
    <w:rsid w:val="005319FA"/>
    <w:rPr>
      <w:rFonts w:eastAsiaTheme="majorEastAsia" w:cstheme="majorBidi"/>
      <w:b/>
      <w:iCs/>
      <w:color w:val="auto"/>
    </w:rPr>
  </w:style>
  <w:style w:type="character" w:customStyle="1" w:styleId="AudienceheadingChar">
    <w:name w:val="Audience heading Char"/>
    <w:basedOn w:val="BlockheadingChar"/>
    <w:link w:val="Audienceheading"/>
    <w:rsid w:val="005319FA"/>
    <w:rPr>
      <w:rFonts w:eastAsiaTheme="majorEastAsia" w:cstheme="majorBidi"/>
      <w:b/>
      <w:iCs/>
      <w:color w:val="auto"/>
      <w:sz w:val="26"/>
    </w:rPr>
  </w:style>
  <w:style w:type="paragraph" w:customStyle="1" w:styleId="Guidance">
    <w:name w:val="Guidance"/>
    <w:basedOn w:val="Normal"/>
    <w:qFormat/>
    <w:rsid w:val="001B3926"/>
    <w:pPr>
      <w:shd w:val="clear" w:color="auto" w:fill="E2EFD9"/>
      <w:spacing w:after="120" w:line="276" w:lineRule="auto"/>
    </w:pPr>
    <w:rPr>
      <w:color w:val="auto"/>
    </w:rPr>
  </w:style>
  <w:style w:type="character" w:customStyle="1" w:styleId="Pink">
    <w:name w:val="Pink"/>
    <w:basedOn w:val="DefaultParagraphFont"/>
    <w:uiPriority w:val="1"/>
    <w:qFormat/>
    <w:rsid w:val="00657983"/>
    <w:rPr>
      <w:color w:val="FFCC00" w:themeColor="accent2"/>
    </w:rPr>
  </w:style>
  <w:style w:type="character" w:customStyle="1" w:styleId="Red">
    <w:name w:val="Red"/>
    <w:uiPriority w:val="1"/>
    <w:qFormat/>
    <w:rsid w:val="008877D3"/>
    <w:rPr>
      <w:color w:val="FF0000"/>
    </w:rPr>
  </w:style>
  <w:style w:type="paragraph" w:customStyle="1" w:styleId="Default">
    <w:name w:val="Default"/>
    <w:rsid w:val="0000700A"/>
    <w:pPr>
      <w:autoSpaceDE w:val="0"/>
      <w:autoSpaceDN w:val="0"/>
      <w:adjustRightInd w:val="0"/>
      <w:spacing w:after="0" w:line="240" w:lineRule="auto"/>
    </w:pPr>
    <w:rPr>
      <w:rFonts w:cs="Arial"/>
      <w:color w:val="000000"/>
    </w:rPr>
  </w:style>
  <w:style w:type="character" w:customStyle="1" w:styleId="Blue">
    <w:name w:val="Blue"/>
    <w:uiPriority w:val="1"/>
    <w:qFormat/>
    <w:rsid w:val="00A6484D"/>
    <w:rPr>
      <w:color w:val="0000FF"/>
    </w:rPr>
  </w:style>
  <w:style w:type="paragraph" w:customStyle="1" w:styleId="Heading3nonum">
    <w:name w:val="Heading 3 nonum"/>
    <w:basedOn w:val="Heading3"/>
    <w:link w:val="Heading3nonumChar"/>
    <w:rsid w:val="000905B0"/>
    <w:pPr>
      <w:keepNext w:val="0"/>
      <w:widowControl w:val="0"/>
      <w:spacing w:before="120" w:after="0" w:line="270" w:lineRule="exact"/>
    </w:pPr>
    <w:rPr>
      <w:rFonts w:ascii="Arial" w:eastAsia="Times New Roman" w:hAnsi="Arial" w:cs="Times New Roman"/>
      <w:color w:val="000000"/>
      <w:sz w:val="18"/>
      <w:szCs w:val="20"/>
    </w:rPr>
  </w:style>
  <w:style w:type="character" w:customStyle="1" w:styleId="Heading3nonumChar">
    <w:name w:val="Heading 3 nonum Char"/>
    <w:link w:val="Heading3nonum"/>
    <w:rsid w:val="000905B0"/>
    <w:rPr>
      <w:rFonts w:eastAsia="Times New Roman" w:cs="Times New Roman"/>
      <w:color w:val="000000"/>
      <w:sz w:val="18"/>
      <w:szCs w:val="20"/>
    </w:rPr>
  </w:style>
  <w:style w:type="character" w:customStyle="1" w:styleId="DraftingNote">
    <w:name w:val="Drafting Note"/>
    <w:uiPriority w:val="1"/>
    <w:qFormat/>
    <w:rsid w:val="000905B0"/>
    <w:rPr>
      <w:color w:val="FF00FF"/>
    </w:rPr>
  </w:style>
  <w:style w:type="paragraph" w:styleId="FootnoteText">
    <w:name w:val="footnote text"/>
    <w:basedOn w:val="Normal"/>
    <w:link w:val="FootnoteTextChar"/>
    <w:uiPriority w:val="99"/>
    <w:semiHidden/>
    <w:unhideWhenUsed/>
    <w:locked/>
    <w:rsid w:val="00107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846"/>
    <w:rPr>
      <w:sz w:val="20"/>
      <w:szCs w:val="20"/>
    </w:rPr>
  </w:style>
  <w:style w:type="character" w:styleId="FootnoteReference">
    <w:name w:val="footnote reference"/>
    <w:basedOn w:val="DefaultParagraphFont"/>
    <w:uiPriority w:val="99"/>
    <w:semiHidden/>
    <w:unhideWhenUsed/>
    <w:locked/>
    <w:rsid w:val="00107846"/>
    <w:rPr>
      <w:vertAlign w:val="superscript"/>
    </w:rPr>
  </w:style>
  <w:style w:type="paragraph" w:styleId="NoSpacing">
    <w:name w:val="No Spacing"/>
    <w:uiPriority w:val="1"/>
    <w:qFormat/>
    <w:locked/>
    <w:rsid w:val="005C3C45"/>
    <w:pPr>
      <w:spacing w:after="0" w:line="276" w:lineRule="auto"/>
    </w:pPr>
    <w:rPr>
      <w:rFonts w:asciiTheme="minorHAnsi" w:eastAsia="Times New Roman" w:hAnsiTheme="minorHAnsi"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212817003">
      <w:bodyDiv w:val="1"/>
      <w:marLeft w:val="0"/>
      <w:marRight w:val="0"/>
      <w:marTop w:val="0"/>
      <w:marBottom w:val="0"/>
      <w:divBdr>
        <w:top w:val="none" w:sz="0" w:space="0" w:color="auto"/>
        <w:left w:val="none" w:sz="0" w:space="0" w:color="auto"/>
        <w:bottom w:val="none" w:sz="0" w:space="0" w:color="auto"/>
        <w:right w:val="none" w:sz="0" w:space="0" w:color="auto"/>
      </w:divBdr>
    </w:div>
    <w:div w:id="471335001">
      <w:bodyDiv w:val="1"/>
      <w:marLeft w:val="0"/>
      <w:marRight w:val="0"/>
      <w:marTop w:val="0"/>
      <w:marBottom w:val="0"/>
      <w:divBdr>
        <w:top w:val="none" w:sz="0" w:space="0" w:color="auto"/>
        <w:left w:val="none" w:sz="0" w:space="0" w:color="auto"/>
        <w:bottom w:val="none" w:sz="0" w:space="0" w:color="auto"/>
        <w:right w:val="none" w:sz="0" w:space="0" w:color="auto"/>
      </w:divBdr>
    </w:div>
    <w:div w:id="505174499">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775560818">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7527439">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759909714">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D94AE5399485F9DFAA9E9043A3962"/>
        <w:category>
          <w:name w:val="General"/>
          <w:gallery w:val="placeholder"/>
        </w:category>
        <w:types>
          <w:type w:val="bbPlcHdr"/>
        </w:types>
        <w:behaviors>
          <w:behavior w:val="content"/>
        </w:behaviors>
        <w:guid w:val="{11EB0374-77A0-46B2-A0DB-9A80481EF0C3}"/>
      </w:docPartPr>
      <w:docPartBody>
        <w:p w:rsidR="00177050" w:rsidRDefault="00AF4054">
          <w:r w:rsidRPr="00386D22">
            <w:rPr>
              <w:rStyle w:val="PlaceholderText"/>
            </w:rPr>
            <w:t>[Reference]</w:t>
          </w:r>
        </w:p>
      </w:docPartBody>
    </w:docPart>
    <w:docPart>
      <w:docPartPr>
        <w:name w:val="4188094996044FFFBA6094E9B97B0D1B"/>
        <w:category>
          <w:name w:val="General"/>
          <w:gallery w:val="placeholder"/>
        </w:category>
        <w:types>
          <w:type w:val="bbPlcHdr"/>
        </w:types>
        <w:behaviors>
          <w:behavior w:val="content"/>
        </w:behaviors>
        <w:guid w:val="{923A75BF-7CA2-4641-86E5-A77096D3B53E}"/>
      </w:docPartPr>
      <w:docPartBody>
        <w:p w:rsidR="00177050" w:rsidRDefault="00AF4054">
          <w:r w:rsidRPr="00386D2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54"/>
    <w:rsid w:val="00020555"/>
    <w:rsid w:val="00177050"/>
    <w:rsid w:val="00222690"/>
    <w:rsid w:val="002869DA"/>
    <w:rsid w:val="00292460"/>
    <w:rsid w:val="006000E7"/>
    <w:rsid w:val="00632D1A"/>
    <w:rsid w:val="009B317A"/>
    <w:rsid w:val="00AF4054"/>
    <w:rsid w:val="00B8472F"/>
    <w:rsid w:val="00C43379"/>
    <w:rsid w:val="00D612C7"/>
    <w:rsid w:val="00F8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101" ma:contentTypeDescription="Templates are documents for staff to complete, includes forms." ma:contentTypeScope="" ma:versionID="ae81f94b8e74515c9ba6417d945a0cf5">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7956</ContentCloud_OrganisationString>
    <ContentCloud_Approver1 xmlns="http://schemas.microsoft.com/sharepoint/v3">
      <UserInfo>
        <DisplayName>Bellevue de Sylva, Kevin</DisplayName>
        <AccountId>228</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Carter, Heather</DisplayName>
        <AccountId>941</AccountId>
        <AccountType/>
      </UserInfo>
    </ContentCloud_Author>
    <ContentCloud_UpdateNotice xmlns="http://schemas.microsoft.com/sharepoint/v3">Addition of screen tip to hyperlink.
Minor bug fix / improvements to macro.</ContentCloud_UpdateNotice>
    <ContentCloud_Audiences xmlns="http://schemas.microsoft.com/sharepoint/v3">
      <Value>Environment Agency</Value>
    </ContentCloud_Audiences>
    <ContentCloud_ApproverComment1 xmlns="http://schemas.microsoft.com/sharepoint/v3" xsi:nil="true"/>
    <ContentCloud_Description xmlns="http://schemas.microsoft.com/sharepoint/v3">Variation decision document for environmental permitting</ContentCloud_Description>
    <ContentCloud_WithdrawnDate xmlns="http://schemas.microsoft.com/sharepoint/v3" xsi:nil="true"/>
    <ContentCloud_ApprovedDate1 xmlns="http://schemas.microsoft.com/sharepoint/v3">2020-11-20T14:48:50+00:00</ContentCloud_ApprovedDate1>
    <ContentCloud_ApproverComment2 xmlns="http://schemas.microsoft.com/sharepoint/v3" xsi:nil="true"/>
    <ContentCloud_ApproverJobTitle5 xmlns="http://schemas.microsoft.com/sharepoint/v3" xsi:nil="true"/>
    <ContentCloud_AssurerComment xmlns="http://schemas.microsoft.com/sharepoint/v3">Your content passed all relevant assurance checks. We have some feedback for you to consider as part of your next review. Where possible please move the content to a Content Cloud template.</ContentCloud_AssurerComment>
    <ContentCloud_SubmitDate xmlns="http://schemas.microsoft.com/sharepoint/v3">2020-11-20T11:31:58+00:00</ContentCloud_SubmitDate>
    <ContentCloud_PrimaryContact xmlns="http://schemas.microsoft.com/sharepoint/v3">
      <UserInfo>
        <DisplayName>Carter, Heather</DisplayName>
        <AccountId>941</AccountId>
        <AccountType/>
      </UserInfo>
      <UserInfo>
        <DisplayName>Bellevue de Sylva, Kevin</DisplayName>
        <AccountId>228</AccountId>
        <AccountType/>
      </UserInfo>
    </ContentCloud_PrimaryContact>
    <ContentCloud_ApproverComment3 xmlns="http://schemas.microsoft.com/sharepoint/v3" xsi:nil="true"/>
    <ContentCloud_LegacyDetails xmlns="http://schemas.microsoft.com/sharepoint/v3" xsi:nil="true"/>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permitting, environmental permitting, variation, decision documents, decisions, template</ContentCloud_Keywords>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https://defra.sharepoint.com/sites/def-contentcloud/_layouts/15/DocIdRedir.aspx?ID=CONTENTCLOUD-190616497-13595</Url>
      <Description>Decision document variation</Description>
    </ContentCloud_DocumentTitleLink>
    <ContentCloud_ScheduledReviewedBy xmlns="http://schemas.microsoft.com/sharepoint/v3">
      <UserInfo>
        <DisplayName>Bellevue de Sylva, Kevin</DisplayName>
        <AccountId>228</AccountId>
        <AccountType/>
      </UserInfo>
    </ContentCloud_ScheduledReviewedBy>
    <ContentCloud_ApproverJobTitle4 xmlns="http://schemas.microsoft.com/sharepoint/v3" xsi:nil="true"/>
    <ContentCloud_MetadataItemId xmlns="http://schemas.microsoft.com/sharepoint/v3">12456</ContentCloud_MetadataItemId>
    <ContentCloud_PrimaryContactIds xmlns="http://schemas.microsoft.com/sharepoint/v3">#941;#228;</ContentCloud_PrimaryContactIds>
    <ContentCloud_Submitter xmlns="http://schemas.microsoft.com/sharepoint/v3">
      <UserInfo>
        <DisplayName>Bellevue de Sylva, Kevin</DisplayName>
        <AccountId>228</AccountId>
        <AccountType/>
      </UserInfo>
    </ContentCloud_Submitter>
    <DLCPolicyLabelLock xmlns="c78a0cd0-2680-45d0-a254-38b105a1c2de" xsi:nil="true"/>
    <ContentCloud_PublishDate xmlns="http://schemas.microsoft.com/sharepoint/v3">2020-11-20T14:48:51+00:00</ContentCloud_PublishDate>
    <ContentCloud_Reference xmlns="http://schemas.microsoft.com/sharepoint/v3">EPR/BL9763IN/V005</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2023-11-20T11:30:40+00:00</ContentCloud_ScheduledReviewDate>
    <ContentCloud_LegacyReference xmlns="http://schemas.microsoft.com/sharepoint/v3">233_08_SD144</ContentCloud_LegacyReference>
    <ContentCloud_ScheduledReviewType xmlns="http://schemas.microsoft.com/sharepoint/v3">Reviewed - changes made</ContentCloud_ScheduledReviewType>
    <ContentCloud_ChangeType xmlns="http://schemas.microsoft.com/sharepoint/v3">Very Minor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Pratt, Gillian</DisplayName>
        <AccountId>52</AccountId>
        <AccountType/>
      </UserInfo>
    </ContentCloud_SRO>
    <ContentCloud_ApprOrganisation1 xmlns="http://schemas.microsoft.com/sharepoint/v3">Environment Agency</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66</ContentCloud_UpdatesNumber>
    <ContentCloud_Migrated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TEDBeforeSRD xmlns="http://schemas.microsoft.com/sharepoint/v3">false</ContentCloud_TEDBeforeSRD>
    <ContentCloud_RelatedSites xmlns="44ba428f-c30f-44c8-8eab-a30b7390a267">
      <Value>415</Value>
      <Value>477</Value>
    </ContentCloud_RelatedSites>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2020-11-20T11:31:56+00:00</ContentCloud_LastReviewedOnDate>
    <ContentCloud_ApproverJobTitle1 xmlns="http://schemas.microsoft.com/sharepoint/v3">Advisor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CONTENTCLOUD-190616497-13595</_dlc_DocId>
    <DLCPolicyLabelValue xmlns="c78a0cd0-2680-45d0-a254-38b105a1c2de">3.0</DLCPolicyLabelValue>
    <_dlc_DocIdUrl xmlns="44ba428f-c30f-44c8-8eab-a30b7390a267">
      <Url>https://defra.sharepoint.com/sites/def-contentcloud/_layouts/15/DocIdRedir.aspx?ID=CONTENTCLOUD-190616497-13595</Url>
      <Description>CONTENTCLOUD-190616497-13595</Description>
    </_dlc_DocIdUrl>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7CFC3B-E3FA-4B6D-B206-E41D77769076}">
  <ds:schemaRefs>
    <ds:schemaRef ds:uri="http://schemas.microsoft.com/sharepoint/v3/contenttype/forms"/>
  </ds:schemaRefs>
</ds:datastoreItem>
</file>

<file path=customXml/itemProps2.xml><?xml version="1.0" encoding="utf-8"?>
<ds:datastoreItem xmlns:ds="http://schemas.openxmlformats.org/officeDocument/2006/customXml" ds:itemID="{AE447411-A298-4960-AA41-6FB7A23E8749}">
  <ds:schemaRefs>
    <ds:schemaRef ds:uri="office.server.policy"/>
  </ds:schemaRefs>
</ds:datastoreItem>
</file>

<file path=customXml/itemProps3.xml><?xml version="1.0" encoding="utf-8"?>
<ds:datastoreItem xmlns:ds="http://schemas.openxmlformats.org/officeDocument/2006/customXml" ds:itemID="{269CE57F-06D7-4F21-8AE7-8485248D7207}">
  <ds:schemaRefs>
    <ds:schemaRef ds:uri="http://schemas.microsoft.com/sharepoint/events"/>
  </ds:schemaRefs>
</ds:datastoreItem>
</file>

<file path=customXml/itemProps4.xml><?xml version="1.0" encoding="utf-8"?>
<ds:datastoreItem xmlns:ds="http://schemas.openxmlformats.org/officeDocument/2006/customXml" ds:itemID="{BB9A942F-8A50-4DE1-BB30-C4AD217F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19E52-76DC-4726-AD2D-DEBA38712B3A}">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5A26AFDC-36A3-440B-942D-7331AA56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8346</Words>
  <Characters>47576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Decision document variation</vt:lpstr>
    </vt:vector>
  </TitlesOfParts>
  <Company/>
  <LinksUpToDate>false</LinksUpToDate>
  <CharactersWithSpaces>55811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variation</dc:title>
  <dc:subject/>
  <dc:creator/>
  <cp:keywords/>
  <dc:description/>
  <cp:lastModifiedBy/>
  <cp:revision>1</cp:revision>
  <dcterms:created xsi:type="dcterms:W3CDTF">2021-12-20T09:05:00Z</dcterms:created>
  <dcterms:modified xsi:type="dcterms:W3CDTF">2021-12-21T14:20:00Z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AuthorIds_UIVersion_513">
    <vt:lpwstr>9</vt:lpwstr>
  </property>
  <property fmtid="{D5CDD505-2E9C-101B-9397-08002B2CF9AE}" pid="4" name="AuthorIds_UIVersion_514">
    <vt:lpwstr>9</vt:lpwstr>
  </property>
  <property fmtid="{D5CDD505-2E9C-101B-9397-08002B2CF9AE}" pid="5" name="AuthorIds_UIVersion_515">
    <vt:lpwstr>9</vt:lpwstr>
  </property>
  <property fmtid="{D5CDD505-2E9C-101B-9397-08002B2CF9AE}" pid="6" name="_dlc_DocIdItemGuid">
    <vt:lpwstr>c17eabd1-0483-4c5b-8645-45209c6308fc</vt:lpwstr>
  </property>
  <property fmtid="{D5CDD505-2E9C-101B-9397-08002B2CF9AE}" pid="7" name="_ip_UnifiedCompliancePolicyUIAction">
    <vt:lpwstr/>
  </property>
  <property fmtid="{D5CDD505-2E9C-101B-9397-08002B2CF9AE}" pid="8" name="_ip_UnifiedCompliancePolicyProperties">
    <vt:lpwstr/>
  </property>
</Properties>
</file>