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AAD27" w14:textId="77777777" w:rsidR="00671FEA" w:rsidRDefault="00BF5ACE">
      <w:pPr>
        <w:pStyle w:val="BodyText"/>
        <w:ind w:left="5743"/>
        <w:rPr>
          <w:rFonts w:ascii="Times New Roman"/>
          <w:i w:val="0"/>
          <w:sz w:val="20"/>
        </w:rPr>
      </w:pPr>
      <w:r>
        <w:rPr>
          <w:rFonts w:ascii="Times New Roman"/>
          <w:i w:val="0"/>
          <w:noProof/>
          <w:sz w:val="20"/>
        </w:rPr>
        <w:drawing>
          <wp:inline distT="0" distB="0" distL="0" distR="0" wp14:anchorId="18F4C86A" wp14:editId="01B943C2">
            <wp:extent cx="2459494" cy="681227"/>
            <wp:effectExtent l="0" t="0" r="0" b="0"/>
            <wp:docPr id="1" name="image1.jpeg" descr="EA logo_PMSblac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459494" cy="681227"/>
                    </a:xfrm>
                    <a:prstGeom prst="rect">
                      <a:avLst/>
                    </a:prstGeom>
                  </pic:spPr>
                </pic:pic>
              </a:graphicData>
            </a:graphic>
          </wp:inline>
        </w:drawing>
      </w:r>
    </w:p>
    <w:p w14:paraId="144188E9" w14:textId="77777777" w:rsidR="00671FEA" w:rsidRDefault="00671FEA">
      <w:pPr>
        <w:pStyle w:val="BodyText"/>
        <w:rPr>
          <w:rFonts w:ascii="Times New Roman"/>
          <w:i w:val="0"/>
          <w:sz w:val="20"/>
        </w:rPr>
      </w:pPr>
    </w:p>
    <w:p w14:paraId="312E2105" w14:textId="77777777" w:rsidR="00671FEA" w:rsidRDefault="00671FEA">
      <w:pPr>
        <w:pStyle w:val="BodyText"/>
        <w:rPr>
          <w:rFonts w:ascii="Times New Roman"/>
          <w:i w:val="0"/>
          <w:sz w:val="20"/>
        </w:rPr>
      </w:pPr>
    </w:p>
    <w:p w14:paraId="51B59681" w14:textId="77777777" w:rsidR="00671FEA" w:rsidRDefault="00671FEA">
      <w:pPr>
        <w:pStyle w:val="BodyText"/>
        <w:rPr>
          <w:rFonts w:ascii="Times New Roman"/>
          <w:i w:val="0"/>
          <w:sz w:val="20"/>
        </w:rPr>
      </w:pPr>
    </w:p>
    <w:p w14:paraId="3E5BBCF6" w14:textId="77777777" w:rsidR="00671FEA" w:rsidRDefault="00671FEA">
      <w:pPr>
        <w:pStyle w:val="BodyText"/>
        <w:spacing w:before="10"/>
        <w:rPr>
          <w:rFonts w:ascii="Times New Roman"/>
          <w:i w:val="0"/>
          <w:sz w:val="16"/>
        </w:rPr>
      </w:pPr>
    </w:p>
    <w:p w14:paraId="606D0AFF" w14:textId="77777777" w:rsidR="00671FEA" w:rsidRDefault="00BF5ACE">
      <w:pPr>
        <w:pStyle w:val="Title"/>
      </w:pPr>
      <w:r>
        <w:rPr>
          <w:color w:val="1C1C1C"/>
        </w:rPr>
        <w:t>Notice</w:t>
      </w:r>
      <w:r>
        <w:rPr>
          <w:color w:val="1C1C1C"/>
          <w:spacing w:val="25"/>
        </w:rPr>
        <w:t xml:space="preserve"> </w:t>
      </w:r>
      <w:r>
        <w:rPr>
          <w:color w:val="1C1C1C"/>
        </w:rPr>
        <w:t>of</w:t>
      </w:r>
      <w:r>
        <w:rPr>
          <w:color w:val="1C1C1C"/>
          <w:spacing w:val="26"/>
        </w:rPr>
        <w:t xml:space="preserve"> </w:t>
      </w:r>
      <w:r>
        <w:rPr>
          <w:color w:val="1C1C1C"/>
        </w:rPr>
        <w:t>request</w:t>
      </w:r>
      <w:r>
        <w:rPr>
          <w:color w:val="1C1C1C"/>
          <w:spacing w:val="26"/>
        </w:rPr>
        <w:t xml:space="preserve"> </w:t>
      </w:r>
      <w:r>
        <w:rPr>
          <w:color w:val="1C1C1C"/>
        </w:rPr>
        <w:t>for</w:t>
      </w:r>
      <w:r>
        <w:rPr>
          <w:color w:val="1C1C1C"/>
          <w:spacing w:val="29"/>
        </w:rPr>
        <w:t xml:space="preserve"> </w:t>
      </w:r>
      <w:r>
        <w:rPr>
          <w:color w:val="1C1C1C"/>
        </w:rPr>
        <w:t>more</w:t>
      </w:r>
      <w:r>
        <w:rPr>
          <w:color w:val="1C1C1C"/>
          <w:spacing w:val="25"/>
        </w:rPr>
        <w:t xml:space="preserve"> </w:t>
      </w:r>
      <w:r>
        <w:rPr>
          <w:color w:val="1C1C1C"/>
        </w:rPr>
        <w:t>information</w:t>
      </w:r>
    </w:p>
    <w:p w14:paraId="524BCC7A" w14:textId="77777777" w:rsidR="00671FEA" w:rsidRDefault="00BF5ACE">
      <w:pPr>
        <w:spacing w:before="200"/>
        <w:ind w:left="132"/>
        <w:rPr>
          <w:b/>
          <w:sz w:val="28"/>
        </w:rPr>
      </w:pPr>
      <w:r>
        <w:rPr>
          <w:b/>
          <w:sz w:val="28"/>
        </w:rPr>
        <w:t>The</w:t>
      </w:r>
      <w:r>
        <w:rPr>
          <w:b/>
          <w:spacing w:val="-3"/>
          <w:sz w:val="28"/>
        </w:rPr>
        <w:t xml:space="preserve"> </w:t>
      </w:r>
      <w:r>
        <w:rPr>
          <w:b/>
          <w:sz w:val="28"/>
        </w:rPr>
        <w:t>Environmental</w:t>
      </w:r>
      <w:r>
        <w:rPr>
          <w:b/>
          <w:spacing w:val="-2"/>
          <w:sz w:val="28"/>
        </w:rPr>
        <w:t xml:space="preserve"> </w:t>
      </w:r>
      <w:r>
        <w:rPr>
          <w:b/>
          <w:sz w:val="28"/>
        </w:rPr>
        <w:t>Permitting</w:t>
      </w:r>
      <w:r>
        <w:rPr>
          <w:b/>
          <w:spacing w:val="-4"/>
          <w:sz w:val="28"/>
        </w:rPr>
        <w:t xml:space="preserve"> </w:t>
      </w:r>
      <w:r>
        <w:rPr>
          <w:b/>
          <w:sz w:val="28"/>
        </w:rPr>
        <w:t>(England</w:t>
      </w:r>
      <w:r>
        <w:rPr>
          <w:b/>
          <w:spacing w:val="-5"/>
          <w:sz w:val="28"/>
        </w:rPr>
        <w:t xml:space="preserve"> </w:t>
      </w:r>
      <w:r>
        <w:rPr>
          <w:b/>
          <w:sz w:val="28"/>
        </w:rPr>
        <w:t>&amp;</w:t>
      </w:r>
      <w:r>
        <w:rPr>
          <w:b/>
          <w:spacing w:val="-4"/>
          <w:sz w:val="28"/>
        </w:rPr>
        <w:t xml:space="preserve"> </w:t>
      </w:r>
      <w:r>
        <w:rPr>
          <w:b/>
          <w:sz w:val="28"/>
        </w:rPr>
        <w:t>Wales)</w:t>
      </w:r>
      <w:r>
        <w:rPr>
          <w:b/>
          <w:spacing w:val="-5"/>
          <w:sz w:val="28"/>
        </w:rPr>
        <w:t xml:space="preserve"> </w:t>
      </w:r>
      <w:r>
        <w:rPr>
          <w:b/>
          <w:sz w:val="28"/>
        </w:rPr>
        <w:t>Regulations</w:t>
      </w:r>
      <w:r>
        <w:rPr>
          <w:b/>
          <w:spacing w:val="2"/>
          <w:sz w:val="28"/>
        </w:rPr>
        <w:t xml:space="preserve"> </w:t>
      </w:r>
      <w:r>
        <w:rPr>
          <w:b/>
          <w:sz w:val="28"/>
        </w:rPr>
        <w:t>2016</w:t>
      </w:r>
    </w:p>
    <w:p w14:paraId="40F0371E" w14:textId="7C4A7227" w:rsidR="00671FEA" w:rsidRDefault="00366E26">
      <w:pPr>
        <w:pStyle w:val="BodyText"/>
        <w:spacing w:before="8"/>
        <w:rPr>
          <w:b/>
          <w:i w:val="0"/>
          <w:sz w:val="15"/>
        </w:rPr>
      </w:pPr>
      <w:r>
        <w:rPr>
          <w:noProof/>
        </w:rPr>
        <mc:AlternateContent>
          <mc:Choice Requires="wps">
            <w:drawing>
              <wp:anchor distT="0" distB="0" distL="0" distR="0" simplePos="0" relativeHeight="251657728" behindDoc="1" locked="0" layoutInCell="1" allowOverlap="1" wp14:anchorId="3B691443" wp14:editId="35F4681A">
                <wp:simplePos x="0" y="0"/>
                <wp:positionH relativeFrom="page">
                  <wp:posOffset>701040</wp:posOffset>
                </wp:positionH>
                <wp:positionV relativeFrom="paragraph">
                  <wp:posOffset>130175</wp:posOffset>
                </wp:positionV>
                <wp:extent cx="6158230" cy="12065"/>
                <wp:effectExtent l="0" t="0" r="0" b="0"/>
                <wp:wrapTopAndBottom/>
                <wp:docPr id="9"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147E8" id="docshape2" o:spid="_x0000_s1026" style="position:absolute;margin-left:55.2pt;margin-top:10.25pt;width:484.9pt;height:.9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" fillcolor="black" stroked="f">
                <w10:wrap type="topAndBottom" anchorx="page"/>
              </v:rect>
            </w:pict>
          </mc:Fallback>
        </mc:AlternateContent>
      </w:r>
    </w:p>
    <w:p w14:paraId="5A7F48B9" w14:textId="77777777" w:rsidR="00671FEA" w:rsidRDefault="00671FEA">
      <w:pPr>
        <w:pStyle w:val="BodyText"/>
        <w:rPr>
          <w:b/>
          <w:i w:val="0"/>
          <w:sz w:val="20"/>
        </w:rPr>
      </w:pPr>
    </w:p>
    <w:p w14:paraId="6015BE57" w14:textId="77777777" w:rsidR="00671FEA" w:rsidRDefault="00671FEA">
      <w:pPr>
        <w:pStyle w:val="BodyText"/>
        <w:rPr>
          <w:b/>
          <w:i w:val="0"/>
          <w:sz w:val="20"/>
        </w:rPr>
      </w:pPr>
    </w:p>
    <w:p w14:paraId="3D340757" w14:textId="77777777" w:rsidR="00671FEA" w:rsidRDefault="00671FEA">
      <w:pPr>
        <w:pStyle w:val="BodyText"/>
        <w:rPr>
          <w:b/>
          <w:i w:val="0"/>
          <w:sz w:val="20"/>
        </w:rPr>
      </w:pPr>
    </w:p>
    <w:p w14:paraId="100A787D" w14:textId="77777777" w:rsidR="00671FEA" w:rsidRDefault="00671FEA">
      <w:pPr>
        <w:pStyle w:val="BodyText"/>
        <w:spacing w:before="3"/>
        <w:rPr>
          <w:b/>
          <w:i w:val="0"/>
          <w:sz w:val="17"/>
        </w:rPr>
      </w:pPr>
    </w:p>
    <w:p w14:paraId="7CBD0BC1" w14:textId="77777777" w:rsidR="00671FEA" w:rsidRDefault="00BF5ACE">
      <w:pPr>
        <w:spacing w:before="94"/>
        <w:ind w:left="132"/>
      </w:pPr>
      <w:r>
        <w:t>Angus</w:t>
      </w:r>
      <w:r>
        <w:rPr>
          <w:spacing w:val="-3"/>
        </w:rPr>
        <w:t xml:space="preserve"> </w:t>
      </w:r>
      <w:r>
        <w:t>Energy</w:t>
      </w:r>
      <w:r>
        <w:rPr>
          <w:spacing w:val="-6"/>
        </w:rPr>
        <w:t xml:space="preserve"> </w:t>
      </w:r>
      <w:r>
        <w:t>Weald Basin No.3</w:t>
      </w:r>
      <w:r>
        <w:rPr>
          <w:spacing w:val="-1"/>
        </w:rPr>
        <w:t xml:space="preserve"> </w:t>
      </w:r>
      <w:r>
        <w:t>Limited</w:t>
      </w:r>
    </w:p>
    <w:p w14:paraId="7B78DBBA" w14:textId="77777777" w:rsidR="00671FEA" w:rsidRDefault="00BF5ACE">
      <w:pPr>
        <w:spacing w:before="157" w:line="278" w:lineRule="auto"/>
        <w:ind w:left="132" w:right="6876"/>
      </w:pPr>
      <w:r>
        <w:t>Westpoint 4 Redheughs Rigg</w:t>
      </w:r>
      <w:r>
        <w:rPr>
          <w:spacing w:val="-59"/>
        </w:rPr>
        <w:t xml:space="preserve"> </w:t>
      </w:r>
      <w:r>
        <w:t>South</w:t>
      </w:r>
      <w:r>
        <w:rPr>
          <w:spacing w:val="-3"/>
        </w:rPr>
        <w:t xml:space="preserve"> </w:t>
      </w:r>
      <w:r>
        <w:t>Gyle</w:t>
      </w:r>
    </w:p>
    <w:p w14:paraId="66926F12" w14:textId="77777777" w:rsidR="00671FEA" w:rsidRDefault="00BF5ACE">
      <w:pPr>
        <w:spacing w:line="276" w:lineRule="auto"/>
        <w:ind w:left="132" w:right="8375"/>
      </w:pPr>
      <w:r>
        <w:t>Edinburgh</w:t>
      </w:r>
      <w:r>
        <w:rPr>
          <w:spacing w:val="1"/>
        </w:rPr>
        <w:t xml:space="preserve"> </w:t>
      </w:r>
      <w:r>
        <w:t>Scotland</w:t>
      </w:r>
      <w:r>
        <w:rPr>
          <w:spacing w:val="1"/>
        </w:rPr>
        <w:t xml:space="preserve"> </w:t>
      </w:r>
      <w:r>
        <w:rPr>
          <w:spacing w:val="-1"/>
        </w:rPr>
        <w:t>EH12</w:t>
      </w:r>
      <w:r>
        <w:rPr>
          <w:spacing w:val="-13"/>
        </w:rPr>
        <w:t xml:space="preserve"> </w:t>
      </w:r>
      <w:r>
        <w:t>9DQ</w:t>
      </w:r>
    </w:p>
    <w:p w14:paraId="1ABBF329" w14:textId="77777777" w:rsidR="00671FEA" w:rsidRDefault="00BF5ACE">
      <w:pPr>
        <w:spacing w:before="117"/>
        <w:ind w:left="132"/>
      </w:pPr>
      <w:r>
        <w:t>Application</w:t>
      </w:r>
      <w:r>
        <w:rPr>
          <w:spacing w:val="-3"/>
        </w:rPr>
        <w:t xml:space="preserve"> </w:t>
      </w:r>
      <w:r>
        <w:t>number: EPR/BL9763IN/V005</w:t>
      </w:r>
    </w:p>
    <w:p w14:paraId="376C3BC5" w14:textId="77777777" w:rsidR="00671FEA" w:rsidRDefault="00BF5ACE">
      <w:pPr>
        <w:spacing w:before="157" w:line="276" w:lineRule="auto"/>
        <w:ind w:left="132" w:right="333"/>
      </w:pPr>
      <w:r>
        <w:t>The Environment Agency, in exercise of its powers under paragraph 4 of Part 1 of Schedule 5 of</w:t>
      </w:r>
      <w:r>
        <w:rPr>
          <w:spacing w:val="-59"/>
        </w:rPr>
        <w:t xml:space="preserve"> </w:t>
      </w:r>
      <w:r>
        <w:t>the above Regulations, requires you to provide the information detailed in the attached schedule.</w:t>
      </w:r>
      <w:r>
        <w:rPr>
          <w:spacing w:val="-59"/>
        </w:rPr>
        <w:t xml:space="preserve"> </w:t>
      </w:r>
      <w:r>
        <w:t xml:space="preserve">The information is required </w:t>
      </w:r>
      <w:proofErr w:type="gramStart"/>
      <w:r>
        <w:t>in order to</w:t>
      </w:r>
      <w:proofErr w:type="gramEnd"/>
      <w:r>
        <w:t xml:space="preserve"> determine your application for a permit duly made on</w:t>
      </w:r>
      <w:r>
        <w:rPr>
          <w:spacing w:val="1"/>
        </w:rPr>
        <w:t xml:space="preserve"> </w:t>
      </w:r>
      <w:r>
        <w:t>10/03/2021.</w:t>
      </w:r>
    </w:p>
    <w:p w14:paraId="4E3DC02B" w14:textId="77777777" w:rsidR="00671FEA" w:rsidRDefault="00BF5ACE">
      <w:pPr>
        <w:spacing w:before="121" w:line="276" w:lineRule="auto"/>
        <w:ind w:left="132" w:right="431"/>
      </w:pPr>
      <w:r>
        <w:t>Send the information to either the email or postal address below by 15 June 2021. If we do not</w:t>
      </w:r>
      <w:r>
        <w:rPr>
          <w:spacing w:val="1"/>
        </w:rPr>
        <w:t xml:space="preserve"> </w:t>
      </w:r>
      <w:r>
        <w:t xml:space="preserve">receive this information by the date </w:t>
      </w:r>
      <w:proofErr w:type="gramStart"/>
      <w:r>
        <w:t>specified</w:t>
      </w:r>
      <w:proofErr w:type="gramEnd"/>
      <w:r>
        <w:t xml:space="preserve"> then we may treat your application as having been</w:t>
      </w:r>
      <w:r>
        <w:rPr>
          <w:spacing w:val="-59"/>
        </w:rPr>
        <w:t xml:space="preserve"> </w:t>
      </w:r>
      <w:r>
        <w:t>withdrawn</w:t>
      </w:r>
      <w:r>
        <w:rPr>
          <w:spacing w:val="-1"/>
        </w:rPr>
        <w:t xml:space="preserve"> </w:t>
      </w:r>
      <w:r>
        <w:t>or</w:t>
      </w:r>
      <w:r>
        <w:rPr>
          <w:spacing w:val="1"/>
        </w:rPr>
        <w:t xml:space="preserve"> </w:t>
      </w:r>
      <w:r>
        <w:t>it</w:t>
      </w:r>
      <w:r>
        <w:rPr>
          <w:spacing w:val="-1"/>
        </w:rPr>
        <w:t xml:space="preserve"> </w:t>
      </w:r>
      <w:r>
        <w:t>may</w:t>
      </w:r>
      <w:r>
        <w:rPr>
          <w:spacing w:val="-2"/>
        </w:rPr>
        <w:t xml:space="preserve"> </w:t>
      </w:r>
      <w:r>
        <w:t>be</w:t>
      </w:r>
      <w:r>
        <w:rPr>
          <w:spacing w:val="-3"/>
        </w:rPr>
        <w:t xml:space="preserve"> </w:t>
      </w:r>
      <w:r>
        <w:t>refused.</w:t>
      </w:r>
      <w:r>
        <w:rPr>
          <w:spacing w:val="-1"/>
        </w:rPr>
        <w:t xml:space="preserve"> </w:t>
      </w:r>
      <w:r>
        <w:t>If</w:t>
      </w:r>
      <w:r>
        <w:rPr>
          <w:spacing w:val="-2"/>
        </w:rPr>
        <w:t xml:space="preserve"> </w:t>
      </w:r>
      <w:r>
        <w:t>this</w:t>
      </w:r>
      <w:r>
        <w:rPr>
          <w:spacing w:val="1"/>
        </w:rPr>
        <w:t xml:space="preserve"> </w:t>
      </w:r>
      <w:r>
        <w:t>happens you may</w:t>
      </w:r>
      <w:r>
        <w:rPr>
          <w:spacing w:val="-3"/>
        </w:rPr>
        <w:t xml:space="preserve"> </w:t>
      </w:r>
      <w:r>
        <w:t>lose your application</w:t>
      </w:r>
      <w:r>
        <w:rPr>
          <w:spacing w:val="-2"/>
        </w:rPr>
        <w:t xml:space="preserve"> </w:t>
      </w:r>
      <w:r>
        <w:t>fee.</w:t>
      </w:r>
    </w:p>
    <w:p w14:paraId="32021607" w14:textId="77777777" w:rsidR="00671FEA" w:rsidRDefault="00BF5ACE">
      <w:pPr>
        <w:spacing w:before="119"/>
        <w:ind w:left="132"/>
      </w:pPr>
      <w:r>
        <w:t>Email</w:t>
      </w:r>
      <w:r>
        <w:rPr>
          <w:spacing w:val="-5"/>
        </w:rPr>
        <w:t xml:space="preserve"> </w:t>
      </w:r>
      <w:r>
        <w:t>address:</w:t>
      </w:r>
      <w:r>
        <w:rPr>
          <w:spacing w:val="-2"/>
        </w:rPr>
        <w:t xml:space="preserve"> </w:t>
      </w:r>
      <w:hyperlink r:id="rId9">
        <w:r>
          <w:rPr>
            <w:color w:val="0000FF"/>
            <w:u w:val="single" w:color="0000FF"/>
          </w:rPr>
          <w:t>psc@environment-agency.gov.uk</w:t>
        </w:r>
      </w:hyperlink>
      <w:r>
        <w:t>.</w:t>
      </w:r>
    </w:p>
    <w:p w14:paraId="1513CD4F" w14:textId="77777777" w:rsidR="00671FEA" w:rsidRDefault="00671FEA">
      <w:pPr>
        <w:pStyle w:val="BodyText"/>
        <w:rPr>
          <w:i w:val="0"/>
          <w:sz w:val="20"/>
        </w:rPr>
      </w:pPr>
    </w:p>
    <w:p w14:paraId="33B7FD1B" w14:textId="77777777" w:rsidR="00671FEA" w:rsidRDefault="00671FEA">
      <w:pPr>
        <w:pStyle w:val="BodyText"/>
        <w:spacing w:before="1"/>
        <w:rPr>
          <w:i w:val="0"/>
          <w:sz w:val="19"/>
        </w:rPr>
      </w:pPr>
    </w:p>
    <w:p w14:paraId="3475D17F" w14:textId="77777777" w:rsidR="00671FEA" w:rsidRDefault="00BF5ACE">
      <w:pPr>
        <w:ind w:left="132"/>
      </w:pPr>
      <w:r>
        <w:t>Postal address:</w:t>
      </w:r>
    </w:p>
    <w:p w14:paraId="26F2C310" w14:textId="77777777" w:rsidR="00671FEA" w:rsidRDefault="00BF5ACE">
      <w:pPr>
        <w:spacing w:before="38" w:line="276" w:lineRule="auto"/>
        <w:ind w:left="132" w:right="6766"/>
      </w:pPr>
      <w:r>
        <w:t>Permitting and Support Centre</w:t>
      </w:r>
      <w:r>
        <w:rPr>
          <w:spacing w:val="-59"/>
        </w:rPr>
        <w:t xml:space="preserve"> </w:t>
      </w:r>
      <w:r>
        <w:t>Quadrant</w:t>
      </w:r>
      <w:r>
        <w:rPr>
          <w:spacing w:val="1"/>
        </w:rPr>
        <w:t xml:space="preserve"> </w:t>
      </w:r>
      <w:r>
        <w:t>2</w:t>
      </w:r>
    </w:p>
    <w:p w14:paraId="4A32130E" w14:textId="77777777" w:rsidR="00671FEA" w:rsidRDefault="00BF5ACE">
      <w:pPr>
        <w:spacing w:line="276" w:lineRule="auto"/>
        <w:ind w:left="132" w:right="7427"/>
      </w:pPr>
      <w:r>
        <w:t>99 Parkway Avenue</w:t>
      </w:r>
      <w:r>
        <w:rPr>
          <w:spacing w:val="1"/>
        </w:rPr>
        <w:t xml:space="preserve"> </w:t>
      </w:r>
      <w:r>
        <w:t>Parkway Business Park</w:t>
      </w:r>
      <w:r>
        <w:rPr>
          <w:spacing w:val="-59"/>
        </w:rPr>
        <w:t xml:space="preserve"> </w:t>
      </w:r>
      <w:r>
        <w:t>Sheffield</w:t>
      </w:r>
    </w:p>
    <w:p w14:paraId="7E11DC8B" w14:textId="77777777" w:rsidR="00671FEA" w:rsidRDefault="00BF5ACE">
      <w:pPr>
        <w:ind w:left="132"/>
      </w:pPr>
      <w:r>
        <w:t>S9</w:t>
      </w:r>
      <w:r>
        <w:rPr>
          <w:spacing w:val="1"/>
        </w:rPr>
        <w:t xml:space="preserve"> </w:t>
      </w:r>
      <w:r>
        <w:t>4WF</w:t>
      </w:r>
    </w:p>
    <w:p w14:paraId="0E46C63F" w14:textId="77777777" w:rsidR="00671FEA" w:rsidRDefault="00671FEA">
      <w:pPr>
        <w:pStyle w:val="BodyText"/>
        <w:rPr>
          <w:i w:val="0"/>
          <w:sz w:val="20"/>
        </w:rPr>
      </w:pPr>
    </w:p>
    <w:p w14:paraId="4C301B34" w14:textId="77777777" w:rsidR="00671FEA" w:rsidRDefault="00671FEA">
      <w:pPr>
        <w:pStyle w:val="BodyText"/>
        <w:spacing w:before="9"/>
        <w:rPr>
          <w:i w:val="0"/>
          <w:sz w:val="29"/>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6"/>
        <w:gridCol w:w="2716"/>
      </w:tblGrid>
      <w:tr w:rsidR="00671FEA" w14:paraId="654A376A" w14:textId="77777777">
        <w:trPr>
          <w:trHeight w:val="290"/>
        </w:trPr>
        <w:tc>
          <w:tcPr>
            <w:tcW w:w="6916" w:type="dxa"/>
          </w:tcPr>
          <w:p w14:paraId="6C907C32" w14:textId="77777777" w:rsidR="00671FEA" w:rsidRDefault="00BF5ACE">
            <w:pPr>
              <w:pStyle w:val="TableParagraph"/>
              <w:ind w:left="91"/>
              <w:rPr>
                <w:b/>
              </w:rPr>
            </w:pPr>
            <w:r>
              <w:rPr>
                <w:b/>
              </w:rPr>
              <w:t>Name</w:t>
            </w:r>
          </w:p>
        </w:tc>
        <w:tc>
          <w:tcPr>
            <w:tcW w:w="2716" w:type="dxa"/>
          </w:tcPr>
          <w:p w14:paraId="7DF96FFD" w14:textId="77777777" w:rsidR="00671FEA" w:rsidRDefault="00BF5ACE">
            <w:pPr>
              <w:pStyle w:val="TableParagraph"/>
              <w:rPr>
                <w:b/>
              </w:rPr>
            </w:pPr>
            <w:r>
              <w:rPr>
                <w:b/>
              </w:rPr>
              <w:t>Date</w:t>
            </w:r>
          </w:p>
        </w:tc>
      </w:tr>
      <w:tr w:rsidR="00671FEA" w14:paraId="7EE4AFCB" w14:textId="77777777">
        <w:trPr>
          <w:trHeight w:val="289"/>
        </w:trPr>
        <w:tc>
          <w:tcPr>
            <w:tcW w:w="6916" w:type="dxa"/>
          </w:tcPr>
          <w:p w14:paraId="6B3CDD1C" w14:textId="77777777" w:rsidR="00671FEA" w:rsidRDefault="00BF5ACE">
            <w:pPr>
              <w:pStyle w:val="TableParagraph"/>
              <w:spacing w:line="250" w:lineRule="exact"/>
              <w:ind w:left="91"/>
            </w:pPr>
            <w:r>
              <w:t>Eleanor</w:t>
            </w:r>
            <w:r>
              <w:rPr>
                <w:spacing w:val="-1"/>
              </w:rPr>
              <w:t xml:space="preserve"> </w:t>
            </w:r>
            <w:r>
              <w:t>Blackeby</w:t>
            </w:r>
          </w:p>
        </w:tc>
        <w:tc>
          <w:tcPr>
            <w:tcW w:w="2716" w:type="dxa"/>
          </w:tcPr>
          <w:p w14:paraId="18FB61D4" w14:textId="77777777" w:rsidR="00671FEA" w:rsidRDefault="00BF5ACE">
            <w:pPr>
              <w:pStyle w:val="TableParagraph"/>
              <w:spacing w:line="250" w:lineRule="exact"/>
            </w:pPr>
            <w:r>
              <w:t>18/05/21</w:t>
            </w:r>
          </w:p>
        </w:tc>
      </w:tr>
    </w:tbl>
    <w:p w14:paraId="2638FE47" w14:textId="77777777" w:rsidR="00671FEA" w:rsidRDefault="00BF5ACE">
      <w:pPr>
        <w:spacing w:before="118"/>
        <w:ind w:left="132"/>
      </w:pPr>
      <w:r>
        <w:t>Authorised</w:t>
      </w:r>
      <w:r>
        <w:rPr>
          <w:spacing w:val="-2"/>
        </w:rPr>
        <w:t xml:space="preserve"> </w:t>
      </w:r>
      <w:r>
        <w:t>on</w:t>
      </w:r>
      <w:r>
        <w:rPr>
          <w:spacing w:val="-4"/>
        </w:rPr>
        <w:t xml:space="preserve"> </w:t>
      </w:r>
      <w:r>
        <w:t>behalf of the</w:t>
      </w:r>
      <w:r>
        <w:rPr>
          <w:spacing w:val="-2"/>
        </w:rPr>
        <w:t xml:space="preserve"> </w:t>
      </w:r>
      <w:r>
        <w:t xml:space="preserve">Environment </w:t>
      </w:r>
      <w:proofErr w:type="gramStart"/>
      <w:r>
        <w:t>Agency</w:t>
      </w:r>
      <w:proofErr w:type="gramEnd"/>
    </w:p>
    <w:p w14:paraId="737FA343" w14:textId="77777777" w:rsidR="00671FEA" w:rsidRDefault="00671FEA">
      <w:pPr>
        <w:sectPr w:rsidR="00671FEA">
          <w:footerReference w:type="default" r:id="rId10"/>
          <w:type w:val="continuous"/>
          <w:pgSz w:w="11910" w:h="16840"/>
          <w:pgMar w:top="1400" w:right="1020" w:bottom="560" w:left="1000" w:header="0" w:footer="378" w:gutter="0"/>
          <w:pgNumType w:start="1"/>
          <w:cols w:space="720"/>
        </w:sectPr>
      </w:pPr>
    </w:p>
    <w:p w14:paraId="02A72765" w14:textId="77777777" w:rsidR="00671FEA" w:rsidRDefault="00BF5ACE">
      <w:pPr>
        <w:pStyle w:val="Heading1"/>
        <w:spacing w:before="69"/>
      </w:pPr>
      <w:r>
        <w:lastRenderedPageBreak/>
        <w:t>Notes</w:t>
      </w:r>
    </w:p>
    <w:p w14:paraId="619F1073" w14:textId="77777777" w:rsidR="00671FEA" w:rsidRDefault="00BF5ACE">
      <w:pPr>
        <w:spacing w:before="163"/>
        <w:ind w:left="132"/>
      </w:pPr>
      <w:r>
        <w:t>These</w:t>
      </w:r>
      <w:r>
        <w:rPr>
          <w:spacing w:val="-1"/>
        </w:rPr>
        <w:t xml:space="preserve"> </w:t>
      </w:r>
      <w:r>
        <w:t>notes</w:t>
      </w:r>
      <w:r>
        <w:rPr>
          <w:spacing w:val="-2"/>
        </w:rPr>
        <w:t xml:space="preserve"> </w:t>
      </w:r>
      <w:r>
        <w:t>do</w:t>
      </w:r>
      <w:r>
        <w:rPr>
          <w:spacing w:val="-1"/>
        </w:rPr>
        <w:t xml:space="preserve"> </w:t>
      </w:r>
      <w:r>
        <w:t>not</w:t>
      </w:r>
      <w:r>
        <w:rPr>
          <w:spacing w:val="-3"/>
        </w:rPr>
        <w:t xml:space="preserve"> </w:t>
      </w:r>
      <w:r>
        <w:t>form</w:t>
      </w:r>
      <w:r>
        <w:rPr>
          <w:spacing w:val="-3"/>
        </w:rPr>
        <w:t xml:space="preserve"> </w:t>
      </w:r>
      <w:r>
        <w:t>part</w:t>
      </w:r>
      <w:r>
        <w:rPr>
          <w:spacing w:val="-1"/>
        </w:rPr>
        <w:t xml:space="preserve"> </w:t>
      </w:r>
      <w:r>
        <w:t>of</w:t>
      </w:r>
      <w:r>
        <w:rPr>
          <w:spacing w:val="3"/>
        </w:rPr>
        <w:t xml:space="preserve"> </w:t>
      </w:r>
      <w:r>
        <w:t>this</w:t>
      </w:r>
      <w:r>
        <w:rPr>
          <w:spacing w:val="-2"/>
        </w:rPr>
        <w:t xml:space="preserve"> </w:t>
      </w:r>
      <w:r>
        <w:t>notice.</w:t>
      </w:r>
    </w:p>
    <w:p w14:paraId="2E4705EA" w14:textId="77777777" w:rsidR="00671FEA" w:rsidRDefault="00BF5ACE">
      <w:pPr>
        <w:spacing w:before="157" w:line="276" w:lineRule="auto"/>
        <w:ind w:left="132" w:right="187"/>
      </w:pPr>
      <w:r>
        <w:t xml:space="preserve">Please note that we charge £1,200 where we </w:t>
      </w:r>
      <w:proofErr w:type="gramStart"/>
      <w:r>
        <w:t>have to</w:t>
      </w:r>
      <w:proofErr w:type="gramEnd"/>
      <w:r>
        <w:t xml:space="preserve"> send a third or subsequent information</w:t>
      </w:r>
      <w:r>
        <w:rPr>
          <w:spacing w:val="1"/>
        </w:rPr>
        <w:t xml:space="preserve"> </w:t>
      </w:r>
      <w:r>
        <w:t>notice in relation to the same issue. We consider this to be the first notice on the issues covered in</w:t>
      </w:r>
      <w:r>
        <w:rPr>
          <w:spacing w:val="-59"/>
        </w:rPr>
        <w:t xml:space="preserve"> </w:t>
      </w:r>
      <w:r>
        <w:t>this notice.</w:t>
      </w:r>
    </w:p>
    <w:p w14:paraId="75BAAF55" w14:textId="77777777" w:rsidR="00671FEA" w:rsidRDefault="00BF5ACE">
      <w:pPr>
        <w:spacing w:before="121" w:line="276" w:lineRule="auto"/>
        <w:ind w:left="132" w:right="565"/>
      </w:pPr>
      <w:r>
        <w:t>The notes in italics that appear after questions in the attached schedule do not form part of the</w:t>
      </w:r>
      <w:r>
        <w:rPr>
          <w:spacing w:val="-59"/>
        </w:rPr>
        <w:t xml:space="preserve"> </w:t>
      </w:r>
      <w:r>
        <w:t>notice.</w:t>
      </w:r>
      <w:r>
        <w:rPr>
          <w:spacing w:val="-2"/>
        </w:rPr>
        <w:t xml:space="preserve"> </w:t>
      </w:r>
      <w:r>
        <w:t>The</w:t>
      </w:r>
      <w:r>
        <w:rPr>
          <w:spacing w:val="-2"/>
        </w:rPr>
        <w:t xml:space="preserve"> </w:t>
      </w:r>
      <w:r>
        <w:t>notes are intended to</w:t>
      </w:r>
      <w:r>
        <w:rPr>
          <w:spacing w:val="-3"/>
        </w:rPr>
        <w:t xml:space="preserve"> </w:t>
      </w:r>
      <w:r>
        <w:t>assist</w:t>
      </w:r>
      <w:r>
        <w:rPr>
          <w:spacing w:val="-1"/>
        </w:rPr>
        <w:t xml:space="preserve"> </w:t>
      </w:r>
      <w:r>
        <w:t>you in providing</w:t>
      </w:r>
      <w:r>
        <w:rPr>
          <w:spacing w:val="2"/>
        </w:rPr>
        <w:t xml:space="preserve"> </w:t>
      </w:r>
      <w:r>
        <w:t>a</w:t>
      </w:r>
      <w:r>
        <w:rPr>
          <w:spacing w:val="-4"/>
        </w:rPr>
        <w:t xml:space="preserve"> </w:t>
      </w:r>
      <w:r>
        <w:t>full</w:t>
      </w:r>
      <w:r>
        <w:rPr>
          <w:spacing w:val="-1"/>
        </w:rPr>
        <w:t xml:space="preserve"> </w:t>
      </w:r>
      <w:r>
        <w:t>response.</w:t>
      </w:r>
    </w:p>
    <w:p w14:paraId="15E53B1B" w14:textId="77777777" w:rsidR="00671FEA" w:rsidRDefault="00671FEA">
      <w:pPr>
        <w:spacing w:line="276" w:lineRule="auto"/>
        <w:sectPr w:rsidR="00671FEA">
          <w:pgSz w:w="11910" w:h="16840"/>
          <w:pgMar w:top="1040" w:right="1020" w:bottom="560" w:left="1000" w:header="0" w:footer="378" w:gutter="0"/>
          <w:cols w:space="720"/>
        </w:sectPr>
      </w:pPr>
    </w:p>
    <w:p w14:paraId="16192B97" w14:textId="77777777" w:rsidR="00671FEA" w:rsidRDefault="00BF5ACE">
      <w:pPr>
        <w:pStyle w:val="Heading1"/>
        <w:spacing w:before="69"/>
      </w:pPr>
      <w:r>
        <w:lastRenderedPageBreak/>
        <w:t>Schedule</w:t>
      </w:r>
    </w:p>
    <w:p w14:paraId="5EA9FCD8" w14:textId="77777777" w:rsidR="00671FEA" w:rsidRDefault="00671FEA">
      <w:pPr>
        <w:pStyle w:val="BodyText"/>
        <w:rPr>
          <w:b/>
          <w:i w:val="0"/>
          <w:sz w:val="24"/>
        </w:rPr>
      </w:pPr>
    </w:p>
    <w:p w14:paraId="3A55E521" w14:textId="77777777" w:rsidR="00671FEA" w:rsidRDefault="00671FEA">
      <w:pPr>
        <w:pStyle w:val="BodyText"/>
        <w:spacing w:before="1"/>
        <w:rPr>
          <w:b/>
          <w:i w:val="0"/>
          <w:sz w:val="26"/>
        </w:rPr>
      </w:pPr>
    </w:p>
    <w:p w14:paraId="0C43E3BB" w14:textId="77777777" w:rsidR="00671FEA" w:rsidRDefault="00BF5ACE">
      <w:pPr>
        <w:spacing w:line="276" w:lineRule="auto"/>
        <w:ind w:left="132" w:right="897"/>
        <w:rPr>
          <w:b/>
        </w:rPr>
      </w:pPr>
      <w:r>
        <w:rPr>
          <w:b/>
        </w:rPr>
        <w:t>Supplementary Hydrogeological Risk Assessment (SLR Ltd, 422.07154.00002, Rev 6,</w:t>
      </w:r>
      <w:r>
        <w:rPr>
          <w:b/>
          <w:spacing w:val="-59"/>
        </w:rPr>
        <w:t xml:space="preserve"> </w:t>
      </w:r>
      <w:r>
        <w:rPr>
          <w:b/>
        </w:rPr>
        <w:t>August 2020)</w:t>
      </w:r>
      <w:r>
        <w:rPr>
          <w:b/>
          <w:spacing w:val="2"/>
        </w:rPr>
        <w:t xml:space="preserve"> </w:t>
      </w:r>
      <w:r>
        <w:rPr>
          <w:b/>
        </w:rPr>
        <w:t>(Supplementary</w:t>
      </w:r>
      <w:r>
        <w:rPr>
          <w:b/>
          <w:spacing w:val="-3"/>
        </w:rPr>
        <w:t xml:space="preserve"> </w:t>
      </w:r>
      <w:r>
        <w:rPr>
          <w:b/>
        </w:rPr>
        <w:t>HRA)</w:t>
      </w:r>
    </w:p>
    <w:p w14:paraId="23842E04" w14:textId="0209BE7C" w:rsidR="00671FEA" w:rsidRDefault="00BF5ACE">
      <w:pPr>
        <w:pStyle w:val="ListParagraph"/>
        <w:numPr>
          <w:ilvl w:val="0"/>
          <w:numId w:val="1"/>
        </w:numPr>
        <w:tabs>
          <w:tab w:val="left" w:pos="854"/>
        </w:tabs>
        <w:spacing w:before="121" w:line="276" w:lineRule="auto"/>
        <w:ind w:right="473"/>
      </w:pPr>
      <w:r>
        <w:t>Provide evidence to support the statement that Brockham’s current reservoir pressure is</w:t>
      </w:r>
      <w:r>
        <w:rPr>
          <w:spacing w:val="-59"/>
        </w:rPr>
        <w:t xml:space="preserve"> </w:t>
      </w:r>
      <w:r>
        <w:t>50% and that restoration to 65% to 80% of original pressure is in line with ‘good oilfield</w:t>
      </w:r>
      <w:r>
        <w:rPr>
          <w:spacing w:val="1"/>
        </w:rPr>
        <w:t xml:space="preserve"> </w:t>
      </w:r>
      <w:r>
        <w:t>practice’.</w:t>
      </w:r>
    </w:p>
    <w:p w14:paraId="1D5A3101" w14:textId="2D578FC5" w:rsidR="00A55021" w:rsidRPr="00B246AC" w:rsidRDefault="00A55021" w:rsidP="00AA165B">
      <w:pPr>
        <w:pStyle w:val="ListParagraph"/>
        <w:ind w:left="0" w:firstLine="0"/>
        <w:jc w:val="both"/>
        <w:rPr>
          <w:color w:val="FF0000"/>
        </w:rPr>
      </w:pPr>
      <w:r w:rsidRPr="00B246AC">
        <w:rPr>
          <w:color w:val="FF0000"/>
        </w:rPr>
        <w:t>It should be noted that when referring to reservoir pressure we are referring to the oil</w:t>
      </w:r>
      <w:r w:rsidR="00216F5B">
        <w:rPr>
          <w:color w:val="FF0000"/>
        </w:rPr>
        <w:t xml:space="preserve"> zone of the</w:t>
      </w:r>
      <w:r w:rsidRPr="00B246AC">
        <w:rPr>
          <w:color w:val="FF0000"/>
        </w:rPr>
        <w:t xml:space="preserve"> reservoir. The pressure in the </w:t>
      </w:r>
      <w:r w:rsidR="00216F5B">
        <w:rPr>
          <w:color w:val="FF0000"/>
        </w:rPr>
        <w:t>water zone</w:t>
      </w:r>
      <w:r w:rsidRPr="00B246AC">
        <w:rPr>
          <w:color w:val="FF0000"/>
        </w:rPr>
        <w:t xml:space="preserve">, where the injection well is completed, will be approximately constant regardless of proposed or past operational activities.  The oil </w:t>
      </w:r>
      <w:r w:rsidR="00216F5B">
        <w:rPr>
          <w:color w:val="FF0000"/>
        </w:rPr>
        <w:t>zone</w:t>
      </w:r>
      <w:r w:rsidRPr="00B246AC">
        <w:rPr>
          <w:color w:val="FF0000"/>
        </w:rPr>
        <w:t xml:space="preserve">, whilst in communication with the </w:t>
      </w:r>
      <w:r w:rsidR="00216F5B">
        <w:rPr>
          <w:color w:val="FF0000"/>
        </w:rPr>
        <w:t>water zone</w:t>
      </w:r>
      <w:r w:rsidR="00216F5B" w:rsidRPr="00B246AC">
        <w:rPr>
          <w:color w:val="FF0000"/>
        </w:rPr>
        <w:t xml:space="preserve"> </w:t>
      </w:r>
      <w:r w:rsidRPr="00B246AC">
        <w:rPr>
          <w:color w:val="FF0000"/>
        </w:rPr>
        <w:t xml:space="preserve">below is not affected quickly by the higher pressure because permeability is </w:t>
      </w:r>
      <w:proofErr w:type="gramStart"/>
      <w:r w:rsidRPr="00B246AC">
        <w:rPr>
          <w:color w:val="FF0000"/>
        </w:rPr>
        <w:t>low</w:t>
      </w:r>
      <w:proofErr w:type="gramEnd"/>
      <w:r w:rsidRPr="00B246AC">
        <w:rPr>
          <w:color w:val="FF0000"/>
        </w:rPr>
        <w:t xml:space="preserve"> and the water cannot expand significantly because it is incompressible. There has been a movement of water into the oil </w:t>
      </w:r>
      <w:r w:rsidR="00216F5B">
        <w:rPr>
          <w:color w:val="FF0000"/>
        </w:rPr>
        <w:t>zone</w:t>
      </w:r>
      <w:r w:rsidRPr="00B246AC">
        <w:rPr>
          <w:color w:val="FF0000"/>
        </w:rPr>
        <w:t xml:space="preserve"> over the last 30 </w:t>
      </w:r>
      <w:proofErr w:type="gramStart"/>
      <w:r w:rsidRPr="00B246AC">
        <w:rPr>
          <w:color w:val="FF0000"/>
        </w:rPr>
        <w:t>years</w:t>
      </w:r>
      <w:proofErr w:type="gramEnd"/>
      <w:r w:rsidRPr="00B246AC">
        <w:rPr>
          <w:color w:val="FF0000"/>
        </w:rPr>
        <w:t xml:space="preserve"> but this has been limited.</w:t>
      </w:r>
    </w:p>
    <w:p w14:paraId="2816AC76" w14:textId="4E9F0269" w:rsidR="00A55021" w:rsidRPr="00B246AC" w:rsidRDefault="00A55021" w:rsidP="00AA165B">
      <w:pPr>
        <w:pStyle w:val="ListParagraph"/>
        <w:ind w:left="0" w:firstLine="0"/>
        <w:jc w:val="both"/>
        <w:rPr>
          <w:color w:val="FF0000"/>
        </w:rPr>
      </w:pPr>
      <w:proofErr w:type="gramStart"/>
      <w:r w:rsidRPr="00B246AC">
        <w:rPr>
          <w:color w:val="FF0000"/>
        </w:rPr>
        <w:t>However</w:t>
      </w:r>
      <w:proofErr w:type="gramEnd"/>
      <w:r w:rsidRPr="00B246AC">
        <w:rPr>
          <w:color w:val="FF0000"/>
        </w:rPr>
        <w:t xml:space="preserve"> water injected into the </w:t>
      </w:r>
      <w:r w:rsidR="00216F5B">
        <w:rPr>
          <w:color w:val="FF0000"/>
        </w:rPr>
        <w:t>water zone</w:t>
      </w:r>
      <w:r w:rsidR="00216F5B" w:rsidRPr="00B246AC">
        <w:rPr>
          <w:color w:val="FF0000"/>
        </w:rPr>
        <w:t xml:space="preserve"> </w:t>
      </w:r>
      <w:r w:rsidRPr="00B246AC">
        <w:rPr>
          <w:color w:val="FF0000"/>
        </w:rPr>
        <w:t xml:space="preserve">will find its way upward into the oil </w:t>
      </w:r>
      <w:r w:rsidR="00216F5B">
        <w:rPr>
          <w:color w:val="FF0000"/>
        </w:rPr>
        <w:t>zone</w:t>
      </w:r>
      <w:r w:rsidR="00216F5B" w:rsidRPr="00B246AC">
        <w:rPr>
          <w:color w:val="FF0000"/>
        </w:rPr>
        <w:t xml:space="preserve"> </w:t>
      </w:r>
      <w:r w:rsidRPr="00B246AC">
        <w:rPr>
          <w:color w:val="FF0000"/>
        </w:rPr>
        <w:t xml:space="preserve">more swiftly and will tend to equalise the pressure in the oil </w:t>
      </w:r>
      <w:r w:rsidR="00216F5B">
        <w:rPr>
          <w:color w:val="FF0000"/>
        </w:rPr>
        <w:t>zone</w:t>
      </w:r>
      <w:r w:rsidR="00216F5B" w:rsidRPr="00B246AC">
        <w:rPr>
          <w:color w:val="FF0000"/>
        </w:rPr>
        <w:t xml:space="preserve"> </w:t>
      </w:r>
      <w:r w:rsidRPr="00B246AC">
        <w:rPr>
          <w:color w:val="FF0000"/>
        </w:rPr>
        <w:t xml:space="preserve">with the </w:t>
      </w:r>
      <w:r w:rsidR="00216F5B">
        <w:rPr>
          <w:color w:val="FF0000"/>
        </w:rPr>
        <w:t>water zone</w:t>
      </w:r>
      <w:r w:rsidRPr="00B246AC">
        <w:rPr>
          <w:color w:val="FF0000"/>
        </w:rPr>
        <w:t xml:space="preserve">. </w:t>
      </w:r>
      <w:r w:rsidR="00C93FC4" w:rsidRPr="00B246AC">
        <w:rPr>
          <w:color w:val="FF0000"/>
        </w:rPr>
        <w:t>G</w:t>
      </w:r>
      <w:r w:rsidRPr="00B246AC">
        <w:rPr>
          <w:color w:val="FF0000"/>
        </w:rPr>
        <w:t xml:space="preserve">iven the extent of the aquifer c.600 </w:t>
      </w:r>
      <w:proofErr w:type="spellStart"/>
      <w:r w:rsidRPr="00B246AC">
        <w:rPr>
          <w:color w:val="FF0000"/>
        </w:rPr>
        <w:t>mmbbls</w:t>
      </w:r>
      <w:proofErr w:type="spellEnd"/>
      <w:r w:rsidRPr="00B246AC">
        <w:rPr>
          <w:color w:val="FF0000"/>
        </w:rPr>
        <w:t xml:space="preserve"> or 95</w:t>
      </w:r>
      <w:r w:rsidR="00F12B88">
        <w:rPr>
          <w:color w:val="FF0000"/>
        </w:rPr>
        <w:t xml:space="preserve"> million </w:t>
      </w:r>
      <w:r w:rsidRPr="00B246AC">
        <w:rPr>
          <w:color w:val="FF0000"/>
        </w:rPr>
        <w:t>m</w:t>
      </w:r>
      <w:r w:rsidRPr="00224EDE">
        <w:rPr>
          <w:color w:val="FF0000"/>
          <w:vertAlign w:val="superscript"/>
        </w:rPr>
        <w:t>3</w:t>
      </w:r>
      <w:r w:rsidRPr="00B246AC">
        <w:rPr>
          <w:color w:val="FF0000"/>
        </w:rPr>
        <w:t xml:space="preserve"> (reference most recent mapping and central case reservoir assumptions from Xodus and Tracs reports), the proposed injection activities of 150 bbls/day or 24m</w:t>
      </w:r>
      <w:r w:rsidRPr="00224EDE">
        <w:rPr>
          <w:color w:val="FF0000"/>
          <w:vertAlign w:val="superscript"/>
        </w:rPr>
        <w:t>3</w:t>
      </w:r>
      <w:r w:rsidRPr="00B246AC">
        <w:rPr>
          <w:color w:val="FF0000"/>
        </w:rPr>
        <w:t xml:space="preserve"> will never appreciably affect the pressure of the aquifer.  The proof of this and the safety of the </w:t>
      </w:r>
      <w:r w:rsidR="00216F5B">
        <w:rPr>
          <w:color w:val="FF0000"/>
        </w:rPr>
        <w:t>formation</w:t>
      </w:r>
      <w:r w:rsidR="00216F5B" w:rsidRPr="00B246AC">
        <w:rPr>
          <w:color w:val="FF0000"/>
        </w:rPr>
        <w:t xml:space="preserve"> </w:t>
      </w:r>
      <w:r w:rsidRPr="00B246AC">
        <w:rPr>
          <w:color w:val="FF0000"/>
        </w:rPr>
        <w:t>from overpressure, is confirmed in our answer to questions 3 &amp; 5 below.</w:t>
      </w:r>
    </w:p>
    <w:p w14:paraId="3CE1C02F" w14:textId="77777777" w:rsidR="00A55021" w:rsidRPr="00B246AC" w:rsidRDefault="00A55021" w:rsidP="00AA165B">
      <w:pPr>
        <w:jc w:val="both"/>
        <w:rPr>
          <w:color w:val="FF0000"/>
        </w:rPr>
      </w:pPr>
    </w:p>
    <w:p w14:paraId="5F86F501" w14:textId="26EB846B" w:rsidR="00A55021" w:rsidRPr="00B246AC" w:rsidRDefault="00A55021" w:rsidP="00AA165B">
      <w:pPr>
        <w:jc w:val="both"/>
        <w:rPr>
          <w:color w:val="FF0000"/>
        </w:rPr>
      </w:pPr>
      <w:r w:rsidRPr="00B246AC">
        <w:rPr>
          <w:color w:val="FF0000"/>
        </w:rPr>
        <w:t xml:space="preserve">As regards pressure in the oil </w:t>
      </w:r>
      <w:r w:rsidR="00216F5B">
        <w:rPr>
          <w:color w:val="FF0000"/>
        </w:rPr>
        <w:t>zone</w:t>
      </w:r>
      <w:r w:rsidRPr="00B246AC">
        <w:rPr>
          <w:color w:val="FF0000"/>
        </w:rPr>
        <w:t>, this can, of course, only be measured from the production well.  The previous estimate of reservoir pressure was based on the original oil reservoir pressure of 930 psi at 630m BRT from BP original well test of 1987 and the net volume of 68,480 m3 or 428,000 barrels removed from an original estimated Original Oil in Place figure of 2.79mmbbls STOIIP (reference Xodus). The reservoir pressure estimate was therefore a function of the mass balance in the reservoir [see Q 4]. On this basis, as stated, we would have expected the pressure to be about 50%.</w:t>
      </w:r>
    </w:p>
    <w:p w14:paraId="57721DE6" w14:textId="77777777" w:rsidR="00A55021" w:rsidRPr="00B246AC" w:rsidRDefault="00A55021" w:rsidP="00AA165B">
      <w:pPr>
        <w:pStyle w:val="ListParagraph"/>
        <w:ind w:left="0" w:firstLine="0"/>
        <w:jc w:val="both"/>
        <w:rPr>
          <w:color w:val="FF0000"/>
        </w:rPr>
      </w:pPr>
      <w:r w:rsidRPr="00B246AC">
        <w:rPr>
          <w:color w:val="FF0000"/>
        </w:rPr>
        <w:t xml:space="preserve">It has proven to be impossible to obtain steady and consistent direct downhole pressure readings because the well has been shut in for such lengthy periods of time that it now needs to be flowed to remove accumulated waxy oil and other blockages which lead to inconsistent fluid flow and fluid density.  Once production strings are in place it is then not possible, without the considerable expense of removing and then putting back the production strings, to obtain regular direct downhole pressure readings.  </w:t>
      </w:r>
    </w:p>
    <w:p w14:paraId="4FF1E808" w14:textId="77777777" w:rsidR="00A55021" w:rsidRPr="00B246AC" w:rsidRDefault="00A55021" w:rsidP="00AA165B">
      <w:pPr>
        <w:jc w:val="both"/>
        <w:rPr>
          <w:color w:val="FF0000"/>
        </w:rPr>
      </w:pPr>
    </w:p>
    <w:p w14:paraId="0E5F4ED4" w14:textId="77777777" w:rsidR="00A55021" w:rsidRPr="00B246AC" w:rsidRDefault="00A55021" w:rsidP="00AA165B">
      <w:pPr>
        <w:pStyle w:val="ListParagraph"/>
        <w:ind w:left="0" w:firstLine="0"/>
        <w:jc w:val="both"/>
        <w:rPr>
          <w:color w:val="FF0000"/>
        </w:rPr>
      </w:pPr>
      <w:r w:rsidRPr="00B246AC">
        <w:rPr>
          <w:color w:val="FF0000"/>
        </w:rPr>
        <w:t>However, following pumping of the well to clear the annulus, it is reasonable (and a commonplace substitute), to use echometer readings on the annulus to determine the level of fluid therein after it has been allowed to rise again fully, and so derive a calculated downhole pressure figure.  The last such echometer reading (June 2021) indicated a calculated downhole oil reservoir pressure of 470 psi.  This is approximately 50% of original pressure and accords well with our approximations from mass balance calculations of fluid removed and injected over 30 years.</w:t>
      </w:r>
    </w:p>
    <w:p w14:paraId="795FDF46" w14:textId="77777777" w:rsidR="00A55021" w:rsidRPr="00B246AC" w:rsidRDefault="00A55021" w:rsidP="00AA165B">
      <w:pPr>
        <w:jc w:val="both"/>
        <w:rPr>
          <w:color w:val="FF0000"/>
        </w:rPr>
      </w:pPr>
    </w:p>
    <w:p w14:paraId="6E056C79" w14:textId="11E16EC7" w:rsidR="00A55021" w:rsidRPr="00B246AC" w:rsidRDefault="00A55021" w:rsidP="00AA165B">
      <w:pPr>
        <w:pStyle w:val="ListParagraph"/>
        <w:ind w:left="0" w:firstLine="0"/>
        <w:jc w:val="both"/>
        <w:rPr>
          <w:color w:val="FF0000"/>
        </w:rPr>
      </w:pPr>
      <w:proofErr w:type="gramStart"/>
      <w:r w:rsidRPr="00B246AC">
        <w:rPr>
          <w:color w:val="FF0000"/>
        </w:rPr>
        <w:t>With regard to</w:t>
      </w:r>
      <w:proofErr w:type="gramEnd"/>
      <w:r w:rsidRPr="00B246AC">
        <w:rPr>
          <w:color w:val="FF0000"/>
        </w:rPr>
        <w:t xml:space="preserve"> best practice in water injection, the voidage replacement ratio affects the ultimate recovery from the field. However, it is recognised that this effect is variable as in the OGA publication “Recovery Factor Benchmarking September 2017” </w:t>
      </w:r>
      <w:r w:rsidR="00C93FC4" w:rsidRPr="00B246AC">
        <w:rPr>
          <w:color w:val="FF0000"/>
        </w:rPr>
        <w:t xml:space="preserve">which paper considers a </w:t>
      </w:r>
      <w:r w:rsidRPr="00B246AC">
        <w:rPr>
          <w:color w:val="FF0000"/>
        </w:rPr>
        <w:t>higher</w:t>
      </w:r>
      <w:r w:rsidR="00F12B88">
        <w:rPr>
          <w:color w:val="FF0000"/>
        </w:rPr>
        <w:t xml:space="preserve"> </w:t>
      </w:r>
      <w:proofErr w:type="spellStart"/>
      <w:r w:rsidRPr="00B246AC">
        <w:rPr>
          <w:color w:val="FF0000"/>
        </w:rPr>
        <w:t>voidage</w:t>
      </w:r>
      <w:proofErr w:type="spellEnd"/>
      <w:r w:rsidRPr="00B246AC">
        <w:rPr>
          <w:color w:val="FF0000"/>
        </w:rPr>
        <w:t xml:space="preserve"> replacement ratio </w:t>
      </w:r>
      <w:r w:rsidR="00C93FC4" w:rsidRPr="00B246AC">
        <w:rPr>
          <w:color w:val="FF0000"/>
        </w:rPr>
        <w:t xml:space="preserve">to be </w:t>
      </w:r>
      <w:r w:rsidRPr="00B246AC">
        <w:rPr>
          <w:color w:val="FF0000"/>
        </w:rPr>
        <w:t>generally beneficial</w:t>
      </w:r>
      <w:r w:rsidR="008D6D16" w:rsidRPr="00B246AC">
        <w:rPr>
          <w:color w:val="FF0000"/>
        </w:rPr>
        <w:t>.</w:t>
      </w:r>
    </w:p>
    <w:p w14:paraId="4326B505" w14:textId="77777777" w:rsidR="008D6D16" w:rsidRPr="00B246AC" w:rsidRDefault="008D6D16" w:rsidP="00AA165B">
      <w:pPr>
        <w:pStyle w:val="ListParagraph"/>
        <w:tabs>
          <w:tab w:val="left" w:pos="854"/>
        </w:tabs>
        <w:spacing w:before="121" w:line="276" w:lineRule="auto"/>
        <w:ind w:left="0" w:right="473" w:firstLine="0"/>
        <w:jc w:val="both"/>
        <w:rPr>
          <w:color w:val="FF0000"/>
        </w:rPr>
      </w:pPr>
    </w:p>
    <w:p w14:paraId="3EFB4933" w14:textId="3443B43F" w:rsidR="008D6D16" w:rsidRPr="00B246AC" w:rsidRDefault="008D6D16" w:rsidP="00AA165B">
      <w:pPr>
        <w:jc w:val="both"/>
        <w:rPr>
          <w:color w:val="FF0000"/>
        </w:rPr>
      </w:pPr>
      <w:r w:rsidRPr="00B246AC">
        <w:rPr>
          <w:color w:val="FF0000"/>
        </w:rPr>
        <w:t xml:space="preserve">The paper “International Reservoir Management Strategies for Development of Water Injection Planning Project Proceedings of the 2016 International Conference on Industrial Engineering and Operations Management Detroit, Michigan, USA, September 23-25, 2016” provides a good study into optimisation of voidage replacement ratios and concludes that a VRR of 0.75 appears to achieve the best results. Recognising uncertainty, we have proposed up to 0.8. </w:t>
      </w:r>
    </w:p>
    <w:p w14:paraId="3812C545" w14:textId="77777777" w:rsidR="008D6D16" w:rsidRPr="00370D33" w:rsidRDefault="008D6D16" w:rsidP="00A55021">
      <w:pPr>
        <w:pStyle w:val="ListParagraph"/>
        <w:ind w:firstLine="0"/>
        <w:rPr>
          <w:color w:val="FF0000"/>
        </w:rPr>
      </w:pPr>
    </w:p>
    <w:p w14:paraId="4ADD3CC4" w14:textId="77777777" w:rsidR="00A55021" w:rsidRDefault="00A55021" w:rsidP="00A55021">
      <w:pPr>
        <w:pStyle w:val="ListParagraph"/>
        <w:tabs>
          <w:tab w:val="left" w:pos="854"/>
        </w:tabs>
        <w:spacing w:before="121" w:line="276" w:lineRule="auto"/>
        <w:ind w:right="473" w:firstLine="0"/>
      </w:pPr>
    </w:p>
    <w:p w14:paraId="20E601F5" w14:textId="7BDF6DF2" w:rsidR="00671FEA" w:rsidRPr="00B246AC" w:rsidRDefault="00BF5ACE">
      <w:pPr>
        <w:pStyle w:val="ListParagraph"/>
        <w:numPr>
          <w:ilvl w:val="0"/>
          <w:numId w:val="1"/>
        </w:numPr>
        <w:tabs>
          <w:tab w:val="left" w:pos="854"/>
        </w:tabs>
        <w:spacing w:before="121" w:line="276" w:lineRule="auto"/>
        <w:ind w:right="1065"/>
      </w:pPr>
      <w:r w:rsidRPr="00B246AC">
        <w:lastRenderedPageBreak/>
        <w:t>Provide supporting documents for all relevant procedures and monitoring systems</w:t>
      </w:r>
      <w:r w:rsidRPr="00B246AC">
        <w:rPr>
          <w:spacing w:val="-59"/>
        </w:rPr>
        <w:t xml:space="preserve"> </w:t>
      </w:r>
      <w:r w:rsidRPr="00B246AC">
        <w:t>referenced</w:t>
      </w:r>
      <w:r w:rsidRPr="00B246AC">
        <w:rPr>
          <w:spacing w:val="-1"/>
        </w:rPr>
        <w:t xml:space="preserve"> </w:t>
      </w:r>
      <w:r w:rsidRPr="00B246AC">
        <w:t>as</w:t>
      </w:r>
      <w:r w:rsidRPr="00B246AC">
        <w:rPr>
          <w:spacing w:val="-2"/>
        </w:rPr>
        <w:t xml:space="preserve"> </w:t>
      </w:r>
      <w:r w:rsidRPr="00B246AC">
        <w:t>‘robust</w:t>
      </w:r>
      <w:r w:rsidRPr="00B246AC">
        <w:rPr>
          <w:spacing w:val="1"/>
        </w:rPr>
        <w:t xml:space="preserve"> </w:t>
      </w:r>
      <w:r w:rsidRPr="00B246AC">
        <w:t>procedures’ in section</w:t>
      </w:r>
      <w:r w:rsidRPr="00B246AC">
        <w:rPr>
          <w:spacing w:val="-1"/>
        </w:rPr>
        <w:t xml:space="preserve"> </w:t>
      </w:r>
      <w:r w:rsidRPr="00B246AC">
        <w:t>2.2.</w:t>
      </w:r>
    </w:p>
    <w:p w14:paraId="75AFF122" w14:textId="77777777" w:rsidR="00B246AC" w:rsidRPr="00B246AC" w:rsidRDefault="00B246AC" w:rsidP="00B246AC">
      <w:pPr>
        <w:pStyle w:val="BodyText"/>
        <w:spacing w:before="119" w:line="276" w:lineRule="auto"/>
        <w:ind w:left="853" w:right="376"/>
        <w:rPr>
          <w:i w:val="0"/>
          <w:iCs w:val="0"/>
          <w:color w:val="FF0000"/>
        </w:rPr>
      </w:pPr>
      <w:r w:rsidRPr="00B246AC">
        <w:rPr>
          <w:i w:val="0"/>
          <w:iCs w:val="0"/>
          <w:color w:val="FF0000"/>
        </w:rPr>
        <w:t xml:space="preserve">Section 2.1 of procedure </w:t>
      </w:r>
      <w:r w:rsidRPr="00B246AC">
        <w:rPr>
          <w:i w:val="0"/>
          <w:iCs w:val="0"/>
          <w:color w:val="FF0000"/>
          <w:lang w:val="pt-PT" w:eastAsia="en-GB" w:bidi="en-GB"/>
        </w:rPr>
        <w:t>BRO-ANGPR-O0004-3 has been amended.</w:t>
      </w:r>
    </w:p>
    <w:p w14:paraId="4589E848" w14:textId="77777777" w:rsidR="00B246AC" w:rsidRPr="00B246AC" w:rsidRDefault="00B246AC" w:rsidP="00B246AC">
      <w:pPr>
        <w:pStyle w:val="ListParagraph"/>
        <w:tabs>
          <w:tab w:val="left" w:pos="854"/>
        </w:tabs>
        <w:spacing w:before="121" w:line="276" w:lineRule="auto"/>
        <w:ind w:right="1065" w:firstLine="0"/>
      </w:pPr>
    </w:p>
    <w:p w14:paraId="32E5D7D1" w14:textId="77777777" w:rsidR="00671FEA" w:rsidRDefault="00BF5ACE">
      <w:pPr>
        <w:pStyle w:val="BodyText"/>
        <w:spacing w:before="119" w:line="276" w:lineRule="auto"/>
        <w:ind w:left="493" w:right="376"/>
      </w:pPr>
      <w:r w:rsidRPr="00B246AC">
        <w:t>Section 2.2 sets out the ‘robust procedures’ in place to ensure the compatibility and</w:t>
      </w:r>
      <w:r w:rsidRPr="00B246AC">
        <w:rPr>
          <w:spacing w:val="1"/>
        </w:rPr>
        <w:t xml:space="preserve"> </w:t>
      </w:r>
      <w:r w:rsidRPr="00B246AC">
        <w:t>management of water to be injected. Comments are made about monitoring frequencies and</w:t>
      </w:r>
      <w:r w:rsidRPr="00B246AC">
        <w:rPr>
          <w:spacing w:val="-59"/>
        </w:rPr>
        <w:t xml:space="preserve"> </w:t>
      </w:r>
      <w:r w:rsidRPr="00B246AC">
        <w:t>checks but no detail is provided.</w:t>
      </w:r>
      <w:r w:rsidRPr="00B246AC">
        <w:rPr>
          <w:spacing w:val="1"/>
        </w:rPr>
        <w:t xml:space="preserve"> </w:t>
      </w:r>
      <w:r w:rsidRPr="00B246AC">
        <w:t>For example, we need to know how brine compatibility</w:t>
      </w:r>
      <w:r w:rsidRPr="00B246AC">
        <w:rPr>
          <w:spacing w:val="1"/>
        </w:rPr>
        <w:t xml:space="preserve"> </w:t>
      </w:r>
      <w:r w:rsidRPr="00B246AC">
        <w:t>checks be documented and made available for inspection. You should provide information</w:t>
      </w:r>
      <w:r w:rsidRPr="00B246AC">
        <w:rPr>
          <w:spacing w:val="1"/>
        </w:rPr>
        <w:t xml:space="preserve"> </w:t>
      </w:r>
      <w:r w:rsidRPr="00B246AC">
        <w:t>about the location and frequency of independent salinity checks and how they will be</w:t>
      </w:r>
      <w:r w:rsidRPr="00B246AC">
        <w:rPr>
          <w:spacing w:val="1"/>
        </w:rPr>
        <w:t xml:space="preserve"> </w:t>
      </w:r>
      <w:r w:rsidRPr="00B246AC">
        <w:t>undertaken.</w:t>
      </w:r>
    </w:p>
    <w:p w14:paraId="36952F2A" w14:textId="77777777" w:rsidR="00671FEA" w:rsidRDefault="00BF5ACE">
      <w:pPr>
        <w:pStyle w:val="ListParagraph"/>
        <w:numPr>
          <w:ilvl w:val="0"/>
          <w:numId w:val="1"/>
        </w:numPr>
        <w:tabs>
          <w:tab w:val="left" w:pos="854"/>
        </w:tabs>
        <w:spacing w:before="122"/>
        <w:ind w:right="470"/>
      </w:pPr>
      <w:r>
        <w:t>Explain</w:t>
      </w:r>
      <w:r>
        <w:rPr>
          <w:spacing w:val="-8"/>
        </w:rPr>
        <w:t xml:space="preserve"> </w:t>
      </w:r>
      <w:r>
        <w:t>how</w:t>
      </w:r>
      <w:r>
        <w:rPr>
          <w:spacing w:val="-9"/>
        </w:rPr>
        <w:t xml:space="preserve"> </w:t>
      </w:r>
      <w:r>
        <w:t>you</w:t>
      </w:r>
      <w:r>
        <w:rPr>
          <w:spacing w:val="-7"/>
        </w:rPr>
        <w:t xml:space="preserve"> </w:t>
      </w:r>
      <w:r>
        <w:t>will</w:t>
      </w:r>
      <w:r>
        <w:rPr>
          <w:spacing w:val="-8"/>
        </w:rPr>
        <w:t xml:space="preserve"> </w:t>
      </w:r>
      <w:r>
        <w:t>monitor</w:t>
      </w:r>
      <w:r>
        <w:rPr>
          <w:spacing w:val="-5"/>
        </w:rPr>
        <w:t xml:space="preserve"> </w:t>
      </w:r>
      <w:r>
        <w:t>bottom</w:t>
      </w:r>
      <w:r>
        <w:rPr>
          <w:spacing w:val="-11"/>
        </w:rPr>
        <w:t xml:space="preserve"> </w:t>
      </w:r>
      <w:r>
        <w:t>hole</w:t>
      </w:r>
      <w:r>
        <w:rPr>
          <w:spacing w:val="-11"/>
        </w:rPr>
        <w:t xml:space="preserve"> </w:t>
      </w:r>
      <w:r>
        <w:t>pressure</w:t>
      </w:r>
      <w:r>
        <w:rPr>
          <w:spacing w:val="-11"/>
        </w:rPr>
        <w:t xml:space="preserve"> </w:t>
      </w:r>
      <w:r>
        <w:t>in</w:t>
      </w:r>
      <w:r>
        <w:rPr>
          <w:spacing w:val="-11"/>
        </w:rPr>
        <w:t xml:space="preserve"> </w:t>
      </w:r>
      <w:r>
        <w:t>the</w:t>
      </w:r>
      <w:r>
        <w:rPr>
          <w:spacing w:val="-11"/>
        </w:rPr>
        <w:t xml:space="preserve"> </w:t>
      </w:r>
      <w:r>
        <w:t>BRX</w:t>
      </w:r>
      <w:r>
        <w:rPr>
          <w:spacing w:val="-10"/>
        </w:rPr>
        <w:t xml:space="preserve"> </w:t>
      </w:r>
      <w:r>
        <w:t>3</w:t>
      </w:r>
      <w:r>
        <w:rPr>
          <w:spacing w:val="-11"/>
        </w:rPr>
        <w:t xml:space="preserve"> </w:t>
      </w:r>
      <w:r>
        <w:t>re-injection</w:t>
      </w:r>
      <w:r>
        <w:rPr>
          <w:spacing w:val="-11"/>
        </w:rPr>
        <w:t xml:space="preserve"> </w:t>
      </w:r>
      <w:r>
        <w:t>well</w:t>
      </w:r>
      <w:r>
        <w:rPr>
          <w:spacing w:val="-12"/>
        </w:rPr>
        <w:t xml:space="preserve"> </w:t>
      </w:r>
      <w:r>
        <w:t>and</w:t>
      </w:r>
      <w:r>
        <w:rPr>
          <w:spacing w:val="-10"/>
        </w:rPr>
        <w:t xml:space="preserve"> </w:t>
      </w:r>
      <w:r>
        <w:t>your</w:t>
      </w:r>
      <w:r>
        <w:rPr>
          <w:spacing w:val="-58"/>
        </w:rPr>
        <w:t xml:space="preserve"> </w:t>
      </w:r>
      <w:r>
        <w:t>frequency</w:t>
      </w:r>
      <w:r>
        <w:rPr>
          <w:spacing w:val="-7"/>
        </w:rPr>
        <w:t xml:space="preserve"> </w:t>
      </w:r>
      <w:r>
        <w:t>of</w:t>
      </w:r>
      <w:r>
        <w:rPr>
          <w:spacing w:val="-3"/>
        </w:rPr>
        <w:t xml:space="preserve"> </w:t>
      </w:r>
      <w:r>
        <w:t>monitoring.</w:t>
      </w:r>
    </w:p>
    <w:p w14:paraId="143F279E" w14:textId="77777777" w:rsidR="00671FEA" w:rsidRDefault="00BF5ACE">
      <w:pPr>
        <w:pStyle w:val="BodyText"/>
        <w:spacing w:before="118" w:line="276" w:lineRule="auto"/>
        <w:ind w:left="132" w:right="333"/>
      </w:pPr>
      <w:r>
        <w:t>Section 2.2 of the HRA states that bottom hole pressure will be monitored periodically to verify</w:t>
      </w:r>
      <w:r>
        <w:rPr>
          <w:spacing w:val="1"/>
        </w:rPr>
        <w:t xml:space="preserve"> </w:t>
      </w:r>
      <w:r>
        <w:rPr>
          <w:spacing w:val="-1"/>
        </w:rPr>
        <w:t>execution</w:t>
      </w:r>
      <w:r>
        <w:rPr>
          <w:spacing w:val="-13"/>
        </w:rPr>
        <w:t xml:space="preserve"> </w:t>
      </w:r>
      <w:r>
        <w:rPr>
          <w:spacing w:val="-1"/>
        </w:rPr>
        <w:t>of</w:t>
      </w:r>
      <w:r>
        <w:rPr>
          <w:spacing w:val="-12"/>
        </w:rPr>
        <w:t xml:space="preserve"> </w:t>
      </w:r>
      <w:r>
        <w:rPr>
          <w:spacing w:val="-1"/>
        </w:rPr>
        <w:t>the</w:t>
      </w:r>
      <w:r>
        <w:rPr>
          <w:spacing w:val="-13"/>
        </w:rPr>
        <w:t xml:space="preserve"> </w:t>
      </w:r>
      <w:r>
        <w:rPr>
          <w:spacing w:val="-1"/>
        </w:rPr>
        <w:t>plan.</w:t>
      </w:r>
      <w:r>
        <w:rPr>
          <w:spacing w:val="-11"/>
        </w:rPr>
        <w:t xml:space="preserve"> </w:t>
      </w:r>
      <w:r>
        <w:t>You</w:t>
      </w:r>
      <w:r>
        <w:rPr>
          <w:spacing w:val="-13"/>
        </w:rPr>
        <w:t xml:space="preserve"> </w:t>
      </w:r>
      <w:r>
        <w:t>will</w:t>
      </w:r>
      <w:r>
        <w:rPr>
          <w:spacing w:val="-14"/>
        </w:rPr>
        <w:t xml:space="preserve"> </w:t>
      </w:r>
      <w:r>
        <w:t>need</w:t>
      </w:r>
      <w:r>
        <w:rPr>
          <w:spacing w:val="-12"/>
        </w:rPr>
        <w:t xml:space="preserve"> </w:t>
      </w:r>
      <w:r>
        <w:t>to</w:t>
      </w:r>
      <w:r>
        <w:rPr>
          <w:spacing w:val="-13"/>
        </w:rPr>
        <w:t xml:space="preserve"> </w:t>
      </w:r>
      <w:r>
        <w:t>confirm</w:t>
      </w:r>
      <w:r>
        <w:rPr>
          <w:spacing w:val="-12"/>
        </w:rPr>
        <w:t xml:space="preserve"> </w:t>
      </w:r>
      <w:r>
        <w:t>the</w:t>
      </w:r>
      <w:r>
        <w:rPr>
          <w:spacing w:val="-15"/>
        </w:rPr>
        <w:t xml:space="preserve"> </w:t>
      </w:r>
      <w:r>
        <w:t>frequency</w:t>
      </w:r>
      <w:r>
        <w:rPr>
          <w:spacing w:val="-13"/>
        </w:rPr>
        <w:t xml:space="preserve"> </w:t>
      </w:r>
      <w:r>
        <w:t>of</w:t>
      </w:r>
      <w:r>
        <w:rPr>
          <w:spacing w:val="-11"/>
        </w:rPr>
        <w:t xml:space="preserve"> </w:t>
      </w:r>
      <w:r>
        <w:t>your</w:t>
      </w:r>
      <w:r>
        <w:rPr>
          <w:spacing w:val="-12"/>
        </w:rPr>
        <w:t xml:space="preserve"> </w:t>
      </w:r>
      <w:r>
        <w:t>periodic</w:t>
      </w:r>
      <w:r>
        <w:rPr>
          <w:spacing w:val="-13"/>
        </w:rPr>
        <w:t xml:space="preserve"> </w:t>
      </w:r>
      <w:r>
        <w:t>monitoring</w:t>
      </w:r>
      <w:r>
        <w:rPr>
          <w:spacing w:val="-13"/>
        </w:rPr>
        <w:t xml:space="preserve"> </w:t>
      </w:r>
      <w:r>
        <w:t>of</w:t>
      </w:r>
      <w:r>
        <w:rPr>
          <w:spacing w:val="-11"/>
        </w:rPr>
        <w:t xml:space="preserve"> </w:t>
      </w:r>
      <w:r>
        <w:t>bottom</w:t>
      </w:r>
      <w:r>
        <w:rPr>
          <w:spacing w:val="-58"/>
        </w:rPr>
        <w:t xml:space="preserve"> </w:t>
      </w:r>
      <w:r>
        <w:t>hole</w:t>
      </w:r>
      <w:r>
        <w:rPr>
          <w:spacing w:val="-13"/>
        </w:rPr>
        <w:t xml:space="preserve"> </w:t>
      </w:r>
      <w:r>
        <w:t>pressure</w:t>
      </w:r>
      <w:r>
        <w:rPr>
          <w:spacing w:val="-13"/>
        </w:rPr>
        <w:t xml:space="preserve"> </w:t>
      </w:r>
      <w:r>
        <w:t>so</w:t>
      </w:r>
      <w:r>
        <w:rPr>
          <w:spacing w:val="-13"/>
        </w:rPr>
        <w:t xml:space="preserve"> </w:t>
      </w:r>
      <w:r>
        <w:t>the</w:t>
      </w:r>
      <w:r>
        <w:rPr>
          <w:spacing w:val="-13"/>
        </w:rPr>
        <w:t xml:space="preserve"> </w:t>
      </w:r>
      <w:r>
        <w:t>Environment</w:t>
      </w:r>
      <w:r>
        <w:rPr>
          <w:spacing w:val="-12"/>
        </w:rPr>
        <w:t xml:space="preserve"> </w:t>
      </w:r>
      <w:r>
        <w:t>Agency</w:t>
      </w:r>
      <w:r>
        <w:rPr>
          <w:spacing w:val="-13"/>
        </w:rPr>
        <w:t xml:space="preserve"> </w:t>
      </w:r>
      <w:r>
        <w:t>can</w:t>
      </w:r>
      <w:r>
        <w:rPr>
          <w:spacing w:val="-13"/>
        </w:rPr>
        <w:t xml:space="preserve"> </w:t>
      </w:r>
      <w:r>
        <w:t>be</w:t>
      </w:r>
      <w:r>
        <w:rPr>
          <w:spacing w:val="-13"/>
        </w:rPr>
        <w:t xml:space="preserve"> </w:t>
      </w:r>
      <w:r>
        <w:t>satisfied</w:t>
      </w:r>
      <w:r>
        <w:rPr>
          <w:spacing w:val="-13"/>
        </w:rPr>
        <w:t xml:space="preserve"> </w:t>
      </w:r>
      <w:r>
        <w:t>that</w:t>
      </w:r>
      <w:r>
        <w:rPr>
          <w:spacing w:val="-12"/>
        </w:rPr>
        <w:t xml:space="preserve"> </w:t>
      </w:r>
      <w:r>
        <w:t>this</w:t>
      </w:r>
      <w:r>
        <w:rPr>
          <w:spacing w:val="-13"/>
        </w:rPr>
        <w:t xml:space="preserve"> </w:t>
      </w:r>
      <w:r>
        <w:t>monitoring</w:t>
      </w:r>
      <w:r>
        <w:rPr>
          <w:spacing w:val="-13"/>
        </w:rPr>
        <w:t xml:space="preserve"> </w:t>
      </w:r>
      <w:r>
        <w:t>will</w:t>
      </w:r>
      <w:r>
        <w:rPr>
          <w:spacing w:val="-14"/>
        </w:rPr>
        <w:t xml:space="preserve"> </w:t>
      </w:r>
      <w:r>
        <w:t>be</w:t>
      </w:r>
      <w:r>
        <w:rPr>
          <w:spacing w:val="-13"/>
        </w:rPr>
        <w:t xml:space="preserve"> </w:t>
      </w:r>
      <w:r>
        <w:t>carried</w:t>
      </w:r>
      <w:r>
        <w:rPr>
          <w:spacing w:val="-13"/>
        </w:rPr>
        <w:t xml:space="preserve"> </w:t>
      </w:r>
      <w:r>
        <w:t>out</w:t>
      </w:r>
      <w:r>
        <w:rPr>
          <w:spacing w:val="1"/>
        </w:rPr>
        <w:t xml:space="preserve"> </w:t>
      </w:r>
      <w:r>
        <w:t>because</w:t>
      </w:r>
      <w:r>
        <w:rPr>
          <w:spacing w:val="-7"/>
        </w:rPr>
        <w:t xml:space="preserve"> </w:t>
      </w:r>
      <w:r>
        <w:t>it</w:t>
      </w:r>
      <w:r>
        <w:rPr>
          <w:spacing w:val="-5"/>
        </w:rPr>
        <w:t xml:space="preserve"> </w:t>
      </w:r>
      <w:r>
        <w:t>is</w:t>
      </w:r>
      <w:r>
        <w:rPr>
          <w:spacing w:val="-6"/>
        </w:rPr>
        <w:t xml:space="preserve"> </w:t>
      </w:r>
      <w:r>
        <w:t>a</w:t>
      </w:r>
      <w:r>
        <w:rPr>
          <w:spacing w:val="-7"/>
        </w:rPr>
        <w:t xml:space="preserve"> </w:t>
      </w:r>
      <w:r>
        <w:t>mitigation</w:t>
      </w:r>
      <w:r>
        <w:rPr>
          <w:spacing w:val="-4"/>
        </w:rPr>
        <w:t xml:space="preserve"> </w:t>
      </w:r>
      <w:r>
        <w:t>measure</w:t>
      </w:r>
      <w:r>
        <w:rPr>
          <w:spacing w:val="-6"/>
        </w:rPr>
        <w:t xml:space="preserve"> </w:t>
      </w:r>
      <w:r>
        <w:t>for</w:t>
      </w:r>
      <w:r>
        <w:rPr>
          <w:spacing w:val="-9"/>
        </w:rPr>
        <w:t xml:space="preserve"> </w:t>
      </w:r>
      <w:r>
        <w:t>the</w:t>
      </w:r>
      <w:r>
        <w:rPr>
          <w:spacing w:val="-6"/>
        </w:rPr>
        <w:t xml:space="preserve"> </w:t>
      </w:r>
      <w:r>
        <w:t>re-injection</w:t>
      </w:r>
      <w:r>
        <w:rPr>
          <w:spacing w:val="-6"/>
        </w:rPr>
        <w:t xml:space="preserve"> </w:t>
      </w:r>
      <w:r>
        <w:t>of</w:t>
      </w:r>
      <w:r>
        <w:rPr>
          <w:spacing w:val="-6"/>
        </w:rPr>
        <w:t xml:space="preserve"> </w:t>
      </w:r>
      <w:r>
        <w:t>produced</w:t>
      </w:r>
      <w:r>
        <w:rPr>
          <w:spacing w:val="-6"/>
        </w:rPr>
        <w:t xml:space="preserve"> </w:t>
      </w:r>
      <w:r>
        <w:t>water.</w:t>
      </w:r>
    </w:p>
    <w:p w14:paraId="55DF8534" w14:textId="01B0B276" w:rsidR="00671FEA" w:rsidRDefault="00BF5ACE">
      <w:pPr>
        <w:pStyle w:val="BodyText"/>
        <w:spacing w:before="121" w:line="276" w:lineRule="auto"/>
        <w:ind w:left="132"/>
      </w:pPr>
      <w:r>
        <w:t>The</w:t>
      </w:r>
      <w:r>
        <w:rPr>
          <w:spacing w:val="-14"/>
        </w:rPr>
        <w:t xml:space="preserve"> </w:t>
      </w:r>
      <w:r>
        <w:t>monitoring</w:t>
      </w:r>
      <w:r>
        <w:rPr>
          <w:spacing w:val="-13"/>
        </w:rPr>
        <w:t xml:space="preserve"> </w:t>
      </w:r>
      <w:r>
        <w:t>sheets</w:t>
      </w:r>
      <w:r>
        <w:rPr>
          <w:spacing w:val="-13"/>
        </w:rPr>
        <w:t xml:space="preserve"> </w:t>
      </w:r>
      <w:r>
        <w:t>in</w:t>
      </w:r>
      <w:r>
        <w:rPr>
          <w:spacing w:val="-14"/>
        </w:rPr>
        <w:t xml:space="preserve"> </w:t>
      </w:r>
      <w:r>
        <w:t>Appendix</w:t>
      </w:r>
      <w:r>
        <w:rPr>
          <w:spacing w:val="-13"/>
        </w:rPr>
        <w:t xml:space="preserve"> </w:t>
      </w:r>
      <w:r>
        <w:t>5</w:t>
      </w:r>
      <w:r>
        <w:rPr>
          <w:spacing w:val="-14"/>
        </w:rPr>
        <w:t xml:space="preserve"> </w:t>
      </w:r>
      <w:r>
        <w:t>state</w:t>
      </w:r>
      <w:r>
        <w:rPr>
          <w:spacing w:val="-13"/>
        </w:rPr>
        <w:t xml:space="preserve"> </w:t>
      </w:r>
      <w:r>
        <w:t>well</w:t>
      </w:r>
      <w:r>
        <w:rPr>
          <w:spacing w:val="-14"/>
        </w:rPr>
        <w:t xml:space="preserve"> </w:t>
      </w:r>
      <w:r>
        <w:t>head</w:t>
      </w:r>
      <w:r>
        <w:rPr>
          <w:spacing w:val="-13"/>
        </w:rPr>
        <w:t xml:space="preserve"> </w:t>
      </w:r>
      <w:r>
        <w:t>pressure</w:t>
      </w:r>
      <w:r>
        <w:rPr>
          <w:spacing w:val="-14"/>
        </w:rPr>
        <w:t xml:space="preserve"> </w:t>
      </w:r>
      <w:r>
        <w:t>on</w:t>
      </w:r>
      <w:r>
        <w:rPr>
          <w:spacing w:val="-13"/>
        </w:rPr>
        <w:t xml:space="preserve"> </w:t>
      </w:r>
      <w:r>
        <w:t>annuli</w:t>
      </w:r>
      <w:r>
        <w:rPr>
          <w:spacing w:val="-14"/>
        </w:rPr>
        <w:t xml:space="preserve"> </w:t>
      </w:r>
      <w:r>
        <w:t>and</w:t>
      </w:r>
      <w:r>
        <w:rPr>
          <w:spacing w:val="-14"/>
        </w:rPr>
        <w:t xml:space="preserve"> </w:t>
      </w:r>
      <w:r>
        <w:t>tubing</w:t>
      </w:r>
      <w:r>
        <w:rPr>
          <w:spacing w:val="-14"/>
        </w:rPr>
        <w:t xml:space="preserve"> </w:t>
      </w:r>
      <w:r>
        <w:t>are</w:t>
      </w:r>
      <w:r>
        <w:rPr>
          <w:spacing w:val="-13"/>
        </w:rPr>
        <w:t xml:space="preserve"> </w:t>
      </w:r>
      <w:r>
        <w:t>monitored</w:t>
      </w:r>
      <w:r>
        <w:rPr>
          <w:spacing w:val="-13"/>
        </w:rPr>
        <w:t xml:space="preserve"> </w:t>
      </w:r>
      <w:r>
        <w:t>at</w:t>
      </w:r>
      <w:r>
        <w:rPr>
          <w:spacing w:val="-58"/>
        </w:rPr>
        <w:t xml:space="preserve"> </w:t>
      </w:r>
      <w:r>
        <w:rPr>
          <w:spacing w:val="-1"/>
        </w:rPr>
        <w:t>30minute</w:t>
      </w:r>
      <w:r>
        <w:rPr>
          <w:spacing w:val="-14"/>
        </w:rPr>
        <w:t xml:space="preserve"> </w:t>
      </w:r>
      <w:r>
        <w:rPr>
          <w:spacing w:val="-1"/>
        </w:rPr>
        <w:t>intervals</w:t>
      </w:r>
      <w:r>
        <w:rPr>
          <w:spacing w:val="-13"/>
        </w:rPr>
        <w:t xml:space="preserve"> </w:t>
      </w:r>
      <w:r>
        <w:t>during</w:t>
      </w:r>
      <w:r>
        <w:rPr>
          <w:spacing w:val="-12"/>
        </w:rPr>
        <w:t xml:space="preserve"> </w:t>
      </w:r>
      <w:r>
        <w:t>injection.</w:t>
      </w:r>
      <w:r>
        <w:rPr>
          <w:spacing w:val="-12"/>
        </w:rPr>
        <w:t xml:space="preserve"> </w:t>
      </w:r>
      <w:r>
        <w:t>This</w:t>
      </w:r>
      <w:r>
        <w:rPr>
          <w:spacing w:val="-12"/>
        </w:rPr>
        <w:t xml:space="preserve"> </w:t>
      </w:r>
      <w:r>
        <w:t>is</w:t>
      </w:r>
      <w:r>
        <w:rPr>
          <w:spacing w:val="-13"/>
        </w:rPr>
        <w:t xml:space="preserve"> </w:t>
      </w:r>
      <w:r>
        <w:t>also</w:t>
      </w:r>
      <w:r>
        <w:rPr>
          <w:spacing w:val="-13"/>
        </w:rPr>
        <w:t xml:space="preserve"> </w:t>
      </w:r>
      <w:r>
        <w:t>stated</w:t>
      </w:r>
      <w:r>
        <w:rPr>
          <w:spacing w:val="-14"/>
        </w:rPr>
        <w:t xml:space="preserve"> </w:t>
      </w:r>
      <w:r>
        <w:t>in</w:t>
      </w:r>
      <w:r>
        <w:rPr>
          <w:spacing w:val="-13"/>
        </w:rPr>
        <w:t xml:space="preserve"> </w:t>
      </w:r>
      <w:r>
        <w:t>the</w:t>
      </w:r>
      <w:r>
        <w:rPr>
          <w:spacing w:val="-13"/>
        </w:rPr>
        <w:t xml:space="preserve"> </w:t>
      </w:r>
      <w:r>
        <w:t>Water</w:t>
      </w:r>
      <w:r>
        <w:rPr>
          <w:spacing w:val="-15"/>
        </w:rPr>
        <w:t xml:space="preserve"> </w:t>
      </w:r>
      <w:r>
        <w:t>Injection</w:t>
      </w:r>
      <w:r>
        <w:rPr>
          <w:spacing w:val="-14"/>
        </w:rPr>
        <w:t xml:space="preserve"> </w:t>
      </w:r>
      <w:r>
        <w:t>Procedure.</w:t>
      </w:r>
      <w:r>
        <w:rPr>
          <w:spacing w:val="-12"/>
        </w:rPr>
        <w:t xml:space="preserve"> </w:t>
      </w:r>
      <w:r>
        <w:t>There</w:t>
      </w:r>
      <w:r>
        <w:rPr>
          <w:spacing w:val="-13"/>
        </w:rPr>
        <w:t xml:space="preserve"> </w:t>
      </w:r>
      <w:r>
        <w:t>is</w:t>
      </w:r>
      <w:r>
        <w:rPr>
          <w:spacing w:val="-14"/>
        </w:rPr>
        <w:t xml:space="preserve"> </w:t>
      </w:r>
      <w:r>
        <w:t>no</w:t>
      </w:r>
      <w:r>
        <w:rPr>
          <w:spacing w:val="1"/>
        </w:rPr>
        <w:t xml:space="preserve"> </w:t>
      </w:r>
      <w:r>
        <w:t>information</w:t>
      </w:r>
      <w:r>
        <w:rPr>
          <w:spacing w:val="-13"/>
        </w:rPr>
        <w:t xml:space="preserve"> </w:t>
      </w:r>
      <w:r>
        <w:t>in</w:t>
      </w:r>
      <w:r>
        <w:rPr>
          <w:spacing w:val="-13"/>
        </w:rPr>
        <w:t xml:space="preserve"> </w:t>
      </w:r>
      <w:r>
        <w:t>the</w:t>
      </w:r>
      <w:r>
        <w:rPr>
          <w:spacing w:val="-13"/>
        </w:rPr>
        <w:t xml:space="preserve"> </w:t>
      </w:r>
      <w:r>
        <w:t>HRA</w:t>
      </w:r>
      <w:r>
        <w:rPr>
          <w:spacing w:val="-13"/>
        </w:rPr>
        <w:t xml:space="preserve"> </w:t>
      </w:r>
      <w:r>
        <w:t>that</w:t>
      </w:r>
      <w:r>
        <w:rPr>
          <w:spacing w:val="-12"/>
        </w:rPr>
        <w:t xml:space="preserve"> </w:t>
      </w:r>
      <w:r>
        <w:t>confirms</w:t>
      </w:r>
      <w:r>
        <w:rPr>
          <w:spacing w:val="-13"/>
        </w:rPr>
        <w:t xml:space="preserve"> </w:t>
      </w:r>
      <w:r>
        <w:t>how</w:t>
      </w:r>
      <w:r>
        <w:rPr>
          <w:spacing w:val="-12"/>
        </w:rPr>
        <w:t xml:space="preserve"> </w:t>
      </w:r>
      <w:r>
        <w:t>and</w:t>
      </w:r>
      <w:r>
        <w:rPr>
          <w:spacing w:val="-13"/>
        </w:rPr>
        <w:t xml:space="preserve"> </w:t>
      </w:r>
      <w:r>
        <w:t>when</w:t>
      </w:r>
      <w:r>
        <w:rPr>
          <w:spacing w:val="-12"/>
        </w:rPr>
        <w:t xml:space="preserve"> </w:t>
      </w:r>
      <w:r>
        <w:t>the</w:t>
      </w:r>
      <w:r>
        <w:rPr>
          <w:spacing w:val="-13"/>
        </w:rPr>
        <w:t xml:space="preserve"> </w:t>
      </w:r>
      <w:r>
        <w:t>bottom</w:t>
      </w:r>
      <w:r>
        <w:rPr>
          <w:spacing w:val="-15"/>
        </w:rPr>
        <w:t xml:space="preserve"> </w:t>
      </w:r>
      <w:r>
        <w:t>hole</w:t>
      </w:r>
      <w:r>
        <w:rPr>
          <w:spacing w:val="-12"/>
        </w:rPr>
        <w:t xml:space="preserve"> </w:t>
      </w:r>
      <w:r>
        <w:t>pressure</w:t>
      </w:r>
      <w:r>
        <w:rPr>
          <w:spacing w:val="-13"/>
        </w:rPr>
        <w:t xml:space="preserve"> </w:t>
      </w:r>
      <w:r>
        <w:t>will</w:t>
      </w:r>
      <w:r>
        <w:rPr>
          <w:spacing w:val="-14"/>
        </w:rPr>
        <w:t xml:space="preserve"> </w:t>
      </w:r>
      <w:r>
        <w:t>be</w:t>
      </w:r>
      <w:r>
        <w:rPr>
          <w:spacing w:val="-12"/>
        </w:rPr>
        <w:t xml:space="preserve"> </w:t>
      </w:r>
      <w:r>
        <w:t>monitored</w:t>
      </w:r>
      <w:r>
        <w:rPr>
          <w:spacing w:val="-13"/>
        </w:rPr>
        <w:t xml:space="preserve"> </w:t>
      </w:r>
      <w:r>
        <w:t>and</w:t>
      </w:r>
      <w:r>
        <w:rPr>
          <w:spacing w:val="1"/>
        </w:rPr>
        <w:t xml:space="preserve"> </w:t>
      </w:r>
      <w:r>
        <w:t xml:space="preserve">frequency of this monitoring </w:t>
      </w:r>
      <w:proofErr w:type="gramStart"/>
      <w:r>
        <w:t>in order to</w:t>
      </w:r>
      <w:proofErr w:type="gramEnd"/>
      <w:r>
        <w:t xml:space="preserve"> verify the bottom hole pressure will not exceed 80% of the</w:t>
      </w:r>
      <w:r>
        <w:rPr>
          <w:spacing w:val="1"/>
        </w:rPr>
        <w:t xml:space="preserve"> </w:t>
      </w:r>
      <w:r>
        <w:t>initial</w:t>
      </w:r>
      <w:r>
        <w:rPr>
          <w:spacing w:val="-6"/>
        </w:rPr>
        <w:t xml:space="preserve"> </w:t>
      </w:r>
      <w:r>
        <w:t>reservoir</w:t>
      </w:r>
      <w:r>
        <w:rPr>
          <w:spacing w:val="-3"/>
        </w:rPr>
        <w:t xml:space="preserve"> </w:t>
      </w:r>
      <w:r>
        <w:t>pressure.</w:t>
      </w:r>
    </w:p>
    <w:p w14:paraId="6EB1DEC7" w14:textId="77777777" w:rsidR="00370D33" w:rsidRDefault="00370D33" w:rsidP="00370D33">
      <w:pPr>
        <w:tabs>
          <w:tab w:val="left" w:pos="-720"/>
        </w:tabs>
        <w:suppressAutoHyphens/>
        <w:rPr>
          <w:iCs/>
          <w:color w:val="FF0000"/>
          <w:spacing w:val="-2"/>
        </w:rPr>
      </w:pPr>
    </w:p>
    <w:p w14:paraId="14D4EEDA" w14:textId="0C323641" w:rsidR="00370D33" w:rsidRPr="00B246AC" w:rsidRDefault="00370D33" w:rsidP="00AA165B">
      <w:pPr>
        <w:tabs>
          <w:tab w:val="left" w:pos="-720"/>
        </w:tabs>
        <w:suppressAutoHyphens/>
        <w:jc w:val="both"/>
        <w:rPr>
          <w:iCs/>
          <w:color w:val="FF0000"/>
          <w:spacing w:val="-2"/>
        </w:rPr>
      </w:pPr>
      <w:r w:rsidRPr="00B246AC">
        <w:rPr>
          <w:iCs/>
          <w:color w:val="FF0000"/>
          <w:spacing w:val="-2"/>
        </w:rPr>
        <w:t xml:space="preserve">As regards monitoring of the </w:t>
      </w:r>
      <w:r w:rsidR="00216F5B">
        <w:rPr>
          <w:iCs/>
          <w:color w:val="FF0000"/>
          <w:spacing w:val="-2"/>
        </w:rPr>
        <w:t>water zone of the reservoir</w:t>
      </w:r>
      <w:r w:rsidRPr="00B246AC">
        <w:rPr>
          <w:iCs/>
          <w:color w:val="FF0000"/>
          <w:spacing w:val="-2"/>
        </w:rPr>
        <w:t xml:space="preserve">, it would be feasible to run pressure gauges at bottom in the injection well. However, since we know the density of the fluid injected into the well and its depth the bottom hole pressure can easily and accurately be calculated by measuring the surface pressure. This can be done more frequently than a bottom hole pressure survey </w:t>
      </w:r>
      <w:r w:rsidR="00C93FC4" w:rsidRPr="00B246AC">
        <w:rPr>
          <w:iCs/>
          <w:color w:val="FF0000"/>
          <w:spacing w:val="-2"/>
        </w:rPr>
        <w:t xml:space="preserve">and </w:t>
      </w:r>
      <w:r w:rsidRPr="00B246AC">
        <w:rPr>
          <w:iCs/>
          <w:color w:val="FF0000"/>
          <w:spacing w:val="-2"/>
        </w:rPr>
        <w:t>so provides more useful information.</w:t>
      </w:r>
      <w:r w:rsidR="00C93FC4" w:rsidRPr="00B246AC">
        <w:rPr>
          <w:iCs/>
          <w:color w:val="FF0000"/>
          <w:spacing w:val="-2"/>
        </w:rPr>
        <w:t xml:space="preserve">  We would propose that the calculations be made monthly.</w:t>
      </w:r>
    </w:p>
    <w:p w14:paraId="47DBCEE7" w14:textId="77777777" w:rsidR="00370D33" w:rsidRPr="00B246AC" w:rsidRDefault="00370D33" w:rsidP="00AA165B">
      <w:pPr>
        <w:tabs>
          <w:tab w:val="left" w:pos="-720"/>
        </w:tabs>
        <w:suppressAutoHyphens/>
        <w:jc w:val="both"/>
        <w:rPr>
          <w:iCs/>
          <w:color w:val="FF0000"/>
          <w:spacing w:val="-2"/>
        </w:rPr>
      </w:pPr>
    </w:p>
    <w:p w14:paraId="569D461D" w14:textId="51B02361" w:rsidR="00370D33" w:rsidRPr="00B246AC" w:rsidRDefault="00370D33" w:rsidP="00AA165B">
      <w:pPr>
        <w:tabs>
          <w:tab w:val="left" w:pos="-720"/>
        </w:tabs>
        <w:suppressAutoHyphens/>
        <w:jc w:val="both"/>
        <w:rPr>
          <w:iCs/>
          <w:color w:val="FF0000"/>
          <w:spacing w:val="-2"/>
        </w:rPr>
      </w:pPr>
      <w:r w:rsidRPr="00B246AC">
        <w:rPr>
          <w:iCs/>
          <w:color w:val="FF0000"/>
          <w:spacing w:val="-2"/>
        </w:rPr>
        <w:t xml:space="preserve">To measure the oil reservoir pressure, observations must be made in the production well. As stated in the answer to question 1, this can be achieved by periodic echometer monitoring of the level in the annulus and then, knowing the fluid in the well and the level supported, it is possible to calculate the bottom hole pressure.  This is a reasonable measure of bottom hole oil reservoir pressure which would otherwise be unreasonably expensive to measure directly.  In addition to regular monitoring of well head pressure, this echometer monitoring of downhole pressure will be done </w:t>
      </w:r>
      <w:r w:rsidR="00367C5D" w:rsidRPr="00B246AC">
        <w:rPr>
          <w:iCs/>
          <w:color w:val="FF0000"/>
          <w:spacing w:val="-2"/>
        </w:rPr>
        <w:t>once a month</w:t>
      </w:r>
      <w:r w:rsidRPr="00B246AC">
        <w:rPr>
          <w:iCs/>
          <w:color w:val="FF0000"/>
          <w:spacing w:val="-2"/>
        </w:rPr>
        <w:t xml:space="preserve"> during pauses in production.</w:t>
      </w:r>
    </w:p>
    <w:p w14:paraId="1C017DF3" w14:textId="77777777" w:rsidR="00370D33" w:rsidRDefault="00370D33">
      <w:pPr>
        <w:pStyle w:val="BodyText"/>
        <w:spacing w:before="121" w:line="276" w:lineRule="auto"/>
        <w:ind w:left="132"/>
      </w:pPr>
    </w:p>
    <w:p w14:paraId="7B060D8E" w14:textId="77777777" w:rsidR="00671FEA" w:rsidRPr="0075227D" w:rsidRDefault="00BF5ACE">
      <w:pPr>
        <w:pStyle w:val="ListParagraph"/>
        <w:numPr>
          <w:ilvl w:val="0"/>
          <w:numId w:val="1"/>
        </w:numPr>
        <w:tabs>
          <w:tab w:val="left" w:pos="854"/>
        </w:tabs>
        <w:spacing w:before="120" w:line="276" w:lineRule="auto"/>
        <w:ind w:right="216"/>
      </w:pPr>
      <w:r w:rsidRPr="0075227D">
        <w:t>Provide references for the data used in section 2.3.2 and accompanying Figure 2-2 and</w:t>
      </w:r>
      <w:r w:rsidRPr="0075227D">
        <w:rPr>
          <w:spacing w:val="1"/>
        </w:rPr>
        <w:t xml:space="preserve"> </w:t>
      </w:r>
      <w:r w:rsidRPr="0075227D">
        <w:t>review this section of the document for discrepancies between the text and the data shown</w:t>
      </w:r>
      <w:r w:rsidRPr="0075227D">
        <w:rPr>
          <w:spacing w:val="-59"/>
        </w:rPr>
        <w:t xml:space="preserve"> </w:t>
      </w:r>
      <w:r w:rsidRPr="0075227D">
        <w:t>in Figure</w:t>
      </w:r>
      <w:r w:rsidRPr="0075227D">
        <w:rPr>
          <w:spacing w:val="-3"/>
        </w:rPr>
        <w:t xml:space="preserve"> </w:t>
      </w:r>
      <w:r w:rsidRPr="0075227D">
        <w:t>2-2.</w:t>
      </w:r>
    </w:p>
    <w:p w14:paraId="3242EF7B" w14:textId="38BC701B" w:rsidR="00671FEA" w:rsidRDefault="00BF5ACE">
      <w:pPr>
        <w:pStyle w:val="BodyText"/>
        <w:spacing w:before="121" w:line="276" w:lineRule="auto"/>
        <w:ind w:left="493" w:right="494"/>
      </w:pPr>
      <w:r>
        <w:t>Section 2.3.2 discusses the formation pressure and barriers to fluid flow. The evidence in</w:t>
      </w:r>
      <w:r>
        <w:rPr>
          <w:spacing w:val="1"/>
        </w:rPr>
        <w:t xml:space="preserve"> </w:t>
      </w:r>
      <w:r>
        <w:t>Figure 2-2 allegedly based on Oil and Gas Authority (OGA) data, shows a net loss of fluid</w:t>
      </w:r>
      <w:r>
        <w:rPr>
          <w:spacing w:val="1"/>
        </w:rPr>
        <w:t xml:space="preserve"> </w:t>
      </w:r>
      <w:r>
        <w:t>despite previous reinjection activities. The net fluid loss figure of 68,480 m</w:t>
      </w:r>
      <w:r>
        <w:rPr>
          <w:vertAlign w:val="superscript"/>
        </w:rPr>
        <w:t>3</w:t>
      </w:r>
      <w:r>
        <w:t xml:space="preserve"> described in the</w:t>
      </w:r>
      <w:r>
        <w:rPr>
          <w:spacing w:val="-59"/>
        </w:rPr>
        <w:t xml:space="preserve"> </w:t>
      </w:r>
      <w:r>
        <w:t>text does not accord with the graph trend line, which seems to suggest around 40,000 m</w:t>
      </w:r>
      <w:r>
        <w:rPr>
          <w:vertAlign w:val="superscript"/>
        </w:rPr>
        <w:t>3</w:t>
      </w:r>
      <w:r>
        <w:t>.</w:t>
      </w:r>
      <w:r>
        <w:rPr>
          <w:spacing w:val="1"/>
        </w:rPr>
        <w:t xml:space="preserve"> </w:t>
      </w:r>
      <w:r>
        <w:t>There is a caveat regarding compressibility and other effects, but no guide as to how much</w:t>
      </w:r>
      <w:r>
        <w:rPr>
          <w:spacing w:val="1"/>
        </w:rPr>
        <w:t xml:space="preserve"> </w:t>
      </w:r>
      <w:r>
        <w:t>these</w:t>
      </w:r>
      <w:r>
        <w:rPr>
          <w:spacing w:val="-3"/>
        </w:rPr>
        <w:t xml:space="preserve"> </w:t>
      </w:r>
      <w:r>
        <w:t>would affect</w:t>
      </w:r>
      <w:r>
        <w:rPr>
          <w:spacing w:val="-1"/>
        </w:rPr>
        <w:t xml:space="preserve"> </w:t>
      </w:r>
      <w:r>
        <w:t>the</w:t>
      </w:r>
      <w:r>
        <w:rPr>
          <w:spacing w:val="-2"/>
        </w:rPr>
        <w:t xml:space="preserve"> </w:t>
      </w:r>
      <w:r>
        <w:t>accuracy</w:t>
      </w:r>
      <w:r>
        <w:rPr>
          <w:spacing w:val="-2"/>
        </w:rPr>
        <w:t xml:space="preserve"> </w:t>
      </w:r>
      <w:r>
        <w:t>of</w:t>
      </w:r>
      <w:r>
        <w:rPr>
          <w:spacing w:val="-1"/>
        </w:rPr>
        <w:t xml:space="preserve"> </w:t>
      </w:r>
      <w:r>
        <w:t>the</w:t>
      </w:r>
      <w:r>
        <w:rPr>
          <w:spacing w:val="-2"/>
        </w:rPr>
        <w:t xml:space="preserve"> </w:t>
      </w:r>
      <w:r>
        <w:t>figures.</w:t>
      </w:r>
    </w:p>
    <w:p w14:paraId="3D59FD5D" w14:textId="77777777" w:rsidR="00370D33" w:rsidRDefault="00370D33" w:rsidP="00370D33">
      <w:pPr>
        <w:rPr>
          <w:iCs/>
          <w:color w:val="FF0000"/>
        </w:rPr>
      </w:pPr>
    </w:p>
    <w:p w14:paraId="1CFB5CDE" w14:textId="517C7116" w:rsidR="003D2E35" w:rsidRPr="00B246AC" w:rsidRDefault="00F20A54" w:rsidP="003D2E35">
      <w:pPr>
        <w:jc w:val="both"/>
        <w:rPr>
          <w:iCs/>
          <w:color w:val="FF0000"/>
        </w:rPr>
      </w:pPr>
      <w:r>
        <w:rPr>
          <w:iCs/>
          <w:color w:val="FF0000"/>
        </w:rPr>
        <w:t>Figure1</w:t>
      </w:r>
      <w:r w:rsidR="003D2E35" w:rsidRPr="00B246AC">
        <w:rPr>
          <w:iCs/>
          <w:color w:val="FF0000"/>
        </w:rPr>
        <w:t xml:space="preserve"> shows the total volume removed from the reservoir and the volume injected:  the volume removed minus the volume injected equals the net volume removed.  We found a discrepancy between the previously reported numbers and the PPRS number. Therefore, we have used the PPRS numbers and corrected the graph as well. The corrected numbers do not make a material difference. </w:t>
      </w:r>
    </w:p>
    <w:p w14:paraId="722671FC" w14:textId="77777777" w:rsidR="003D2E35" w:rsidRDefault="003D2E35" w:rsidP="003D2E35">
      <w:pPr>
        <w:rPr>
          <w:iCs/>
          <w:color w:val="FF0000"/>
        </w:rPr>
      </w:pPr>
    </w:p>
    <w:p w14:paraId="47EFB95F" w14:textId="77777777" w:rsidR="003D2E35" w:rsidRDefault="003D2E35" w:rsidP="003D2E35">
      <w:pPr>
        <w:jc w:val="center"/>
        <w:rPr>
          <w:iCs/>
          <w:color w:val="FF0000"/>
        </w:rPr>
      </w:pPr>
      <w:r>
        <w:rPr>
          <w:iCs/>
          <w:noProof/>
          <w:color w:val="FF0000"/>
        </w:rPr>
        <w:lastRenderedPageBreak/>
        <w:drawing>
          <wp:inline distT="0" distB="0" distL="0" distR="0" wp14:anchorId="1076F9FB" wp14:editId="3F60D099">
            <wp:extent cx="6280150" cy="3228975"/>
            <wp:effectExtent l="0" t="0" r="635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0150" cy="3228975"/>
                    </a:xfrm>
                    <a:prstGeom prst="rect">
                      <a:avLst/>
                    </a:prstGeom>
                  </pic:spPr>
                </pic:pic>
              </a:graphicData>
            </a:graphic>
          </wp:inline>
        </w:drawing>
      </w:r>
    </w:p>
    <w:p w14:paraId="52A74FD8" w14:textId="3F992835" w:rsidR="003D2E35" w:rsidRPr="00AA165B" w:rsidRDefault="003D2E35" w:rsidP="003D2E35">
      <w:pPr>
        <w:jc w:val="center"/>
        <w:rPr>
          <w:iCs/>
          <w:color w:val="000000" w:themeColor="text1"/>
        </w:rPr>
      </w:pPr>
      <w:r w:rsidRPr="00AA165B">
        <w:rPr>
          <w:iCs/>
          <w:color w:val="000000" w:themeColor="text1"/>
        </w:rPr>
        <w:t>Figure</w:t>
      </w:r>
      <w:r w:rsidR="00F20A54">
        <w:rPr>
          <w:iCs/>
          <w:color w:val="000000" w:themeColor="text1"/>
        </w:rPr>
        <w:t xml:space="preserve"> </w:t>
      </w:r>
      <w:proofErr w:type="gramStart"/>
      <w:r w:rsidR="00F20A54">
        <w:rPr>
          <w:iCs/>
          <w:color w:val="000000" w:themeColor="text1"/>
        </w:rPr>
        <w:t>1</w:t>
      </w:r>
      <w:r w:rsidRPr="00AA165B">
        <w:rPr>
          <w:iCs/>
          <w:color w:val="000000" w:themeColor="text1"/>
        </w:rPr>
        <w:t xml:space="preserve"> :</w:t>
      </w:r>
      <w:proofErr w:type="gramEnd"/>
      <w:r w:rsidRPr="00AA165B">
        <w:rPr>
          <w:iCs/>
          <w:color w:val="000000" w:themeColor="text1"/>
        </w:rPr>
        <w:t xml:space="preserve"> Total volumes produced and injected in the reservoir</w:t>
      </w:r>
    </w:p>
    <w:p w14:paraId="3025805F" w14:textId="29BA77B5" w:rsidR="00370D33" w:rsidRDefault="00370D33" w:rsidP="00370D33">
      <w:pPr>
        <w:pStyle w:val="BodyText"/>
        <w:spacing w:before="121" w:line="276" w:lineRule="auto"/>
        <w:ind w:right="494"/>
      </w:pPr>
    </w:p>
    <w:p w14:paraId="718F2142" w14:textId="1AFBDE42" w:rsidR="00370D33" w:rsidRPr="00370D33" w:rsidRDefault="00370D33" w:rsidP="00370D33">
      <w:pPr>
        <w:pStyle w:val="BodyText"/>
        <w:spacing w:before="121" w:line="276" w:lineRule="auto"/>
        <w:ind w:right="494"/>
        <w:rPr>
          <w:i w:val="0"/>
          <w:iCs w:val="0"/>
        </w:rPr>
      </w:pPr>
      <w:r>
        <w:tab/>
      </w:r>
    </w:p>
    <w:p w14:paraId="4CEA14EE" w14:textId="77777777" w:rsidR="00671FEA" w:rsidRDefault="00BF5ACE">
      <w:pPr>
        <w:pStyle w:val="ListParagraph"/>
        <w:numPr>
          <w:ilvl w:val="0"/>
          <w:numId w:val="1"/>
        </w:numPr>
        <w:tabs>
          <w:tab w:val="left" w:pos="854"/>
        </w:tabs>
        <w:spacing w:before="119" w:line="278" w:lineRule="auto"/>
        <w:ind w:right="559"/>
      </w:pPr>
      <w:r>
        <w:t>Confirm what evidence was used to describe the surrounding formation pressures in</w:t>
      </w:r>
      <w:r>
        <w:rPr>
          <w:spacing w:val="1"/>
        </w:rPr>
        <w:t xml:space="preserve"> </w:t>
      </w:r>
      <w:r>
        <w:t>comparison</w:t>
      </w:r>
      <w:r>
        <w:rPr>
          <w:spacing w:val="-3"/>
        </w:rPr>
        <w:t xml:space="preserve"> </w:t>
      </w:r>
      <w:r>
        <w:t>to</w:t>
      </w:r>
      <w:r>
        <w:rPr>
          <w:spacing w:val="-2"/>
        </w:rPr>
        <w:t xml:space="preserve"> </w:t>
      </w:r>
      <w:r>
        <w:t>the</w:t>
      </w:r>
      <w:r>
        <w:rPr>
          <w:spacing w:val="-3"/>
        </w:rPr>
        <w:t xml:space="preserve"> </w:t>
      </w:r>
      <w:r>
        <w:t>reservoir</w:t>
      </w:r>
      <w:r>
        <w:rPr>
          <w:spacing w:val="1"/>
        </w:rPr>
        <w:t xml:space="preserve"> </w:t>
      </w:r>
      <w:r>
        <w:t>pressures</w:t>
      </w:r>
      <w:r>
        <w:rPr>
          <w:spacing w:val="-3"/>
        </w:rPr>
        <w:t xml:space="preserve"> </w:t>
      </w:r>
      <w:r>
        <w:t>discussed</w:t>
      </w:r>
      <w:r>
        <w:rPr>
          <w:spacing w:val="-2"/>
        </w:rPr>
        <w:t xml:space="preserve"> </w:t>
      </w:r>
      <w:r>
        <w:t>in</w:t>
      </w:r>
      <w:r>
        <w:rPr>
          <w:spacing w:val="-1"/>
        </w:rPr>
        <w:t xml:space="preserve"> </w:t>
      </w:r>
      <w:r>
        <w:t>the</w:t>
      </w:r>
      <w:r>
        <w:rPr>
          <w:spacing w:val="-5"/>
        </w:rPr>
        <w:t xml:space="preserve"> </w:t>
      </w:r>
      <w:r>
        <w:t>final</w:t>
      </w:r>
      <w:r>
        <w:rPr>
          <w:spacing w:val="-1"/>
        </w:rPr>
        <w:t xml:space="preserve"> </w:t>
      </w:r>
      <w:r>
        <w:t>paragraph</w:t>
      </w:r>
      <w:r>
        <w:rPr>
          <w:spacing w:val="-2"/>
        </w:rPr>
        <w:t xml:space="preserve"> </w:t>
      </w:r>
      <w:r>
        <w:t>of</w:t>
      </w:r>
      <w:r>
        <w:rPr>
          <w:spacing w:val="1"/>
        </w:rPr>
        <w:t xml:space="preserve"> </w:t>
      </w:r>
      <w:r>
        <w:t>section 2.3.2.</w:t>
      </w:r>
    </w:p>
    <w:p w14:paraId="4B31C0BB" w14:textId="409881C6" w:rsidR="00671FEA" w:rsidRDefault="00BF5ACE">
      <w:pPr>
        <w:pStyle w:val="BodyText"/>
        <w:spacing w:before="117" w:line="276" w:lineRule="auto"/>
        <w:ind w:left="132" w:right="260"/>
      </w:pPr>
      <w:r>
        <w:t>This section describes how the lowering of pressure in the reservoir means there that there must</w:t>
      </w:r>
      <w:r>
        <w:rPr>
          <w:spacing w:val="1"/>
        </w:rPr>
        <w:t xml:space="preserve"> </w:t>
      </w:r>
      <w:r>
        <w:t>be an inherent inward pressure gradient from surrounding rock formations. We consider that this</w:t>
      </w:r>
      <w:r>
        <w:rPr>
          <w:spacing w:val="1"/>
        </w:rPr>
        <w:t xml:space="preserve"> </w:t>
      </w:r>
      <w:r>
        <w:t>argument could be ignoring the possibility that the initial pressure was many times greater than</w:t>
      </w:r>
      <w:r>
        <w:rPr>
          <w:spacing w:val="1"/>
        </w:rPr>
        <w:t xml:space="preserve"> </w:t>
      </w:r>
      <w:r>
        <w:t>surrounding formations and thus could be lowered, without necessarily reversing a gradient. We</w:t>
      </w:r>
      <w:r>
        <w:rPr>
          <w:spacing w:val="1"/>
        </w:rPr>
        <w:t xml:space="preserve"> </w:t>
      </w:r>
      <w:r>
        <w:t>acknowledge this is probably unlikely in this scenario, but we consider that the report should have</w:t>
      </w:r>
      <w:r>
        <w:rPr>
          <w:spacing w:val="-59"/>
        </w:rPr>
        <w:t xml:space="preserve"> </w:t>
      </w:r>
      <w:r>
        <w:t>discussed this point and provided suitable evidence to dismiss it as appropriate. Likewise</w:t>
      </w:r>
      <w:r w:rsidR="0019416E">
        <w:t>,</w:t>
      </w:r>
      <w:r>
        <w:t xml:space="preserve"> this</w:t>
      </w:r>
      <w:r>
        <w:rPr>
          <w:spacing w:val="1"/>
        </w:rPr>
        <w:t xml:space="preserve"> </w:t>
      </w:r>
      <w:r>
        <w:t>would support (or indeed refute) whether 80% restoration of initial reservoir pressure would or</w:t>
      </w:r>
      <w:r>
        <w:rPr>
          <w:spacing w:val="1"/>
        </w:rPr>
        <w:t xml:space="preserve"> </w:t>
      </w:r>
      <w:r>
        <w:t>would</w:t>
      </w:r>
      <w:r>
        <w:rPr>
          <w:spacing w:val="-1"/>
        </w:rPr>
        <w:t xml:space="preserve"> </w:t>
      </w:r>
      <w:r>
        <w:t>not</w:t>
      </w:r>
      <w:r>
        <w:rPr>
          <w:spacing w:val="-1"/>
        </w:rPr>
        <w:t xml:space="preserve"> </w:t>
      </w:r>
      <w:r>
        <w:t>result</w:t>
      </w:r>
      <w:r>
        <w:rPr>
          <w:spacing w:val="2"/>
        </w:rPr>
        <w:t xml:space="preserve"> </w:t>
      </w:r>
      <w:r>
        <w:t>in</w:t>
      </w:r>
      <w:r>
        <w:rPr>
          <w:spacing w:val="-2"/>
        </w:rPr>
        <w:t xml:space="preserve"> </w:t>
      </w:r>
      <w:r>
        <w:t>a net</w:t>
      </w:r>
      <w:r>
        <w:rPr>
          <w:spacing w:val="1"/>
        </w:rPr>
        <w:t xml:space="preserve"> </w:t>
      </w:r>
      <w:r>
        <w:t>loss of fluid</w:t>
      </w:r>
      <w:r>
        <w:rPr>
          <w:spacing w:val="-2"/>
        </w:rPr>
        <w:t xml:space="preserve"> </w:t>
      </w:r>
      <w:r>
        <w:t>from</w:t>
      </w:r>
      <w:r>
        <w:rPr>
          <w:spacing w:val="-1"/>
        </w:rPr>
        <w:t xml:space="preserve"> </w:t>
      </w:r>
      <w:r>
        <w:t>the</w:t>
      </w:r>
      <w:r>
        <w:rPr>
          <w:spacing w:val="-2"/>
        </w:rPr>
        <w:t xml:space="preserve"> </w:t>
      </w:r>
      <w:r>
        <w:t>reservoir.</w:t>
      </w:r>
    </w:p>
    <w:p w14:paraId="780381C9" w14:textId="77777777" w:rsidR="00370D33" w:rsidRPr="00370D33" w:rsidRDefault="00370D33">
      <w:pPr>
        <w:spacing w:line="276" w:lineRule="auto"/>
        <w:rPr>
          <w:color w:val="FF0000"/>
        </w:rPr>
      </w:pPr>
    </w:p>
    <w:p w14:paraId="3996EB37" w14:textId="27707836" w:rsidR="00370D33" w:rsidRPr="00B246AC" w:rsidRDefault="00370D33" w:rsidP="00AA165B">
      <w:pPr>
        <w:jc w:val="both"/>
        <w:rPr>
          <w:rFonts w:ascii="Calibri" w:eastAsia="Times New Roman" w:hAnsi="Calibri" w:cs="Calibri"/>
          <w:color w:val="FF0000"/>
          <w:lang w:eastAsia="en-GB"/>
        </w:rPr>
      </w:pPr>
      <w:r w:rsidRPr="00B246AC">
        <w:rPr>
          <w:color w:val="FF0000"/>
        </w:rPr>
        <w:t xml:space="preserve">The initial reservoir pressure was measured directly in the BP well test conducted in 1989 before the field had had any production. </w:t>
      </w:r>
      <w:bookmarkStart w:id="0" w:name="_Hlk75245091"/>
      <w:r w:rsidRPr="00B246AC">
        <w:rPr>
          <w:color w:val="FF0000"/>
        </w:rPr>
        <w:t>The pressure measured was 930psia at a depth of 630mBRT in the oil reservoir</w:t>
      </w:r>
      <w:r w:rsidR="00AA165B" w:rsidRPr="00B246AC">
        <w:rPr>
          <w:color w:val="FF0000"/>
        </w:rPr>
        <w:t xml:space="preserve"> </w:t>
      </w:r>
      <w:r w:rsidRPr="00B246AC">
        <w:rPr>
          <w:color w:val="FF0000"/>
        </w:rPr>
        <w:t xml:space="preserve">(reference BP well test report July 1989). The pressure in the </w:t>
      </w:r>
      <w:r w:rsidR="00216F5B">
        <w:rPr>
          <w:color w:val="FF0000"/>
        </w:rPr>
        <w:t>water zone of the reservoir</w:t>
      </w:r>
      <w:r w:rsidR="00216F5B" w:rsidRPr="00B246AC">
        <w:rPr>
          <w:color w:val="FF0000"/>
        </w:rPr>
        <w:t xml:space="preserve"> </w:t>
      </w:r>
      <w:r w:rsidRPr="00B246AC">
        <w:rPr>
          <w:color w:val="FF0000"/>
        </w:rPr>
        <w:t xml:space="preserve">was also measured by a well test at the same time. The pressure measured was 948 psia at a depth of </w:t>
      </w:r>
      <w:r w:rsidR="00123D8D" w:rsidRPr="00B246AC">
        <w:rPr>
          <w:color w:val="FF0000"/>
        </w:rPr>
        <w:t>6</w:t>
      </w:r>
      <w:r w:rsidRPr="00B246AC">
        <w:rPr>
          <w:color w:val="FF0000"/>
        </w:rPr>
        <w:t>47m BRT just below the oil water contact.</w:t>
      </w:r>
      <w:bookmarkEnd w:id="0"/>
      <w:r w:rsidRPr="00B246AC">
        <w:rPr>
          <w:color w:val="FF0000"/>
        </w:rPr>
        <w:t xml:space="preserve"> This proves that the </w:t>
      </w:r>
      <w:r w:rsidR="00216F5B">
        <w:rPr>
          <w:color w:val="FF0000"/>
        </w:rPr>
        <w:t>water</w:t>
      </w:r>
      <w:r w:rsidR="00216F5B" w:rsidRPr="00B246AC">
        <w:rPr>
          <w:color w:val="FF0000"/>
        </w:rPr>
        <w:t xml:space="preserve"> </w:t>
      </w:r>
      <w:r w:rsidRPr="00B246AC">
        <w:rPr>
          <w:color w:val="FF0000"/>
        </w:rPr>
        <w:t xml:space="preserve">and oil </w:t>
      </w:r>
      <w:r w:rsidR="00216F5B">
        <w:rPr>
          <w:color w:val="FF0000"/>
        </w:rPr>
        <w:t>zones</w:t>
      </w:r>
      <w:r w:rsidR="00216F5B" w:rsidRPr="00B246AC">
        <w:rPr>
          <w:color w:val="FF0000"/>
        </w:rPr>
        <w:t xml:space="preserve"> </w:t>
      </w:r>
      <w:r w:rsidRPr="00B246AC">
        <w:rPr>
          <w:color w:val="FF0000"/>
        </w:rPr>
        <w:t xml:space="preserve">were in equilibrium before production commenced. </w:t>
      </w:r>
      <w:bookmarkStart w:id="1" w:name="_Hlk75245242"/>
      <w:r w:rsidRPr="00B246AC">
        <w:rPr>
          <w:color w:val="FF0000"/>
        </w:rPr>
        <w:t xml:space="preserve">The injection point in well 3 is at a depth of 704m TVD. Corrected to this depth the original pressure at this point was around 1145psia. The pressure presently is about (1096psia measured in 2021) reflecting </w:t>
      </w:r>
      <w:proofErr w:type="gramStart"/>
      <w:r w:rsidRPr="00B246AC">
        <w:rPr>
          <w:color w:val="FF0000"/>
        </w:rPr>
        <w:t>a very small</w:t>
      </w:r>
      <w:proofErr w:type="gramEnd"/>
      <w:r w:rsidRPr="00B246AC">
        <w:rPr>
          <w:color w:val="FF0000"/>
        </w:rPr>
        <w:t xml:space="preserve"> pressure difference which may be observational error or reflects the small movement of water into the oil reservoir.</w:t>
      </w:r>
      <w:bookmarkEnd w:id="1"/>
      <w:r w:rsidRPr="00B246AC">
        <w:rPr>
          <w:color w:val="FF0000"/>
        </w:rPr>
        <w:t xml:space="preserve"> </w:t>
      </w:r>
      <w:r w:rsidRPr="00B246AC">
        <w:rPr>
          <w:rFonts w:ascii="Calibri" w:eastAsia="Times New Roman" w:hAnsi="Calibri" w:cs="Calibri"/>
          <w:color w:val="FF0000"/>
          <w:lang w:eastAsia="en-GB"/>
        </w:rPr>
        <w:t> </w:t>
      </w:r>
    </w:p>
    <w:p w14:paraId="6DCA65BC" w14:textId="77777777" w:rsidR="00370D33" w:rsidRPr="00B246AC" w:rsidRDefault="00370D33" w:rsidP="00AA165B">
      <w:pPr>
        <w:jc w:val="both"/>
        <w:rPr>
          <w:rFonts w:ascii="Calibri" w:eastAsia="Times New Roman" w:hAnsi="Calibri" w:cs="Calibri"/>
          <w:color w:val="FF0000"/>
          <w:lang w:eastAsia="en-GB"/>
        </w:rPr>
      </w:pPr>
    </w:p>
    <w:p w14:paraId="08ADC573" w14:textId="0CB2E2C7" w:rsidR="00370D33" w:rsidRPr="00B246AC" w:rsidRDefault="00370D33" w:rsidP="00AA165B">
      <w:pPr>
        <w:jc w:val="both"/>
        <w:rPr>
          <w:color w:val="FF0000"/>
        </w:rPr>
      </w:pPr>
      <w:r w:rsidRPr="00B246AC">
        <w:rPr>
          <w:color w:val="FF0000"/>
        </w:rPr>
        <w:t xml:space="preserve">What is perhaps of greater importance is that the pressure at the wellhead of the injection well should never exceed the pressure at which, </w:t>
      </w:r>
      <w:r w:rsidR="009146ED" w:rsidRPr="00B246AC">
        <w:rPr>
          <w:color w:val="FF0000"/>
        </w:rPr>
        <w:t>considering</w:t>
      </w:r>
      <w:r w:rsidRPr="00B246AC">
        <w:rPr>
          <w:color w:val="FF0000"/>
        </w:rPr>
        <w:t xml:space="preserve"> the density of brine in the well, the bottom hole pressure would exceed the fracture pressure of the formation. </w:t>
      </w:r>
    </w:p>
    <w:p w14:paraId="33E19238" w14:textId="77777777" w:rsidR="003D2E35" w:rsidRPr="00B246AC" w:rsidRDefault="003D2E35" w:rsidP="00AA165B">
      <w:pPr>
        <w:jc w:val="both"/>
        <w:rPr>
          <w:color w:val="FF0000"/>
        </w:rPr>
      </w:pPr>
    </w:p>
    <w:p w14:paraId="485C34B8" w14:textId="59B01A4C" w:rsidR="003D2E35" w:rsidRPr="00B246AC" w:rsidRDefault="00370D33" w:rsidP="00AA165B">
      <w:pPr>
        <w:jc w:val="both"/>
        <w:rPr>
          <w:color w:val="FF0000"/>
        </w:rPr>
      </w:pPr>
      <w:bookmarkStart w:id="2" w:name="_Hlk75245414"/>
      <w:r w:rsidRPr="00B246AC">
        <w:rPr>
          <w:color w:val="FF0000"/>
        </w:rPr>
        <w:t>The fracture gradient of the formation which is the point at which the formation will start to break down was observed directly during past drilling operations at Brockham and nearby wells. The data are consistent and show that the fracture pressure of the formation at a depth of 700m (the depth of the injection point in the Bro</w:t>
      </w:r>
      <w:r w:rsidR="003D2E35" w:rsidRPr="00B246AC">
        <w:rPr>
          <w:color w:val="FF0000"/>
        </w:rPr>
        <w:t>c</w:t>
      </w:r>
      <w:r w:rsidRPr="00B246AC">
        <w:rPr>
          <w:color w:val="FF0000"/>
        </w:rPr>
        <w:t>kham 3 well</w:t>
      </w:r>
      <w:r w:rsidR="004C5ECE">
        <w:rPr>
          <w:color w:val="FF0000"/>
        </w:rPr>
        <w:t>)</w:t>
      </w:r>
      <w:r w:rsidRPr="00B246AC">
        <w:rPr>
          <w:color w:val="FF0000"/>
        </w:rPr>
        <w:t xml:space="preserve"> </w:t>
      </w:r>
      <w:r w:rsidR="003D2E35" w:rsidRPr="00B246AC">
        <w:rPr>
          <w:color w:val="FF0000"/>
        </w:rPr>
        <w:t>is around 140 Bar or 2060 psi which is around 1200 psi above the normal hydrostatic gradient. However, the Hydraulic Impedance Test from BP 1989 report indicates a formation breakdown pressure closer to 1635 psi. Therefore, we decided to use a conservative WHIP no more than 350 psi.</w:t>
      </w:r>
      <w:bookmarkEnd w:id="2"/>
    </w:p>
    <w:p w14:paraId="280B1E0A" w14:textId="77777777" w:rsidR="00370D33" w:rsidRPr="00AA165B" w:rsidRDefault="00370D33" w:rsidP="00AA165B">
      <w:pPr>
        <w:spacing w:line="276" w:lineRule="auto"/>
        <w:jc w:val="both"/>
        <w:rPr>
          <w:color w:val="000000" w:themeColor="text1"/>
        </w:rPr>
      </w:pPr>
    </w:p>
    <w:p w14:paraId="0A2DCC3B" w14:textId="77777777" w:rsidR="00370D33" w:rsidRDefault="00370D33">
      <w:pPr>
        <w:spacing w:line="276" w:lineRule="auto"/>
      </w:pPr>
    </w:p>
    <w:p w14:paraId="7D0919CD" w14:textId="77777777" w:rsidR="00370D33" w:rsidRDefault="00370D33" w:rsidP="00AA165B">
      <w:pPr>
        <w:spacing w:line="276" w:lineRule="auto"/>
        <w:jc w:val="center"/>
      </w:pPr>
      <w:r>
        <w:rPr>
          <w:noProof/>
        </w:rPr>
        <w:drawing>
          <wp:inline distT="0" distB="0" distL="0" distR="0" wp14:anchorId="24A5DA9D" wp14:editId="57303D36">
            <wp:extent cx="4181304" cy="4890407"/>
            <wp:effectExtent l="0" t="0" r="0" b="0"/>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9886" cy="4912140"/>
                    </a:xfrm>
                    <a:prstGeom prst="rect">
                      <a:avLst/>
                    </a:prstGeom>
                    <a:noFill/>
                  </pic:spPr>
                </pic:pic>
              </a:graphicData>
            </a:graphic>
          </wp:inline>
        </w:drawing>
      </w:r>
    </w:p>
    <w:p w14:paraId="34F28517" w14:textId="0028BD1A" w:rsidR="00F20A54" w:rsidRDefault="00F20A54" w:rsidP="00AA165B">
      <w:pPr>
        <w:spacing w:line="276" w:lineRule="auto"/>
        <w:jc w:val="center"/>
      </w:pPr>
      <w:r>
        <w:t>Figure 2: Fracture gradient data from Brockham and nearby wells.</w:t>
      </w:r>
    </w:p>
    <w:p w14:paraId="3225F865" w14:textId="77777777" w:rsidR="00F20A54" w:rsidRDefault="00F20A54" w:rsidP="00AA165B">
      <w:pPr>
        <w:spacing w:line="276" w:lineRule="auto"/>
        <w:jc w:val="center"/>
      </w:pPr>
    </w:p>
    <w:p w14:paraId="4EBBB0B5" w14:textId="56E88AE9" w:rsidR="00F20A54" w:rsidRDefault="00F20A54" w:rsidP="00AA165B">
      <w:pPr>
        <w:spacing w:line="276" w:lineRule="auto"/>
        <w:jc w:val="center"/>
        <w:sectPr w:rsidR="00F20A54">
          <w:pgSz w:w="11910" w:h="16840"/>
          <w:pgMar w:top="1040" w:right="1020" w:bottom="560" w:left="1000" w:header="0" w:footer="378" w:gutter="0"/>
          <w:cols w:space="720"/>
        </w:sectPr>
      </w:pPr>
    </w:p>
    <w:p w14:paraId="1176E361" w14:textId="77777777" w:rsidR="00671FEA" w:rsidRDefault="00BF5ACE">
      <w:pPr>
        <w:pStyle w:val="ListParagraph"/>
        <w:numPr>
          <w:ilvl w:val="0"/>
          <w:numId w:val="1"/>
        </w:numPr>
        <w:tabs>
          <w:tab w:val="left" w:pos="854"/>
        </w:tabs>
        <w:spacing w:before="72" w:line="278" w:lineRule="auto"/>
        <w:ind w:right="268"/>
      </w:pPr>
      <w:r>
        <w:lastRenderedPageBreak/>
        <w:t>Provide an evaluation of the results of the 2021 Cement Bond Log in your hydrogeological</w:t>
      </w:r>
      <w:r>
        <w:rPr>
          <w:spacing w:val="-59"/>
        </w:rPr>
        <w:t xml:space="preserve"> </w:t>
      </w:r>
      <w:r>
        <w:t>risk assessment.</w:t>
      </w:r>
    </w:p>
    <w:p w14:paraId="18FDA8A1" w14:textId="03A7F0A5" w:rsidR="00671FEA" w:rsidRDefault="00BF5ACE">
      <w:pPr>
        <w:pStyle w:val="BodyText"/>
        <w:spacing w:before="116" w:line="276" w:lineRule="auto"/>
        <w:ind w:left="132" w:right="174"/>
      </w:pPr>
      <w:r>
        <w:t>The findings of the 2021 CBL are considered by the Environment Agency to be an important</w:t>
      </w:r>
      <w:r>
        <w:rPr>
          <w:spacing w:val="1"/>
        </w:rPr>
        <w:t xml:space="preserve"> </w:t>
      </w:r>
      <w:r>
        <w:t>component of this variation, yet they have been omitted from this supplementary HRA. The 2021</w:t>
      </w:r>
      <w:r>
        <w:rPr>
          <w:spacing w:val="1"/>
        </w:rPr>
        <w:t xml:space="preserve"> </w:t>
      </w:r>
      <w:r>
        <w:t>CBL report identified less than ‘good’ cement sections adjacent to water-bearing strata, when</w:t>
      </w:r>
      <w:r>
        <w:rPr>
          <w:spacing w:val="1"/>
        </w:rPr>
        <w:t xml:space="preserve"> </w:t>
      </w:r>
      <w:r>
        <w:t>measured depths of the CBL are compared to published geological logs for BR-X1. This should be</w:t>
      </w:r>
      <w:r>
        <w:rPr>
          <w:spacing w:val="-59"/>
        </w:rPr>
        <w:t xml:space="preserve"> </w:t>
      </w:r>
      <w:r>
        <w:t>outlined,</w:t>
      </w:r>
      <w:r>
        <w:rPr>
          <w:spacing w:val="1"/>
        </w:rPr>
        <w:t xml:space="preserve"> </w:t>
      </w:r>
      <w:proofErr w:type="gramStart"/>
      <w:r>
        <w:t>discussed</w:t>
      </w:r>
      <w:proofErr w:type="gramEnd"/>
      <w:r>
        <w:rPr>
          <w:spacing w:val="-2"/>
        </w:rPr>
        <w:t xml:space="preserve"> </w:t>
      </w:r>
      <w:r>
        <w:t>and</w:t>
      </w:r>
      <w:r>
        <w:rPr>
          <w:spacing w:val="-2"/>
        </w:rPr>
        <w:t xml:space="preserve"> </w:t>
      </w:r>
      <w:r>
        <w:t>evaluated</w:t>
      </w:r>
      <w:r>
        <w:rPr>
          <w:spacing w:val="1"/>
        </w:rPr>
        <w:t xml:space="preserve"> </w:t>
      </w:r>
      <w:r>
        <w:t>in your</w:t>
      </w:r>
      <w:r>
        <w:rPr>
          <w:spacing w:val="1"/>
        </w:rPr>
        <w:t xml:space="preserve"> </w:t>
      </w:r>
      <w:r>
        <w:t>HRA.</w:t>
      </w:r>
    </w:p>
    <w:p w14:paraId="5CC7AC54" w14:textId="732AE9CE" w:rsidR="00370D33" w:rsidRDefault="00370D33">
      <w:pPr>
        <w:pStyle w:val="BodyText"/>
        <w:spacing w:before="116" w:line="276" w:lineRule="auto"/>
        <w:ind w:left="132" w:right="174"/>
      </w:pPr>
    </w:p>
    <w:p w14:paraId="017EF295" w14:textId="0A10C66A" w:rsidR="00370D33" w:rsidRPr="00B246AC" w:rsidRDefault="00370D33" w:rsidP="00370D33">
      <w:pPr>
        <w:jc w:val="both"/>
        <w:rPr>
          <w:i/>
          <w:iCs/>
          <w:color w:val="FF0000"/>
        </w:rPr>
      </w:pPr>
      <w:r w:rsidRPr="00224EDE">
        <w:rPr>
          <w:i/>
          <w:iCs/>
          <w:color w:val="FF0000"/>
        </w:rPr>
        <w:t xml:space="preserve">Figure </w:t>
      </w:r>
      <w:r w:rsidR="00F20A54" w:rsidRPr="00224EDE">
        <w:rPr>
          <w:i/>
          <w:iCs/>
          <w:color w:val="FF0000"/>
        </w:rPr>
        <w:t>3</w:t>
      </w:r>
      <w:r w:rsidRPr="00224EDE">
        <w:rPr>
          <w:i/>
          <w:iCs/>
          <w:color w:val="FF0000"/>
        </w:rPr>
        <w:t xml:space="preserve"> below shows the various aquifers present in the well in the context of the casing strings run to</w:t>
      </w:r>
      <w:r w:rsidRPr="00AA165B">
        <w:rPr>
          <w:i/>
          <w:iCs/>
          <w:color w:val="000000" w:themeColor="text1"/>
        </w:rPr>
        <w:t xml:space="preserve"> </w:t>
      </w:r>
      <w:r w:rsidRPr="00B246AC">
        <w:rPr>
          <w:i/>
          <w:iCs/>
          <w:color w:val="FF0000"/>
        </w:rPr>
        <w:t>protect and isolate them. The three aquifers of particular interest because they contain fresh water are the Upper and Lower Tunbridge Sands and the Ashdown Sands. These are behind the 7” casing which was cemented to surface and the 9 5/8</w:t>
      </w:r>
      <w:r w:rsidRPr="00B246AC">
        <w:rPr>
          <w:i/>
          <w:iCs/>
          <w:color w:val="FF0000"/>
          <w:vertAlign w:val="superscript"/>
        </w:rPr>
        <w:t>th</w:t>
      </w:r>
      <w:r w:rsidRPr="00B246AC">
        <w:rPr>
          <w:i/>
          <w:iCs/>
          <w:color w:val="FF0000"/>
        </w:rPr>
        <w:t xml:space="preserve"> inch casing also cemented to surface. So</w:t>
      </w:r>
      <w:r w:rsidR="0019416E">
        <w:rPr>
          <w:i/>
          <w:iCs/>
          <w:color w:val="FF0000"/>
        </w:rPr>
        <w:t>,</w:t>
      </w:r>
      <w:r w:rsidRPr="00B246AC">
        <w:rPr>
          <w:i/>
          <w:iCs/>
          <w:color w:val="FF0000"/>
        </w:rPr>
        <w:t xml:space="preserve"> these aquifers are protected from the wellbore contents by two steel casing strings and two cement barriers.</w:t>
      </w:r>
    </w:p>
    <w:p w14:paraId="7E2CF5CC" w14:textId="77777777" w:rsidR="00370D33" w:rsidRPr="00B246AC" w:rsidRDefault="00370D33" w:rsidP="00370D33">
      <w:pPr>
        <w:jc w:val="both"/>
        <w:rPr>
          <w:i/>
          <w:iCs/>
          <w:color w:val="FF0000"/>
        </w:rPr>
      </w:pPr>
    </w:p>
    <w:p w14:paraId="1DDE91BE" w14:textId="6A996CCC" w:rsidR="00370D33" w:rsidRPr="00B246AC" w:rsidRDefault="00370D33" w:rsidP="00370D33">
      <w:pPr>
        <w:jc w:val="both"/>
        <w:rPr>
          <w:i/>
          <w:iCs/>
          <w:color w:val="FF0000"/>
        </w:rPr>
      </w:pPr>
      <w:r w:rsidRPr="00B246AC">
        <w:rPr>
          <w:i/>
          <w:iCs/>
          <w:color w:val="FF0000"/>
        </w:rPr>
        <w:t xml:space="preserve">The Purbeck Limestone aquifer is present below the 9 5/8” casing but is behind the 7” casing and the cement barrier around it. The cement bond logs run in the 7” casing </w:t>
      </w:r>
      <w:proofErr w:type="gramStart"/>
      <w:r w:rsidRPr="00B246AC">
        <w:rPr>
          <w:i/>
          <w:iCs/>
          <w:color w:val="FF0000"/>
        </w:rPr>
        <w:t>are</w:t>
      </w:r>
      <w:proofErr w:type="gramEnd"/>
      <w:r w:rsidRPr="00B246AC">
        <w:rPr>
          <w:i/>
          <w:iCs/>
          <w:color w:val="FF0000"/>
        </w:rPr>
        <w:t xml:space="preserve"> shown in figure </w:t>
      </w:r>
      <w:r w:rsidR="00F20A54">
        <w:rPr>
          <w:i/>
          <w:iCs/>
          <w:color w:val="FF0000"/>
        </w:rPr>
        <w:t>4</w:t>
      </w:r>
      <w:r w:rsidRPr="00B246AC">
        <w:rPr>
          <w:i/>
          <w:iCs/>
          <w:color w:val="FF0000"/>
        </w:rPr>
        <w:t xml:space="preserve"> below. The main obvious conclusions from the cement bond logs and the reports are that there are two good cement sections above the reservoir. These sections of good bond show excellent consistency between the three cement bond logs run in 1987, 2003 and 2021 despite the differences in the tools used</w:t>
      </w:r>
      <w:r w:rsidR="00B47B7C">
        <w:rPr>
          <w:i/>
          <w:iCs/>
          <w:color w:val="FF0000"/>
        </w:rPr>
        <w:t>.</w:t>
      </w:r>
    </w:p>
    <w:p w14:paraId="7E89E3FC" w14:textId="77777777" w:rsidR="00370D33" w:rsidRPr="00B246AC" w:rsidRDefault="00370D33" w:rsidP="00370D33">
      <w:pPr>
        <w:jc w:val="both"/>
        <w:rPr>
          <w:i/>
          <w:iCs/>
          <w:color w:val="FF0000"/>
        </w:rPr>
      </w:pPr>
    </w:p>
    <w:p w14:paraId="0AFC4312" w14:textId="77777777" w:rsidR="00370D33" w:rsidRPr="00B246AC" w:rsidRDefault="00370D33" w:rsidP="00370D33">
      <w:pPr>
        <w:jc w:val="both"/>
        <w:rPr>
          <w:i/>
          <w:iCs/>
          <w:color w:val="FF0000"/>
        </w:rPr>
      </w:pPr>
      <w:r w:rsidRPr="00B246AC">
        <w:rPr>
          <w:i/>
          <w:iCs/>
          <w:color w:val="FF0000"/>
        </w:rPr>
        <w:t>There can therefore be assurance that there can be no movement of water upwards from the reservoir to the Purbeck aquifer and beyond. There is also the fundamental fact that since the oil reservoir remains below the pressure in the aquifers above there can be no flow from the oil reservoirs to the aquifer as fluid flow cannot go from low pressure towards higher pressure.</w:t>
      </w:r>
    </w:p>
    <w:p w14:paraId="50759C53" w14:textId="77777777" w:rsidR="00370D33" w:rsidRPr="00B246AC" w:rsidRDefault="00370D33" w:rsidP="00370D33">
      <w:pPr>
        <w:jc w:val="both"/>
        <w:rPr>
          <w:i/>
          <w:iCs/>
          <w:color w:val="FF0000"/>
        </w:rPr>
      </w:pPr>
    </w:p>
    <w:p w14:paraId="0AA5BB38" w14:textId="4EF60DA0" w:rsidR="00370D33" w:rsidRPr="00B246AC" w:rsidRDefault="00370D33" w:rsidP="00370D33">
      <w:pPr>
        <w:jc w:val="both"/>
        <w:rPr>
          <w:i/>
          <w:iCs/>
          <w:color w:val="FF0000"/>
        </w:rPr>
      </w:pPr>
      <w:r w:rsidRPr="00B246AC">
        <w:rPr>
          <w:i/>
          <w:iCs/>
          <w:color w:val="FF0000"/>
        </w:rPr>
        <w:t>Lastly, there is no communication from the reservoir to shallower formations as the reservoir is being sealed by an impermeable layer, the Purbeck Anhydrite.</w:t>
      </w:r>
    </w:p>
    <w:p w14:paraId="130C173B" w14:textId="77777777" w:rsidR="00370D33" w:rsidRPr="00AA165B" w:rsidRDefault="00370D33" w:rsidP="00370D33">
      <w:pPr>
        <w:rPr>
          <w:color w:val="000000" w:themeColor="text1"/>
        </w:rPr>
      </w:pPr>
    </w:p>
    <w:p w14:paraId="51E3FBA3" w14:textId="77777777" w:rsidR="00370D33" w:rsidRDefault="00370D33" w:rsidP="00370D33"/>
    <w:p w14:paraId="323987D0" w14:textId="77777777" w:rsidR="00370D33" w:rsidRDefault="00370D33" w:rsidP="00370D33"/>
    <w:p w14:paraId="641C0A1B" w14:textId="77777777" w:rsidR="00370D33" w:rsidRDefault="00370D33" w:rsidP="00370D33"/>
    <w:p w14:paraId="22BC9BF5" w14:textId="77777777" w:rsidR="00370D33" w:rsidRDefault="00370D33" w:rsidP="00370D33">
      <w:r>
        <w:rPr>
          <w:noProof/>
        </w:rPr>
        <w:lastRenderedPageBreak/>
        <w:drawing>
          <wp:inline distT="0" distB="0" distL="0" distR="0" wp14:anchorId="38EEFB35" wp14:editId="4327E676">
            <wp:extent cx="5435600" cy="80040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8175" cy="8007869"/>
                    </a:xfrm>
                    <a:prstGeom prst="rect">
                      <a:avLst/>
                    </a:prstGeom>
                    <a:noFill/>
                  </pic:spPr>
                </pic:pic>
              </a:graphicData>
            </a:graphic>
          </wp:inline>
        </w:drawing>
      </w:r>
    </w:p>
    <w:p w14:paraId="38B7B9EE" w14:textId="77777777" w:rsidR="00370D33" w:rsidRDefault="00370D33" w:rsidP="00370D33"/>
    <w:p w14:paraId="7B64B494" w14:textId="4DB81134" w:rsidR="00370D33" w:rsidRPr="00013E5B" w:rsidRDefault="00370D33" w:rsidP="00370D33">
      <w:pPr>
        <w:jc w:val="center"/>
        <w:rPr>
          <w:color w:val="FF0000"/>
        </w:rPr>
      </w:pPr>
      <w:r w:rsidRPr="00013E5B">
        <w:rPr>
          <w:color w:val="FF0000"/>
        </w:rPr>
        <w:t xml:space="preserve">Figure </w:t>
      </w:r>
      <w:r w:rsidR="00F20A54" w:rsidRPr="00013E5B">
        <w:rPr>
          <w:color w:val="FF0000"/>
        </w:rPr>
        <w:t>3:</w:t>
      </w:r>
      <w:r w:rsidRPr="00013E5B">
        <w:rPr>
          <w:color w:val="FF0000"/>
        </w:rPr>
        <w:t xml:space="preserve"> Summary of barriers present in the water injection </w:t>
      </w:r>
      <w:proofErr w:type="gramStart"/>
      <w:r w:rsidRPr="00013E5B">
        <w:rPr>
          <w:color w:val="FF0000"/>
        </w:rPr>
        <w:t>well</w:t>
      </w:r>
      <w:proofErr w:type="gramEnd"/>
    </w:p>
    <w:p w14:paraId="617078CA" w14:textId="77777777" w:rsidR="00370D33" w:rsidRDefault="00370D33" w:rsidP="00370D33">
      <w:pPr>
        <w:jc w:val="center"/>
      </w:pPr>
    </w:p>
    <w:p w14:paraId="32D6D44C" w14:textId="77777777" w:rsidR="00370D33" w:rsidRDefault="00370D33" w:rsidP="00370D33">
      <w:pPr>
        <w:jc w:val="center"/>
      </w:pPr>
      <w:r>
        <w:rPr>
          <w:noProof/>
        </w:rPr>
        <w:lastRenderedPageBreak/>
        <w:drawing>
          <wp:inline distT="0" distB="0" distL="0" distR="0" wp14:anchorId="6CC11E46" wp14:editId="47B3425D">
            <wp:extent cx="5730875" cy="37592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0875" cy="3759200"/>
                    </a:xfrm>
                    <a:prstGeom prst="rect">
                      <a:avLst/>
                    </a:prstGeom>
                    <a:noFill/>
                    <a:ln>
                      <a:noFill/>
                    </a:ln>
                  </pic:spPr>
                </pic:pic>
              </a:graphicData>
            </a:graphic>
          </wp:inline>
        </w:drawing>
      </w:r>
    </w:p>
    <w:p w14:paraId="769B2533" w14:textId="6B92E285" w:rsidR="00370D33" w:rsidRDefault="00370D33" w:rsidP="00370D33">
      <w:pPr>
        <w:jc w:val="center"/>
      </w:pPr>
      <w:r>
        <w:t xml:space="preserve">Figure </w:t>
      </w:r>
      <w:r w:rsidR="00F20A54">
        <w:t>4:</w:t>
      </w:r>
      <w:r>
        <w:t xml:space="preserve"> Comparison of CBL logs</w:t>
      </w:r>
    </w:p>
    <w:p w14:paraId="50587520" w14:textId="77777777" w:rsidR="00370D33" w:rsidRDefault="00370D33">
      <w:pPr>
        <w:pStyle w:val="BodyText"/>
        <w:spacing w:before="116" w:line="276" w:lineRule="auto"/>
        <w:ind w:left="132" w:right="174"/>
      </w:pPr>
    </w:p>
    <w:p w14:paraId="563AD84B" w14:textId="77777777" w:rsidR="00671FEA" w:rsidRPr="0075227D" w:rsidRDefault="00BF5ACE">
      <w:pPr>
        <w:pStyle w:val="ListParagraph"/>
        <w:numPr>
          <w:ilvl w:val="0"/>
          <w:numId w:val="1"/>
        </w:numPr>
        <w:tabs>
          <w:tab w:val="left" w:pos="854"/>
        </w:tabs>
        <w:spacing w:before="120" w:line="276" w:lineRule="auto"/>
        <w:ind w:right="382"/>
      </w:pPr>
      <w:r w:rsidRPr="0075227D">
        <w:t>Provide additional data and explanation justify the absence of groundwater monitoring as</w:t>
      </w:r>
      <w:r w:rsidRPr="0075227D">
        <w:rPr>
          <w:spacing w:val="-59"/>
        </w:rPr>
        <w:t xml:space="preserve"> </w:t>
      </w:r>
      <w:r w:rsidRPr="0075227D">
        <w:t>outlined</w:t>
      </w:r>
      <w:r w:rsidRPr="0075227D">
        <w:rPr>
          <w:spacing w:val="-1"/>
        </w:rPr>
        <w:t xml:space="preserve"> </w:t>
      </w:r>
      <w:r w:rsidRPr="0075227D">
        <w:t>in section</w:t>
      </w:r>
      <w:r w:rsidRPr="0075227D">
        <w:rPr>
          <w:spacing w:val="-2"/>
        </w:rPr>
        <w:t xml:space="preserve"> </w:t>
      </w:r>
      <w:r w:rsidRPr="0075227D">
        <w:t>2.5.</w:t>
      </w:r>
    </w:p>
    <w:p w14:paraId="2A888ABE" w14:textId="6CBAB243" w:rsidR="00671FEA" w:rsidRDefault="00BF5ACE">
      <w:pPr>
        <w:pStyle w:val="BodyText"/>
        <w:spacing w:before="119" w:line="276" w:lineRule="auto"/>
        <w:ind w:left="132"/>
      </w:pPr>
      <w:r w:rsidRPr="0075227D">
        <w:t>The absence of groundwater monitoring is only acceptable if we are satisfied with operational</w:t>
      </w:r>
      <w:r w:rsidRPr="0075227D">
        <w:rPr>
          <w:spacing w:val="1"/>
        </w:rPr>
        <w:t xml:space="preserve"> </w:t>
      </w:r>
      <w:r w:rsidRPr="0075227D">
        <w:t>procedures and both current and future well integrity. Direction back to the original HRA is not</w:t>
      </w:r>
      <w:r w:rsidRPr="0075227D">
        <w:rPr>
          <w:spacing w:val="1"/>
        </w:rPr>
        <w:t xml:space="preserve"> </w:t>
      </w:r>
      <w:r w:rsidRPr="0075227D">
        <w:t>sufficient</w:t>
      </w:r>
      <w:r w:rsidRPr="0075227D">
        <w:rPr>
          <w:spacing w:val="-3"/>
        </w:rPr>
        <w:t xml:space="preserve"> </w:t>
      </w:r>
      <w:r w:rsidRPr="0075227D">
        <w:t>as</w:t>
      </w:r>
      <w:r w:rsidRPr="0075227D">
        <w:rPr>
          <w:spacing w:val="-3"/>
        </w:rPr>
        <w:t xml:space="preserve"> </w:t>
      </w:r>
      <w:r w:rsidRPr="0075227D">
        <w:t>the</w:t>
      </w:r>
      <w:r w:rsidRPr="0075227D">
        <w:rPr>
          <w:spacing w:val="-3"/>
        </w:rPr>
        <w:t xml:space="preserve"> </w:t>
      </w:r>
      <w:r w:rsidRPr="0075227D">
        <w:t>HRA</w:t>
      </w:r>
      <w:r w:rsidRPr="0075227D">
        <w:rPr>
          <w:spacing w:val="-2"/>
        </w:rPr>
        <w:t xml:space="preserve"> </w:t>
      </w:r>
      <w:r w:rsidRPr="0075227D">
        <w:t>was</w:t>
      </w:r>
      <w:r w:rsidRPr="0075227D">
        <w:rPr>
          <w:spacing w:val="2"/>
        </w:rPr>
        <w:t xml:space="preserve"> </w:t>
      </w:r>
      <w:r w:rsidRPr="0075227D">
        <w:t>identified</w:t>
      </w:r>
      <w:r w:rsidRPr="0075227D">
        <w:rPr>
          <w:spacing w:val="-1"/>
        </w:rPr>
        <w:t xml:space="preserve"> </w:t>
      </w:r>
      <w:r w:rsidRPr="0075227D">
        <w:t>as</w:t>
      </w:r>
      <w:r w:rsidRPr="0075227D">
        <w:rPr>
          <w:spacing w:val="-4"/>
        </w:rPr>
        <w:t xml:space="preserve"> </w:t>
      </w:r>
      <w:r w:rsidRPr="0075227D">
        <w:t>being</w:t>
      </w:r>
      <w:r w:rsidRPr="0075227D">
        <w:rPr>
          <w:spacing w:val="-3"/>
        </w:rPr>
        <w:t xml:space="preserve"> </w:t>
      </w:r>
      <w:r w:rsidRPr="0075227D">
        <w:t>weak in</w:t>
      </w:r>
      <w:r w:rsidRPr="0075227D">
        <w:rPr>
          <w:spacing w:val="-1"/>
        </w:rPr>
        <w:t xml:space="preserve"> </w:t>
      </w:r>
      <w:r w:rsidRPr="0075227D">
        <w:t>this</w:t>
      </w:r>
      <w:r w:rsidRPr="0075227D">
        <w:rPr>
          <w:spacing w:val="-4"/>
        </w:rPr>
        <w:t xml:space="preserve"> </w:t>
      </w:r>
      <w:r w:rsidRPr="0075227D">
        <w:t>respect.</w:t>
      </w:r>
      <w:r w:rsidRPr="0075227D">
        <w:rPr>
          <w:spacing w:val="1"/>
        </w:rPr>
        <w:t xml:space="preserve"> </w:t>
      </w:r>
      <w:r w:rsidRPr="0075227D">
        <w:t>Further</w:t>
      </w:r>
      <w:r w:rsidRPr="0075227D">
        <w:rPr>
          <w:spacing w:val="-2"/>
        </w:rPr>
        <w:t xml:space="preserve"> </w:t>
      </w:r>
      <w:r w:rsidRPr="0075227D">
        <w:t>justification</w:t>
      </w:r>
      <w:r w:rsidRPr="0075227D">
        <w:rPr>
          <w:spacing w:val="-2"/>
        </w:rPr>
        <w:t xml:space="preserve"> </w:t>
      </w:r>
      <w:r w:rsidRPr="0075227D">
        <w:t>is</w:t>
      </w:r>
      <w:r w:rsidRPr="0075227D">
        <w:rPr>
          <w:spacing w:val="-3"/>
        </w:rPr>
        <w:t xml:space="preserve"> </w:t>
      </w:r>
      <w:r w:rsidRPr="0075227D">
        <w:t>required.</w:t>
      </w:r>
    </w:p>
    <w:p w14:paraId="10B01F16" w14:textId="2805AB7B" w:rsidR="00013E5B" w:rsidRPr="00013E5B" w:rsidRDefault="00013E5B" w:rsidP="00013E5B">
      <w:pPr>
        <w:pStyle w:val="BodyText"/>
        <w:spacing w:before="119" w:line="276" w:lineRule="auto"/>
        <w:rPr>
          <w:i w:val="0"/>
          <w:iCs w:val="0"/>
          <w:color w:val="FF0000"/>
        </w:rPr>
      </w:pPr>
      <w:r w:rsidRPr="00013E5B">
        <w:rPr>
          <w:i w:val="0"/>
          <w:iCs w:val="0"/>
          <w:color w:val="FF0000"/>
        </w:rPr>
        <w:t>Section 2.5 has been updated.</w:t>
      </w:r>
    </w:p>
    <w:p w14:paraId="533F582A" w14:textId="77777777" w:rsidR="00671FEA" w:rsidRDefault="00BF5ACE">
      <w:pPr>
        <w:pStyle w:val="ListParagraph"/>
        <w:numPr>
          <w:ilvl w:val="0"/>
          <w:numId w:val="1"/>
        </w:numPr>
        <w:tabs>
          <w:tab w:val="left" w:pos="854"/>
        </w:tabs>
        <w:spacing w:before="122" w:line="276" w:lineRule="auto"/>
        <w:ind w:right="236"/>
      </w:pPr>
      <w:r>
        <w:t>Provide additional data and explanation upon which the statements regarding well integrity</w:t>
      </w:r>
      <w:r>
        <w:rPr>
          <w:spacing w:val="-59"/>
        </w:rPr>
        <w:t xml:space="preserve"> </w:t>
      </w:r>
      <w:r>
        <w:t>are based in sections 2.5 and section 3. This should include evidence that the logs were</w:t>
      </w:r>
      <w:r>
        <w:rPr>
          <w:spacing w:val="1"/>
        </w:rPr>
        <w:t xml:space="preserve"> </w:t>
      </w:r>
      <w:r>
        <w:t>independently</w:t>
      </w:r>
      <w:r>
        <w:rPr>
          <w:spacing w:val="-3"/>
        </w:rPr>
        <w:t xml:space="preserve"> </w:t>
      </w:r>
      <w:r>
        <w:t>verified and substantiated.</w:t>
      </w:r>
    </w:p>
    <w:p w14:paraId="4026257D" w14:textId="77777777" w:rsidR="00671FEA" w:rsidRDefault="00BF5ACE">
      <w:pPr>
        <w:pStyle w:val="BodyText"/>
        <w:spacing w:before="120" w:line="276" w:lineRule="auto"/>
        <w:ind w:left="132" w:right="199"/>
      </w:pPr>
      <w:r>
        <w:t xml:space="preserve">Section 3.0 provides </w:t>
      </w:r>
      <w:proofErr w:type="gramStart"/>
      <w:r>
        <w:t>a brief summary</w:t>
      </w:r>
      <w:proofErr w:type="gramEnd"/>
      <w:r>
        <w:t xml:space="preserve"> and conclusions based on the previous sections of the</w:t>
      </w:r>
      <w:r>
        <w:rPr>
          <w:spacing w:val="1"/>
        </w:rPr>
        <w:t xml:space="preserve"> </w:t>
      </w:r>
      <w:r>
        <w:t xml:space="preserve">report. </w:t>
      </w:r>
      <w:proofErr w:type="gramStart"/>
      <w:r>
        <w:t>It</w:t>
      </w:r>
      <w:proofErr w:type="gramEnd"/>
      <w:r>
        <w:t xml:space="preserve"> summaries the evidence that SLR have accumulated to address the 3 aspects that have</w:t>
      </w:r>
      <w:r>
        <w:rPr>
          <w:spacing w:val="1"/>
        </w:rPr>
        <w:t xml:space="preserve"> </w:t>
      </w:r>
      <w:r>
        <w:t>prevented reinjection activities being permitted at Brockham. It should be noted that although the</w:t>
      </w:r>
      <w:r>
        <w:rPr>
          <w:spacing w:val="1"/>
        </w:rPr>
        <w:t xml:space="preserve"> </w:t>
      </w:r>
      <w:r>
        <w:t>comments on the potability of some of the nearer surface aquifers are reasonable, this does not</w:t>
      </w:r>
      <w:r>
        <w:rPr>
          <w:spacing w:val="1"/>
        </w:rPr>
        <w:t xml:space="preserve"> </w:t>
      </w:r>
      <w:r>
        <w:t>mean that a reinjection activity is permissible without due regard to the risks of potentially polluting</w:t>
      </w:r>
      <w:r>
        <w:rPr>
          <w:spacing w:val="-60"/>
        </w:rPr>
        <w:t xml:space="preserve"> </w:t>
      </w:r>
      <w:r>
        <w:t>discharges</w:t>
      </w:r>
      <w:r>
        <w:rPr>
          <w:spacing w:val="-3"/>
        </w:rPr>
        <w:t xml:space="preserve"> </w:t>
      </w:r>
      <w:r>
        <w:t>to groundwater.</w:t>
      </w:r>
    </w:p>
    <w:p w14:paraId="12790B46" w14:textId="77777777" w:rsidR="00671FEA" w:rsidRDefault="00BF5ACE">
      <w:pPr>
        <w:pStyle w:val="BodyText"/>
        <w:spacing w:before="120" w:line="276" w:lineRule="auto"/>
        <w:ind w:left="132" w:right="1055"/>
      </w:pPr>
      <w:r>
        <w:t>The report states “…the pressure containment integrity of the well has been checked with</w:t>
      </w:r>
      <w:r>
        <w:rPr>
          <w:spacing w:val="-59"/>
        </w:rPr>
        <w:t xml:space="preserve"> </w:t>
      </w:r>
      <w:r>
        <w:t>independent</w:t>
      </w:r>
      <w:r>
        <w:rPr>
          <w:spacing w:val="-1"/>
        </w:rPr>
        <w:t xml:space="preserve"> </w:t>
      </w:r>
      <w:r>
        <w:t>verification</w:t>
      </w:r>
      <w:r>
        <w:rPr>
          <w:spacing w:val="-3"/>
        </w:rPr>
        <w:t xml:space="preserve"> </w:t>
      </w:r>
      <w:r>
        <w:t>of</w:t>
      </w:r>
      <w:r>
        <w:rPr>
          <w:spacing w:val="-3"/>
        </w:rPr>
        <w:t xml:space="preserve"> </w:t>
      </w:r>
      <w:r>
        <w:t>the</w:t>
      </w:r>
      <w:r>
        <w:rPr>
          <w:spacing w:val="-1"/>
        </w:rPr>
        <w:t xml:space="preserve"> </w:t>
      </w:r>
      <w:r>
        <w:t>logs</w:t>
      </w:r>
      <w:r>
        <w:rPr>
          <w:spacing w:val="-4"/>
        </w:rPr>
        <w:t xml:space="preserve"> </w:t>
      </w:r>
      <w:r>
        <w:t>and</w:t>
      </w:r>
      <w:r>
        <w:rPr>
          <w:spacing w:val="-1"/>
        </w:rPr>
        <w:t xml:space="preserve"> </w:t>
      </w:r>
      <w:r>
        <w:t>observations”.</w:t>
      </w:r>
      <w:r>
        <w:rPr>
          <w:spacing w:val="1"/>
        </w:rPr>
        <w:t xml:space="preserve"> </w:t>
      </w:r>
      <w:r>
        <w:t>We</w:t>
      </w:r>
      <w:r>
        <w:rPr>
          <w:spacing w:val="-4"/>
        </w:rPr>
        <w:t xml:space="preserve"> </w:t>
      </w:r>
      <w:r>
        <w:t>require</w:t>
      </w:r>
      <w:r>
        <w:rPr>
          <w:spacing w:val="-3"/>
        </w:rPr>
        <w:t xml:space="preserve"> </w:t>
      </w:r>
      <w:r>
        <w:t>evidence</w:t>
      </w:r>
      <w:r>
        <w:rPr>
          <w:spacing w:val="-2"/>
        </w:rPr>
        <w:t xml:space="preserve"> </w:t>
      </w:r>
      <w:r>
        <w:t>of</w:t>
      </w:r>
      <w:r>
        <w:rPr>
          <w:spacing w:val="-1"/>
        </w:rPr>
        <w:t xml:space="preserve"> </w:t>
      </w:r>
      <w:r>
        <w:t>this.</w:t>
      </w:r>
    </w:p>
    <w:p w14:paraId="48B22E42" w14:textId="5EDEA72C" w:rsidR="00671FEA" w:rsidRDefault="00671FEA">
      <w:pPr>
        <w:pStyle w:val="BodyText"/>
        <w:rPr>
          <w:sz w:val="24"/>
        </w:rPr>
      </w:pPr>
    </w:p>
    <w:p w14:paraId="0740EC8F" w14:textId="77777777" w:rsidR="00370D33" w:rsidRPr="00B246AC" w:rsidRDefault="00370D33" w:rsidP="00370D33">
      <w:pPr>
        <w:jc w:val="both"/>
        <w:rPr>
          <w:color w:val="FF0000"/>
        </w:rPr>
      </w:pPr>
      <w:r w:rsidRPr="00B246AC">
        <w:rPr>
          <w:color w:val="FF0000"/>
        </w:rPr>
        <w:t xml:space="preserve">The pressure containment integrity of the well has been checked with independent verification of the logs and pressure testing of all the components of the well during the latest workover. </w:t>
      </w:r>
      <w:bookmarkStart w:id="3" w:name="_Hlk75253532"/>
      <w:r w:rsidRPr="00B246AC">
        <w:rPr>
          <w:color w:val="FF0000"/>
        </w:rPr>
        <w:t xml:space="preserve">The new completion (injection tubing) that was installed in the well includes a packer, which isolates the injection tubing from the annulus between the injection tubing and the 7’’ casing. The injected fluid will be enclosed in the tubing, which was tested at 2500 psi while setting the packer. The 7’’ casing was pressure tested at 100 psi (pressure measure at surface). </w:t>
      </w:r>
    </w:p>
    <w:p w14:paraId="60BFE72A" w14:textId="77777777" w:rsidR="00370D33" w:rsidRPr="00B246AC" w:rsidRDefault="00370D33" w:rsidP="00370D33">
      <w:pPr>
        <w:jc w:val="both"/>
        <w:rPr>
          <w:color w:val="FF0000"/>
        </w:rPr>
      </w:pPr>
    </w:p>
    <w:p w14:paraId="3D141F75" w14:textId="29758484" w:rsidR="00370D33" w:rsidRPr="00B246AC" w:rsidRDefault="00370D33" w:rsidP="00370D33">
      <w:pPr>
        <w:jc w:val="both"/>
        <w:rPr>
          <w:color w:val="FF0000"/>
        </w:rPr>
      </w:pPr>
      <w:r w:rsidRPr="00B246AC">
        <w:rPr>
          <w:color w:val="FF0000"/>
        </w:rPr>
        <w:t xml:space="preserve">Figure </w:t>
      </w:r>
      <w:r w:rsidR="00F20A54">
        <w:rPr>
          <w:color w:val="FF0000"/>
        </w:rPr>
        <w:t>5</w:t>
      </w:r>
      <w:r w:rsidRPr="00B246AC">
        <w:rPr>
          <w:color w:val="FF0000"/>
        </w:rPr>
        <w:t xml:space="preserve"> presents the pressure test chart signed by the driller, tool pusher and drilling supervisor (DSV), who are competent independent contractors with many years of experience. This eliminates any possibility of discharge from inside the well to near surface aquifers. In addition, the tubing hanger seals </w:t>
      </w:r>
      <w:r w:rsidRPr="00B246AC">
        <w:rPr>
          <w:color w:val="FF0000"/>
        </w:rPr>
        <w:lastRenderedPageBreak/>
        <w:t>and the hold down bolts were pressure tested to 200 and 1000 psi for 5 and 10 minutes respectively (</w:t>
      </w:r>
      <w:r w:rsidR="003C128F">
        <w:rPr>
          <w:color w:val="FF0000"/>
        </w:rPr>
        <w:t>F</w:t>
      </w:r>
      <w:r w:rsidRPr="00224EDE">
        <w:rPr>
          <w:color w:val="FF0000"/>
        </w:rPr>
        <w:t xml:space="preserve">igure </w:t>
      </w:r>
      <w:r w:rsidR="00F20A54" w:rsidRPr="00224EDE">
        <w:rPr>
          <w:color w:val="FF0000"/>
        </w:rPr>
        <w:t>6</w:t>
      </w:r>
      <w:r w:rsidRPr="00224EDE">
        <w:rPr>
          <w:color w:val="FF0000"/>
        </w:rPr>
        <w:t xml:space="preserve">). </w:t>
      </w:r>
      <w:r w:rsidRPr="00B246AC">
        <w:rPr>
          <w:color w:val="FF0000"/>
        </w:rPr>
        <w:t xml:space="preserve">Figure </w:t>
      </w:r>
      <w:r w:rsidR="00F20A54">
        <w:rPr>
          <w:color w:val="FF0000"/>
        </w:rPr>
        <w:t>7</w:t>
      </w:r>
      <w:r w:rsidRPr="00B246AC">
        <w:rPr>
          <w:color w:val="FF0000"/>
        </w:rPr>
        <w:t xml:space="preserve"> shows the gate valves on top of the injection tubing being tested to 250 and 500 psi for 5 and 10 </w:t>
      </w:r>
      <w:r w:rsidR="009146ED" w:rsidRPr="00B246AC">
        <w:rPr>
          <w:color w:val="FF0000"/>
        </w:rPr>
        <w:t>minutes,</w:t>
      </w:r>
      <w:r w:rsidRPr="00B246AC">
        <w:rPr>
          <w:color w:val="FF0000"/>
        </w:rPr>
        <w:t xml:space="preserve"> respectively.</w:t>
      </w:r>
      <w:bookmarkEnd w:id="3"/>
    </w:p>
    <w:p w14:paraId="222C6EE5" w14:textId="77777777" w:rsidR="00AA165B" w:rsidRPr="00B246AC" w:rsidRDefault="00AA165B" w:rsidP="00370D33">
      <w:pPr>
        <w:jc w:val="both"/>
        <w:rPr>
          <w:color w:val="FF0000"/>
        </w:rPr>
      </w:pPr>
    </w:p>
    <w:p w14:paraId="4807A63E" w14:textId="77777777" w:rsidR="00370D33" w:rsidRPr="00B246AC" w:rsidRDefault="00370D33" w:rsidP="00370D33">
      <w:pPr>
        <w:jc w:val="center"/>
        <w:rPr>
          <w:color w:val="FF0000"/>
        </w:rPr>
      </w:pPr>
      <w:r w:rsidRPr="00B246AC">
        <w:rPr>
          <w:noProof/>
          <w:color w:val="FF0000"/>
        </w:rPr>
        <w:drawing>
          <wp:inline distT="0" distB="0" distL="0" distR="0" wp14:anchorId="63079F2E" wp14:editId="36728320">
            <wp:extent cx="3152273" cy="3887803"/>
            <wp:effectExtent l="0" t="0" r="0" b="0"/>
            <wp:docPr id="4" name="Picture 4" descr="A picture containing text, baromet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arometer, devi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59543" cy="3896769"/>
                    </a:xfrm>
                    <a:prstGeom prst="rect">
                      <a:avLst/>
                    </a:prstGeom>
                  </pic:spPr>
                </pic:pic>
              </a:graphicData>
            </a:graphic>
          </wp:inline>
        </w:drawing>
      </w:r>
    </w:p>
    <w:p w14:paraId="68817116" w14:textId="77777777" w:rsidR="00370D33" w:rsidRPr="00B246AC" w:rsidRDefault="00370D33" w:rsidP="00370D33">
      <w:pPr>
        <w:jc w:val="center"/>
        <w:rPr>
          <w:color w:val="FF0000"/>
        </w:rPr>
      </w:pPr>
    </w:p>
    <w:p w14:paraId="48DC4DA8" w14:textId="1D9E8683" w:rsidR="00370D33" w:rsidRPr="00B246AC" w:rsidRDefault="00370D33" w:rsidP="00370D33">
      <w:pPr>
        <w:jc w:val="center"/>
        <w:rPr>
          <w:color w:val="FF0000"/>
        </w:rPr>
      </w:pPr>
      <w:r w:rsidRPr="00B246AC">
        <w:rPr>
          <w:color w:val="FF0000"/>
        </w:rPr>
        <w:t xml:space="preserve">Figure </w:t>
      </w:r>
      <w:r w:rsidR="00F20A54">
        <w:rPr>
          <w:color w:val="FF0000"/>
        </w:rPr>
        <w:t>5</w:t>
      </w:r>
      <w:r w:rsidRPr="00B246AC">
        <w:rPr>
          <w:color w:val="FF0000"/>
        </w:rPr>
        <w:t>: Pressure test chart of tubing and annulus</w:t>
      </w:r>
    </w:p>
    <w:p w14:paraId="469BF8C1" w14:textId="77777777" w:rsidR="00370D33" w:rsidRPr="00B246AC" w:rsidRDefault="00370D33" w:rsidP="00370D33">
      <w:pPr>
        <w:jc w:val="center"/>
        <w:rPr>
          <w:color w:val="FF0000"/>
        </w:rPr>
      </w:pPr>
    </w:p>
    <w:p w14:paraId="68A2CBF8" w14:textId="77777777" w:rsidR="00370D33" w:rsidRPr="00B246AC" w:rsidRDefault="00370D33" w:rsidP="00370D33">
      <w:pPr>
        <w:jc w:val="center"/>
        <w:rPr>
          <w:color w:val="FF0000"/>
        </w:rPr>
      </w:pPr>
      <w:r w:rsidRPr="00B246AC">
        <w:rPr>
          <w:noProof/>
          <w:color w:val="FF0000"/>
        </w:rPr>
        <w:drawing>
          <wp:inline distT="0" distB="0" distL="0" distR="0" wp14:anchorId="621D2D2D" wp14:editId="145B0D4A">
            <wp:extent cx="3120189" cy="3915942"/>
            <wp:effectExtent l="0" t="0" r="4445"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1957" cy="3930711"/>
                    </a:xfrm>
                    <a:prstGeom prst="rect">
                      <a:avLst/>
                    </a:prstGeom>
                  </pic:spPr>
                </pic:pic>
              </a:graphicData>
            </a:graphic>
          </wp:inline>
        </w:drawing>
      </w:r>
    </w:p>
    <w:p w14:paraId="4877CA5A" w14:textId="77777777" w:rsidR="00370D33" w:rsidRPr="00B246AC" w:rsidRDefault="00370D33" w:rsidP="00370D33">
      <w:pPr>
        <w:jc w:val="center"/>
        <w:rPr>
          <w:color w:val="FF0000"/>
        </w:rPr>
      </w:pPr>
    </w:p>
    <w:p w14:paraId="369AAFB2" w14:textId="2FB566B2" w:rsidR="00370D33" w:rsidRPr="00B246AC" w:rsidRDefault="00370D33" w:rsidP="00370D33">
      <w:pPr>
        <w:jc w:val="center"/>
        <w:rPr>
          <w:color w:val="FF0000"/>
        </w:rPr>
      </w:pPr>
      <w:r w:rsidRPr="00B246AC">
        <w:rPr>
          <w:color w:val="FF0000"/>
        </w:rPr>
        <w:t xml:space="preserve">Figure </w:t>
      </w:r>
      <w:r w:rsidR="00F20A54">
        <w:rPr>
          <w:color w:val="FF0000"/>
        </w:rPr>
        <w:t>6</w:t>
      </w:r>
      <w:r w:rsidRPr="00B246AC">
        <w:rPr>
          <w:color w:val="FF0000"/>
        </w:rPr>
        <w:t xml:space="preserve">: Pressure test chart of tubing hanger seals and hold down </w:t>
      </w:r>
      <w:proofErr w:type="gramStart"/>
      <w:r w:rsidRPr="00B246AC">
        <w:rPr>
          <w:color w:val="FF0000"/>
        </w:rPr>
        <w:t>bolts</w:t>
      </w:r>
      <w:proofErr w:type="gramEnd"/>
    </w:p>
    <w:p w14:paraId="675300B3" w14:textId="77777777" w:rsidR="00370D33" w:rsidRPr="00B246AC" w:rsidRDefault="00370D33" w:rsidP="00370D33">
      <w:pPr>
        <w:jc w:val="center"/>
        <w:rPr>
          <w:color w:val="FF0000"/>
        </w:rPr>
      </w:pPr>
      <w:r w:rsidRPr="00B246AC">
        <w:rPr>
          <w:noProof/>
          <w:color w:val="FF0000"/>
        </w:rPr>
        <w:lastRenderedPageBreak/>
        <w:drawing>
          <wp:inline distT="0" distB="0" distL="0" distR="0" wp14:anchorId="04197F9E" wp14:editId="6141788F">
            <wp:extent cx="3039979" cy="3750887"/>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6682" cy="3783835"/>
                    </a:xfrm>
                    <a:prstGeom prst="rect">
                      <a:avLst/>
                    </a:prstGeom>
                  </pic:spPr>
                </pic:pic>
              </a:graphicData>
            </a:graphic>
          </wp:inline>
        </w:drawing>
      </w:r>
    </w:p>
    <w:p w14:paraId="764EC657" w14:textId="77777777" w:rsidR="00370D33" w:rsidRPr="00B246AC" w:rsidRDefault="00370D33" w:rsidP="00370D33">
      <w:pPr>
        <w:jc w:val="center"/>
        <w:rPr>
          <w:color w:val="FF0000"/>
        </w:rPr>
      </w:pPr>
    </w:p>
    <w:p w14:paraId="471BE659" w14:textId="18E32FA8" w:rsidR="00370D33" w:rsidRPr="00B246AC" w:rsidRDefault="00370D33" w:rsidP="00370D33">
      <w:pPr>
        <w:jc w:val="center"/>
        <w:rPr>
          <w:color w:val="FF0000"/>
        </w:rPr>
      </w:pPr>
      <w:r w:rsidRPr="00B246AC">
        <w:rPr>
          <w:color w:val="FF0000"/>
        </w:rPr>
        <w:t>Figure</w:t>
      </w:r>
      <w:r w:rsidR="00F20A54">
        <w:rPr>
          <w:color w:val="FF0000"/>
        </w:rPr>
        <w:t xml:space="preserve"> 7</w:t>
      </w:r>
      <w:r w:rsidRPr="00B246AC">
        <w:rPr>
          <w:color w:val="FF0000"/>
        </w:rPr>
        <w:t>: Pressure test chart of gate valves</w:t>
      </w:r>
    </w:p>
    <w:p w14:paraId="1460D028" w14:textId="77777777" w:rsidR="00370D33" w:rsidRPr="00B246AC" w:rsidRDefault="00370D33" w:rsidP="00370D33">
      <w:pPr>
        <w:jc w:val="both"/>
        <w:rPr>
          <w:color w:val="FF0000"/>
        </w:rPr>
      </w:pPr>
    </w:p>
    <w:p w14:paraId="611E509E" w14:textId="382BE282" w:rsidR="00370D33" w:rsidRPr="00B246AC" w:rsidRDefault="00370D33" w:rsidP="00370D33">
      <w:pPr>
        <w:pStyle w:val="NormalWeb"/>
        <w:jc w:val="both"/>
        <w:rPr>
          <w:rFonts w:ascii="Arial" w:hAnsi="Arial" w:cs="Arial"/>
          <w:i/>
          <w:iCs/>
          <w:color w:val="FF0000"/>
          <w:sz w:val="22"/>
          <w:szCs w:val="22"/>
        </w:rPr>
      </w:pPr>
      <w:r w:rsidRPr="00B246AC">
        <w:rPr>
          <w:color w:val="FF0000"/>
        </w:rPr>
        <w:t xml:space="preserve">As per EA’s request, a CBL was run earlier this year to evaluate the state and quality of the cement outside the 7’’ casing. The findings of the CBL were examined by an independent competent consultant from </w:t>
      </w:r>
      <w:r w:rsidRPr="00B246AC">
        <w:rPr>
          <w:rFonts w:ascii="Arial" w:hAnsi="Arial" w:cs="Arial"/>
          <w:i/>
          <w:iCs/>
          <w:color w:val="FF0000"/>
          <w:sz w:val="22"/>
          <w:szCs w:val="22"/>
        </w:rPr>
        <w:t>Oilfield International</w:t>
      </w:r>
      <w:r w:rsidRPr="00B246AC">
        <w:rPr>
          <w:color w:val="FF0000"/>
        </w:rPr>
        <w:t xml:space="preserve">, who also compared the results with past CBLs to evaluate if there is any degradation of the cement and quality of the bond. </w:t>
      </w:r>
      <w:bookmarkStart w:id="4" w:name="_Hlk75254125"/>
      <w:r w:rsidRPr="00B246AC">
        <w:rPr>
          <w:color w:val="FF0000"/>
        </w:rPr>
        <w:t>The competent person concluded that ‘’</w:t>
      </w:r>
      <w:r w:rsidRPr="00B246AC">
        <w:rPr>
          <w:i/>
          <w:iCs/>
          <w:color w:val="FF0000"/>
        </w:rPr>
        <w:t xml:space="preserve">Between the top of the liner at 597 m and the 9/5/8” casing shoe both logs are identical showing no change in the cement bond. Through this section there is an aggregate of over 126m of good to excellent bond including consistent sections of around 40m’’. </w:t>
      </w:r>
      <w:r w:rsidRPr="00B246AC">
        <w:rPr>
          <w:color w:val="FF0000"/>
        </w:rPr>
        <w:t>This confirms that there is no possibility of any leak behind the casing and any fluid migration to shallower aquifers.</w:t>
      </w:r>
      <w:r w:rsidRPr="00B246AC">
        <w:rPr>
          <w:i/>
          <w:iCs/>
          <w:color w:val="FF0000"/>
        </w:rPr>
        <w:t xml:space="preserve"> </w:t>
      </w:r>
      <w:r w:rsidRPr="00B246AC">
        <w:rPr>
          <w:rFonts w:ascii="Arial" w:hAnsi="Arial" w:cs="Arial"/>
          <w:i/>
          <w:iCs/>
          <w:color w:val="FF0000"/>
          <w:sz w:val="22"/>
          <w:szCs w:val="22"/>
        </w:rPr>
        <w:t>The s</w:t>
      </w:r>
      <w:r w:rsidR="00F12B88">
        <w:rPr>
          <w:rFonts w:ascii="Arial" w:hAnsi="Arial" w:cs="Arial"/>
          <w:i/>
          <w:iCs/>
          <w:color w:val="FF0000"/>
          <w:sz w:val="22"/>
          <w:szCs w:val="22"/>
        </w:rPr>
        <w:t>h</w:t>
      </w:r>
      <w:r w:rsidRPr="00B246AC">
        <w:rPr>
          <w:rFonts w:ascii="Arial" w:hAnsi="Arial" w:cs="Arial"/>
          <w:i/>
          <w:iCs/>
          <w:color w:val="FF0000"/>
          <w:sz w:val="22"/>
          <w:szCs w:val="22"/>
        </w:rPr>
        <w:t>allower aquifers horizons are also isolated from the 9-5/8’’ which is cemented to surface.</w:t>
      </w:r>
      <w:bookmarkEnd w:id="4"/>
    </w:p>
    <w:p w14:paraId="1EC0266B" w14:textId="77777777" w:rsidR="00370D33" w:rsidRPr="00AA165B" w:rsidRDefault="00370D33">
      <w:pPr>
        <w:pStyle w:val="BodyText"/>
        <w:rPr>
          <w:i w:val="0"/>
          <w:iCs w:val="0"/>
          <w:color w:val="000000" w:themeColor="text1"/>
          <w:sz w:val="24"/>
        </w:rPr>
      </w:pPr>
    </w:p>
    <w:p w14:paraId="76A56BCC" w14:textId="77777777" w:rsidR="00671FEA" w:rsidRPr="00AA165B" w:rsidRDefault="00671FEA">
      <w:pPr>
        <w:pStyle w:val="BodyText"/>
        <w:rPr>
          <w:color w:val="000000" w:themeColor="text1"/>
        </w:rPr>
      </w:pPr>
    </w:p>
    <w:p w14:paraId="43255870" w14:textId="77777777" w:rsidR="00671FEA" w:rsidRPr="00B246AC" w:rsidRDefault="00BF5ACE">
      <w:pPr>
        <w:pStyle w:val="Heading1"/>
        <w:rPr>
          <w:color w:val="000000" w:themeColor="text1"/>
        </w:rPr>
      </w:pPr>
      <w:r w:rsidRPr="00B246AC">
        <w:rPr>
          <w:color w:val="000000" w:themeColor="text1"/>
        </w:rPr>
        <w:t>Appendix</w:t>
      </w:r>
      <w:r w:rsidRPr="00B246AC">
        <w:rPr>
          <w:color w:val="000000" w:themeColor="text1"/>
          <w:spacing w:val="-4"/>
        </w:rPr>
        <w:t xml:space="preserve"> </w:t>
      </w:r>
      <w:r w:rsidRPr="00B246AC">
        <w:rPr>
          <w:color w:val="000000" w:themeColor="text1"/>
        </w:rPr>
        <w:t>04</w:t>
      </w:r>
      <w:r w:rsidRPr="00B246AC">
        <w:rPr>
          <w:color w:val="000000" w:themeColor="text1"/>
          <w:spacing w:val="-2"/>
        </w:rPr>
        <w:t xml:space="preserve"> </w:t>
      </w:r>
      <w:r w:rsidRPr="00B246AC">
        <w:rPr>
          <w:color w:val="000000" w:themeColor="text1"/>
        </w:rPr>
        <w:t>– Additional</w:t>
      </w:r>
      <w:r w:rsidRPr="00B246AC">
        <w:rPr>
          <w:color w:val="000000" w:themeColor="text1"/>
          <w:spacing w:val="-4"/>
        </w:rPr>
        <w:t xml:space="preserve"> </w:t>
      </w:r>
      <w:r w:rsidRPr="00B246AC">
        <w:rPr>
          <w:color w:val="000000" w:themeColor="text1"/>
        </w:rPr>
        <w:t>Well</w:t>
      </w:r>
      <w:r w:rsidRPr="00B246AC">
        <w:rPr>
          <w:color w:val="000000" w:themeColor="text1"/>
          <w:spacing w:val="-4"/>
        </w:rPr>
        <w:t xml:space="preserve"> </w:t>
      </w:r>
      <w:r w:rsidRPr="00B246AC">
        <w:rPr>
          <w:color w:val="000000" w:themeColor="text1"/>
        </w:rPr>
        <w:t>Integrity</w:t>
      </w:r>
      <w:r w:rsidRPr="00B246AC">
        <w:rPr>
          <w:color w:val="000000" w:themeColor="text1"/>
          <w:spacing w:val="-7"/>
        </w:rPr>
        <w:t xml:space="preserve"> </w:t>
      </w:r>
      <w:r w:rsidRPr="00B246AC">
        <w:rPr>
          <w:color w:val="000000" w:themeColor="text1"/>
        </w:rPr>
        <w:t>Report</w:t>
      </w:r>
      <w:r w:rsidRPr="00B246AC">
        <w:rPr>
          <w:color w:val="000000" w:themeColor="text1"/>
          <w:spacing w:val="-2"/>
        </w:rPr>
        <w:t xml:space="preserve"> </w:t>
      </w:r>
      <w:r w:rsidRPr="00B246AC">
        <w:rPr>
          <w:color w:val="000000" w:themeColor="text1"/>
        </w:rPr>
        <w:t>(ANGS-BRO-RP-HRA-001)</w:t>
      </w:r>
    </w:p>
    <w:p w14:paraId="0ABE86C0" w14:textId="77777777" w:rsidR="00671FEA" w:rsidRPr="00B246AC" w:rsidRDefault="00BF5ACE">
      <w:pPr>
        <w:pStyle w:val="ListParagraph"/>
        <w:numPr>
          <w:ilvl w:val="0"/>
          <w:numId w:val="1"/>
        </w:numPr>
        <w:tabs>
          <w:tab w:val="left" w:pos="854"/>
        </w:tabs>
        <w:spacing w:line="276" w:lineRule="auto"/>
        <w:ind w:right="906"/>
      </w:pPr>
      <w:r w:rsidRPr="00B246AC">
        <w:t>Provide source citations and additional explanation to support the data presented in</w:t>
      </w:r>
      <w:r w:rsidRPr="00B246AC">
        <w:rPr>
          <w:spacing w:val="-59"/>
        </w:rPr>
        <w:t xml:space="preserve"> </w:t>
      </w:r>
      <w:r w:rsidRPr="00B246AC">
        <w:t>Appendix</w:t>
      </w:r>
      <w:r w:rsidRPr="00B246AC">
        <w:rPr>
          <w:spacing w:val="-3"/>
        </w:rPr>
        <w:t xml:space="preserve"> </w:t>
      </w:r>
      <w:r w:rsidRPr="00B246AC">
        <w:t>04</w:t>
      </w:r>
      <w:r w:rsidRPr="00B246AC">
        <w:rPr>
          <w:spacing w:val="-1"/>
        </w:rPr>
        <w:t xml:space="preserve"> </w:t>
      </w:r>
      <w:r w:rsidRPr="00B246AC">
        <w:t>–</w:t>
      </w:r>
      <w:r w:rsidRPr="00B246AC">
        <w:rPr>
          <w:spacing w:val="-1"/>
        </w:rPr>
        <w:t xml:space="preserve"> </w:t>
      </w:r>
      <w:r w:rsidRPr="00B246AC">
        <w:t>Additional</w:t>
      </w:r>
      <w:r w:rsidRPr="00B246AC">
        <w:rPr>
          <w:spacing w:val="-6"/>
        </w:rPr>
        <w:t xml:space="preserve"> </w:t>
      </w:r>
      <w:r w:rsidRPr="00B246AC">
        <w:t>Well</w:t>
      </w:r>
      <w:r w:rsidRPr="00B246AC">
        <w:rPr>
          <w:spacing w:val="-1"/>
        </w:rPr>
        <w:t xml:space="preserve"> </w:t>
      </w:r>
      <w:r w:rsidRPr="00B246AC">
        <w:t>Integrity</w:t>
      </w:r>
      <w:r w:rsidRPr="00B246AC">
        <w:rPr>
          <w:spacing w:val="-2"/>
        </w:rPr>
        <w:t xml:space="preserve"> </w:t>
      </w:r>
      <w:r w:rsidRPr="00B246AC">
        <w:t>Report</w:t>
      </w:r>
      <w:r w:rsidRPr="00B246AC">
        <w:rPr>
          <w:spacing w:val="-1"/>
        </w:rPr>
        <w:t xml:space="preserve"> </w:t>
      </w:r>
      <w:r w:rsidRPr="00B246AC">
        <w:t>(ANGS-BRO-RP-HRA-001).</w:t>
      </w:r>
    </w:p>
    <w:p w14:paraId="4A4420DB" w14:textId="3AA09C55" w:rsidR="00671FEA" w:rsidRDefault="00BF5ACE">
      <w:pPr>
        <w:pStyle w:val="BodyText"/>
        <w:spacing w:before="119" w:line="276" w:lineRule="auto"/>
        <w:ind w:left="132" w:right="382"/>
      </w:pPr>
      <w:r w:rsidRPr="00B246AC">
        <w:t>This report should cite sources or append reports from which the data originates. Without this</w:t>
      </w:r>
      <w:r w:rsidRPr="00B246AC">
        <w:rPr>
          <w:spacing w:val="1"/>
        </w:rPr>
        <w:t xml:space="preserve"> </w:t>
      </w:r>
      <w:r w:rsidRPr="00B246AC">
        <w:t>information some of the tables (for example tables 2 and 3) lack context which prevents full</w:t>
      </w:r>
      <w:r w:rsidRPr="00B246AC">
        <w:rPr>
          <w:spacing w:val="1"/>
        </w:rPr>
        <w:t xml:space="preserve"> </w:t>
      </w:r>
      <w:r w:rsidRPr="00B246AC">
        <w:t xml:space="preserve">understanding. For </w:t>
      </w:r>
      <w:proofErr w:type="gramStart"/>
      <w:r w:rsidRPr="00B246AC">
        <w:t>example</w:t>
      </w:r>
      <w:proofErr w:type="gramEnd"/>
      <w:r w:rsidRPr="00B246AC">
        <w:t xml:space="preserve"> table 3 shows the pressure was rechecked at the end of a specified</w:t>
      </w:r>
      <w:r w:rsidRPr="00B246AC">
        <w:rPr>
          <w:spacing w:val="-59"/>
        </w:rPr>
        <w:t xml:space="preserve"> </w:t>
      </w:r>
      <w:r w:rsidRPr="00B246AC">
        <w:t>period.</w:t>
      </w:r>
      <w:r w:rsidRPr="00B246AC">
        <w:rPr>
          <w:spacing w:val="-2"/>
        </w:rPr>
        <w:t xml:space="preserve"> </w:t>
      </w:r>
      <w:r w:rsidRPr="00B246AC">
        <w:t>It</w:t>
      </w:r>
      <w:r w:rsidRPr="00B246AC">
        <w:rPr>
          <w:spacing w:val="-1"/>
        </w:rPr>
        <w:t xml:space="preserve"> </w:t>
      </w:r>
      <w:r w:rsidRPr="00B246AC">
        <w:t>is</w:t>
      </w:r>
      <w:r w:rsidRPr="00B246AC">
        <w:rPr>
          <w:spacing w:val="1"/>
        </w:rPr>
        <w:t xml:space="preserve"> </w:t>
      </w:r>
      <w:r w:rsidRPr="00B246AC">
        <w:t>not</w:t>
      </w:r>
      <w:r w:rsidRPr="00B246AC">
        <w:rPr>
          <w:spacing w:val="1"/>
        </w:rPr>
        <w:t xml:space="preserve"> </w:t>
      </w:r>
      <w:r w:rsidRPr="00B246AC">
        <w:t>specified</w:t>
      </w:r>
      <w:r w:rsidRPr="00B246AC">
        <w:rPr>
          <w:spacing w:val="-2"/>
        </w:rPr>
        <w:t xml:space="preserve"> </w:t>
      </w:r>
      <w:r w:rsidRPr="00B246AC">
        <w:t>what</w:t>
      </w:r>
      <w:r w:rsidRPr="00B246AC">
        <w:rPr>
          <w:spacing w:val="-1"/>
        </w:rPr>
        <w:t xml:space="preserve"> </w:t>
      </w:r>
      <w:r w:rsidRPr="00B246AC">
        <w:t>exactly</w:t>
      </w:r>
      <w:r w:rsidRPr="00B246AC">
        <w:rPr>
          <w:spacing w:val="-2"/>
        </w:rPr>
        <w:t xml:space="preserve"> </w:t>
      </w:r>
      <w:r w:rsidRPr="00B246AC">
        <w:t>the</w:t>
      </w:r>
      <w:r w:rsidRPr="00B246AC">
        <w:rPr>
          <w:spacing w:val="-3"/>
        </w:rPr>
        <w:t xml:space="preserve"> </w:t>
      </w:r>
      <w:r w:rsidRPr="00B246AC">
        <w:t>maximum</w:t>
      </w:r>
      <w:r w:rsidRPr="00B246AC">
        <w:rPr>
          <w:spacing w:val="1"/>
        </w:rPr>
        <w:t xml:space="preserve"> </w:t>
      </w:r>
      <w:r w:rsidRPr="00B246AC">
        <w:t>acceptable loss</w:t>
      </w:r>
      <w:r w:rsidRPr="00B246AC">
        <w:rPr>
          <w:spacing w:val="-5"/>
        </w:rPr>
        <w:t xml:space="preserve"> </w:t>
      </w:r>
      <w:r w:rsidRPr="00B246AC">
        <w:t>was.</w:t>
      </w:r>
    </w:p>
    <w:p w14:paraId="3E9A3CA6" w14:textId="299DE150" w:rsidR="00366E26" w:rsidRDefault="00366E26">
      <w:pPr>
        <w:pStyle w:val="BodyText"/>
        <w:spacing w:before="119" w:line="276" w:lineRule="auto"/>
        <w:ind w:left="132" w:right="382"/>
      </w:pPr>
    </w:p>
    <w:p w14:paraId="28D97B7A" w14:textId="141CCC93" w:rsidR="00B246AC" w:rsidRPr="00B246AC" w:rsidRDefault="00B246AC">
      <w:pPr>
        <w:pStyle w:val="BodyText"/>
        <w:spacing w:before="119" w:line="276" w:lineRule="auto"/>
        <w:ind w:left="132" w:right="382"/>
        <w:rPr>
          <w:i w:val="0"/>
          <w:iCs w:val="0"/>
          <w:color w:val="FF0000"/>
        </w:rPr>
      </w:pPr>
      <w:r w:rsidRPr="00B246AC">
        <w:rPr>
          <w:i w:val="0"/>
          <w:iCs w:val="0"/>
          <w:color w:val="FF0000"/>
        </w:rPr>
        <w:t xml:space="preserve">Citations have been added to the </w:t>
      </w:r>
      <w:proofErr w:type="gramStart"/>
      <w:r w:rsidRPr="00B246AC">
        <w:rPr>
          <w:i w:val="0"/>
          <w:iCs w:val="0"/>
          <w:color w:val="FF0000"/>
        </w:rPr>
        <w:t>report</w:t>
      </w:r>
      <w:proofErr w:type="gramEnd"/>
    </w:p>
    <w:p w14:paraId="79895FE3" w14:textId="77777777" w:rsidR="00B246AC" w:rsidRPr="00B246AC" w:rsidRDefault="00B246AC">
      <w:pPr>
        <w:pStyle w:val="BodyText"/>
        <w:spacing w:before="119" w:line="276" w:lineRule="auto"/>
        <w:ind w:left="132" w:right="382"/>
        <w:rPr>
          <w:color w:val="FF0000"/>
        </w:rPr>
      </w:pPr>
    </w:p>
    <w:p w14:paraId="2B38B7BB" w14:textId="77777777" w:rsidR="00366E26" w:rsidRPr="00B246AC" w:rsidRDefault="00366E26" w:rsidP="00366E26">
      <w:pPr>
        <w:pStyle w:val="ListParagraph"/>
        <w:widowControl/>
        <w:numPr>
          <w:ilvl w:val="0"/>
          <w:numId w:val="3"/>
        </w:numPr>
        <w:autoSpaceDE/>
        <w:autoSpaceDN/>
        <w:spacing w:before="0"/>
        <w:contextualSpacing/>
        <w:rPr>
          <w:color w:val="FF0000"/>
        </w:rPr>
      </w:pPr>
      <w:r w:rsidRPr="00B246AC">
        <w:rPr>
          <w:color w:val="FF0000"/>
        </w:rPr>
        <w:t>Brockham 1 - Drilling Completion Report page 13 (Table 4)</w:t>
      </w:r>
    </w:p>
    <w:p w14:paraId="39ED4498" w14:textId="77777777" w:rsidR="00366E26" w:rsidRPr="00B246AC" w:rsidRDefault="00366E26" w:rsidP="00366E26">
      <w:pPr>
        <w:pStyle w:val="ListParagraph"/>
        <w:widowControl/>
        <w:numPr>
          <w:ilvl w:val="0"/>
          <w:numId w:val="3"/>
        </w:numPr>
        <w:autoSpaceDE/>
        <w:autoSpaceDN/>
        <w:spacing w:before="0"/>
        <w:contextualSpacing/>
        <w:rPr>
          <w:color w:val="FF0000"/>
        </w:rPr>
      </w:pPr>
      <w:r w:rsidRPr="00B246AC">
        <w:rPr>
          <w:color w:val="FF0000"/>
        </w:rPr>
        <w:t>101008proterep.pdf, page 25 (Section 6)</w:t>
      </w:r>
    </w:p>
    <w:p w14:paraId="5E6D55E1" w14:textId="77777777" w:rsidR="00366E26" w:rsidRPr="00B246AC" w:rsidRDefault="00366E26" w:rsidP="00366E26">
      <w:pPr>
        <w:pStyle w:val="ListParagraph"/>
        <w:widowControl/>
        <w:numPr>
          <w:ilvl w:val="0"/>
          <w:numId w:val="3"/>
        </w:numPr>
        <w:autoSpaceDE/>
        <w:autoSpaceDN/>
        <w:spacing w:before="0"/>
        <w:contextualSpacing/>
        <w:rPr>
          <w:color w:val="FF0000"/>
        </w:rPr>
      </w:pPr>
      <w:r w:rsidRPr="00B246AC">
        <w:rPr>
          <w:color w:val="FF0000"/>
        </w:rPr>
        <w:t>Brockham X3 End of Well Report, page 177-179 (Table 1)</w:t>
      </w:r>
    </w:p>
    <w:p w14:paraId="238490B3" w14:textId="77777777" w:rsidR="00366E26" w:rsidRPr="00B246AC" w:rsidRDefault="00366E26" w:rsidP="00366E26">
      <w:pPr>
        <w:pStyle w:val="ListParagraph"/>
        <w:widowControl/>
        <w:numPr>
          <w:ilvl w:val="0"/>
          <w:numId w:val="3"/>
        </w:numPr>
        <w:autoSpaceDE/>
        <w:autoSpaceDN/>
        <w:spacing w:before="0"/>
        <w:contextualSpacing/>
        <w:rPr>
          <w:color w:val="FF0000"/>
        </w:rPr>
      </w:pPr>
      <w:r w:rsidRPr="00B246AC">
        <w:rPr>
          <w:color w:val="FF0000"/>
        </w:rPr>
        <w:t>ANGUS BROCKHAM BRX3 Wellhead Integrity Report Mar 2020.xls (Table 2 and 3)</w:t>
      </w:r>
    </w:p>
    <w:p w14:paraId="5B354633" w14:textId="77777777" w:rsidR="00366E26" w:rsidRDefault="00366E26">
      <w:pPr>
        <w:pStyle w:val="BodyText"/>
        <w:spacing w:before="119" w:line="276" w:lineRule="auto"/>
        <w:ind w:left="132" w:right="382"/>
      </w:pPr>
    </w:p>
    <w:p w14:paraId="32AD58BC" w14:textId="451F4B6E" w:rsidR="00671FEA" w:rsidRDefault="00671FEA">
      <w:pPr>
        <w:pStyle w:val="BodyText"/>
        <w:rPr>
          <w:sz w:val="24"/>
        </w:rPr>
      </w:pPr>
    </w:p>
    <w:p w14:paraId="5C9D9CAA" w14:textId="77777777" w:rsidR="00366E26" w:rsidRDefault="00366E26">
      <w:pPr>
        <w:pStyle w:val="BodyText"/>
        <w:rPr>
          <w:sz w:val="24"/>
        </w:rPr>
      </w:pPr>
    </w:p>
    <w:p w14:paraId="3F3202B5" w14:textId="77777777" w:rsidR="00671FEA" w:rsidRDefault="00671FEA">
      <w:pPr>
        <w:pStyle w:val="BodyText"/>
        <w:spacing w:before="2"/>
      </w:pPr>
    </w:p>
    <w:p w14:paraId="7C9EAE7F" w14:textId="77777777" w:rsidR="00671FEA" w:rsidRPr="00B246AC" w:rsidRDefault="00BF5ACE">
      <w:pPr>
        <w:pStyle w:val="Heading1"/>
        <w:spacing w:before="1"/>
      </w:pPr>
      <w:r w:rsidRPr="0075227D">
        <w:t>Appendix</w:t>
      </w:r>
      <w:r w:rsidRPr="0075227D">
        <w:rPr>
          <w:spacing w:val="-1"/>
        </w:rPr>
        <w:t xml:space="preserve"> </w:t>
      </w:r>
      <w:r w:rsidRPr="0075227D">
        <w:t>05 –</w:t>
      </w:r>
      <w:r w:rsidRPr="0075227D">
        <w:rPr>
          <w:spacing w:val="-3"/>
        </w:rPr>
        <w:t xml:space="preserve"> </w:t>
      </w:r>
      <w:r w:rsidRPr="0075227D">
        <w:t>Monitoring</w:t>
      </w:r>
      <w:r w:rsidRPr="0075227D">
        <w:rPr>
          <w:spacing w:val="-1"/>
        </w:rPr>
        <w:t xml:space="preserve"> </w:t>
      </w:r>
      <w:r w:rsidRPr="0075227D">
        <w:t>Sheets</w:t>
      </w:r>
    </w:p>
    <w:p w14:paraId="6E9928AF" w14:textId="77777777" w:rsidR="00671FEA" w:rsidRPr="00B246AC" w:rsidRDefault="00BF5ACE">
      <w:pPr>
        <w:pStyle w:val="ListParagraph"/>
        <w:numPr>
          <w:ilvl w:val="0"/>
          <w:numId w:val="1"/>
        </w:numPr>
        <w:tabs>
          <w:tab w:val="left" w:pos="854"/>
        </w:tabs>
        <w:spacing w:before="159" w:line="276" w:lineRule="auto"/>
        <w:ind w:right="266"/>
      </w:pPr>
      <w:r w:rsidRPr="00B246AC">
        <w:t>Provide further description of the relevance of the SECE and Gauge Programme sheets in</w:t>
      </w:r>
      <w:r w:rsidRPr="00B246AC">
        <w:rPr>
          <w:spacing w:val="-60"/>
        </w:rPr>
        <w:t xml:space="preserve"> </w:t>
      </w:r>
      <w:r w:rsidRPr="00B246AC">
        <w:t>Appendix</w:t>
      </w:r>
      <w:r w:rsidRPr="00B246AC">
        <w:rPr>
          <w:spacing w:val="-3"/>
        </w:rPr>
        <w:t xml:space="preserve"> </w:t>
      </w:r>
      <w:r w:rsidRPr="00B246AC">
        <w:t>05 – Monitoring Sheets.</w:t>
      </w:r>
    </w:p>
    <w:p w14:paraId="04BAA6CE" w14:textId="77777777" w:rsidR="00671FEA" w:rsidRDefault="00BF5ACE">
      <w:pPr>
        <w:pStyle w:val="BodyText"/>
        <w:spacing w:before="119" w:line="276" w:lineRule="auto"/>
        <w:ind w:left="132" w:right="358"/>
      </w:pPr>
      <w:r w:rsidRPr="00B246AC">
        <w:t>Most of the pre-set values in these templates can only be taken in good faith as their original</w:t>
      </w:r>
      <w:r w:rsidRPr="00B246AC">
        <w:rPr>
          <w:spacing w:val="1"/>
        </w:rPr>
        <w:t xml:space="preserve"> </w:t>
      </w:r>
      <w:r w:rsidRPr="00B246AC">
        <w:t>source is not quoted. Some of the sheets would have benefitted from a fuller description of what</w:t>
      </w:r>
      <w:r w:rsidRPr="00B246AC">
        <w:rPr>
          <w:spacing w:val="1"/>
        </w:rPr>
        <w:t xml:space="preserve"> </w:t>
      </w:r>
      <w:r w:rsidRPr="00B246AC">
        <w:t>they record, though we acknowledge some are self-explanatory others are less obvious, such as</w:t>
      </w:r>
      <w:r w:rsidRPr="00B246AC">
        <w:rPr>
          <w:spacing w:val="-59"/>
        </w:rPr>
        <w:t xml:space="preserve"> </w:t>
      </w:r>
      <w:r w:rsidRPr="00B246AC">
        <w:t>‘SECE’</w:t>
      </w:r>
      <w:r w:rsidRPr="00B246AC">
        <w:rPr>
          <w:spacing w:val="-4"/>
        </w:rPr>
        <w:t xml:space="preserve"> </w:t>
      </w:r>
      <w:r w:rsidRPr="00B246AC">
        <w:t>and</w:t>
      </w:r>
      <w:r w:rsidRPr="00B246AC">
        <w:rPr>
          <w:spacing w:val="3"/>
        </w:rPr>
        <w:t xml:space="preserve"> </w:t>
      </w:r>
      <w:r w:rsidRPr="00B246AC">
        <w:t>‘Gauge Programme Sheet’.</w:t>
      </w:r>
    </w:p>
    <w:p w14:paraId="079DEF9A" w14:textId="37AC1334" w:rsidR="00671FEA" w:rsidRDefault="00671FEA">
      <w:pPr>
        <w:pStyle w:val="BodyText"/>
        <w:rPr>
          <w:sz w:val="24"/>
        </w:rPr>
      </w:pPr>
    </w:p>
    <w:p w14:paraId="735BB6FF" w14:textId="77777777" w:rsidR="00B246AC" w:rsidRDefault="00B246AC" w:rsidP="00B246AC">
      <w:pPr>
        <w:pStyle w:val="BodyText"/>
        <w:rPr>
          <w:i w:val="0"/>
          <w:iCs w:val="0"/>
          <w:color w:val="FF0000"/>
        </w:rPr>
      </w:pPr>
      <w:r w:rsidRPr="00A55021">
        <w:rPr>
          <w:i w:val="0"/>
          <w:iCs w:val="0"/>
          <w:color w:val="FF0000"/>
        </w:rPr>
        <w:t xml:space="preserve">BR3 SECE Equipment </w:t>
      </w:r>
      <w:proofErr w:type="gramStart"/>
      <w:r w:rsidRPr="00A55021">
        <w:rPr>
          <w:i w:val="0"/>
          <w:iCs w:val="0"/>
          <w:color w:val="FF0000"/>
        </w:rPr>
        <w:t>Testing</w:t>
      </w:r>
      <w:proofErr w:type="gramEnd"/>
      <w:r w:rsidRPr="00A55021">
        <w:rPr>
          <w:i w:val="0"/>
          <w:iCs w:val="0"/>
          <w:color w:val="FF0000"/>
        </w:rPr>
        <w:t xml:space="preserve"> and Gauge Programme Excel Spreadsheet</w:t>
      </w:r>
      <w:r>
        <w:rPr>
          <w:i w:val="0"/>
          <w:iCs w:val="0"/>
          <w:color w:val="FF0000"/>
        </w:rPr>
        <w:t xml:space="preserve"> and the Wells Integrity Monitoring and Surveillance Excel Spreadsheet</w:t>
      </w:r>
      <w:r w:rsidRPr="00A55021">
        <w:rPr>
          <w:i w:val="0"/>
          <w:iCs w:val="0"/>
          <w:color w:val="FF0000"/>
        </w:rPr>
        <w:t xml:space="preserve"> has been added to the Schedule 5 response.</w:t>
      </w:r>
    </w:p>
    <w:p w14:paraId="20885331" w14:textId="77777777" w:rsidR="00B246AC" w:rsidRDefault="00B246AC" w:rsidP="00B246AC">
      <w:pPr>
        <w:pStyle w:val="BodyText"/>
        <w:rPr>
          <w:i w:val="0"/>
          <w:iCs w:val="0"/>
          <w:color w:val="FF0000"/>
        </w:rPr>
      </w:pPr>
    </w:p>
    <w:p w14:paraId="28EC50B3" w14:textId="77777777" w:rsidR="00B246AC" w:rsidRPr="00BD630D" w:rsidRDefault="00B246AC" w:rsidP="00B246AC">
      <w:pPr>
        <w:rPr>
          <w:rFonts w:eastAsiaTheme="minorEastAsia"/>
          <w:color w:val="FF0000"/>
        </w:rPr>
      </w:pPr>
      <w:r w:rsidRPr="00BD630D">
        <w:rPr>
          <w:color w:val="FF0000"/>
        </w:rPr>
        <w:t>We have the maintenance and inspection spreadsheet</w:t>
      </w:r>
      <w:r>
        <w:rPr>
          <w:color w:val="FF0000"/>
        </w:rPr>
        <w:t>s</w:t>
      </w:r>
      <w:r w:rsidRPr="00BD630D">
        <w:rPr>
          <w:color w:val="FF0000"/>
        </w:rPr>
        <w:t xml:space="preserve"> for the ‘Safety and Environmental Critical Equipment’ and related instrumentation regime from the ‘Oil and Gas UK Well Life Cycle and Integrity Guidelines Issue 4, March 2017 and included as an example of good industry practice in ISO 16530-1-2017. </w:t>
      </w:r>
    </w:p>
    <w:p w14:paraId="6AAC7AF4" w14:textId="77777777" w:rsidR="00B46C8F" w:rsidRDefault="00B46C8F">
      <w:pPr>
        <w:pStyle w:val="BodyText"/>
        <w:rPr>
          <w:sz w:val="24"/>
        </w:rPr>
      </w:pPr>
    </w:p>
    <w:p w14:paraId="50FD945A" w14:textId="77777777" w:rsidR="00671FEA" w:rsidRDefault="00671FEA">
      <w:pPr>
        <w:pStyle w:val="BodyText"/>
        <w:spacing w:before="11"/>
        <w:rPr>
          <w:sz w:val="21"/>
        </w:rPr>
      </w:pPr>
    </w:p>
    <w:p w14:paraId="2B311D62" w14:textId="77777777" w:rsidR="00671FEA" w:rsidRDefault="00BF5ACE">
      <w:pPr>
        <w:pStyle w:val="Heading1"/>
        <w:spacing w:line="278" w:lineRule="auto"/>
        <w:ind w:right="838"/>
      </w:pPr>
      <w:r>
        <w:t>Appendix 08 – Operational Procedures and PID’s: Brockham Oil Production Facility –</w:t>
      </w:r>
      <w:r>
        <w:rPr>
          <w:spacing w:val="-59"/>
        </w:rPr>
        <w:t xml:space="preserve"> </w:t>
      </w:r>
      <w:r>
        <w:t>General</w:t>
      </w:r>
      <w:r>
        <w:rPr>
          <w:spacing w:val="1"/>
        </w:rPr>
        <w:t xml:space="preserve"> </w:t>
      </w:r>
      <w:r>
        <w:t>Description</w:t>
      </w:r>
      <w:r>
        <w:rPr>
          <w:spacing w:val="-3"/>
        </w:rPr>
        <w:t xml:space="preserve"> </w:t>
      </w:r>
      <w:r>
        <w:t>(BRO-ANGPR-O0001-1)</w:t>
      </w:r>
    </w:p>
    <w:p w14:paraId="4F547E1E" w14:textId="06F4BAB6" w:rsidR="00B46C8F" w:rsidRPr="00B46C8F" w:rsidRDefault="00BF5ACE" w:rsidP="00B46C8F">
      <w:pPr>
        <w:pStyle w:val="ListParagraph"/>
        <w:numPr>
          <w:ilvl w:val="0"/>
          <w:numId w:val="1"/>
        </w:numPr>
        <w:tabs>
          <w:tab w:val="left" w:pos="847"/>
        </w:tabs>
        <w:spacing w:before="69"/>
        <w:ind w:left="846" w:hanging="357"/>
        <w:rPr>
          <w:b/>
        </w:rPr>
      </w:pPr>
      <w:r>
        <w:t>Provide</w:t>
      </w:r>
      <w:r w:rsidRPr="00B46C8F">
        <w:rPr>
          <w:spacing w:val="-2"/>
        </w:rPr>
        <w:t xml:space="preserve"> </w:t>
      </w:r>
      <w:r>
        <w:t>the</w:t>
      </w:r>
      <w:r w:rsidRPr="00B46C8F">
        <w:rPr>
          <w:spacing w:val="-1"/>
        </w:rPr>
        <w:t xml:space="preserve"> </w:t>
      </w:r>
      <w:r>
        <w:t>capacity</w:t>
      </w:r>
      <w:r w:rsidRPr="00B46C8F">
        <w:rPr>
          <w:spacing w:val="-4"/>
        </w:rPr>
        <w:t xml:space="preserve"> </w:t>
      </w:r>
      <w:r>
        <w:t>of</w:t>
      </w:r>
      <w:r w:rsidRPr="00B46C8F">
        <w:rPr>
          <w:spacing w:val="-2"/>
        </w:rPr>
        <w:t xml:space="preserve"> </w:t>
      </w:r>
      <w:r>
        <w:t>tank</w:t>
      </w:r>
      <w:r w:rsidRPr="00B46C8F">
        <w:rPr>
          <w:spacing w:val="-1"/>
        </w:rPr>
        <w:t xml:space="preserve"> </w:t>
      </w:r>
      <w:r>
        <w:t>BRO-PW-T-01</w:t>
      </w:r>
      <w:r w:rsidRPr="00B46C8F">
        <w:rPr>
          <w:spacing w:val="-1"/>
        </w:rPr>
        <w:t xml:space="preserve"> </w:t>
      </w:r>
      <w:r>
        <w:t>as</w:t>
      </w:r>
      <w:r w:rsidRPr="00B46C8F">
        <w:rPr>
          <w:spacing w:val="-3"/>
        </w:rPr>
        <w:t xml:space="preserve"> </w:t>
      </w:r>
      <w:r>
        <w:t>referenced</w:t>
      </w:r>
      <w:r w:rsidRPr="00B46C8F">
        <w:rPr>
          <w:spacing w:val="-5"/>
        </w:rPr>
        <w:t xml:space="preserve"> </w:t>
      </w:r>
      <w:r>
        <w:t>in</w:t>
      </w:r>
      <w:r w:rsidRPr="00B46C8F">
        <w:rPr>
          <w:spacing w:val="1"/>
        </w:rPr>
        <w:t xml:space="preserve"> </w:t>
      </w:r>
      <w:r>
        <w:t>section</w:t>
      </w:r>
      <w:r w:rsidRPr="00B46C8F">
        <w:rPr>
          <w:spacing w:val="-2"/>
        </w:rPr>
        <w:t xml:space="preserve"> </w:t>
      </w:r>
      <w:r>
        <w:t>3.</w:t>
      </w:r>
    </w:p>
    <w:p w14:paraId="75AB7A95" w14:textId="4E8A953F" w:rsidR="00B46C8F" w:rsidRDefault="00B46C8F" w:rsidP="00B46C8F">
      <w:pPr>
        <w:pStyle w:val="ListParagraph"/>
        <w:tabs>
          <w:tab w:val="left" w:pos="847"/>
        </w:tabs>
        <w:spacing w:before="69"/>
        <w:ind w:left="846" w:firstLine="0"/>
      </w:pPr>
    </w:p>
    <w:p w14:paraId="2E86DDB8" w14:textId="7DB0B28A" w:rsidR="00B46C8F" w:rsidRDefault="00B46C8F" w:rsidP="00A55021">
      <w:pPr>
        <w:pStyle w:val="ListParagraph"/>
        <w:tabs>
          <w:tab w:val="left" w:pos="847"/>
        </w:tabs>
        <w:spacing w:before="69"/>
        <w:ind w:left="846" w:firstLine="0"/>
        <w:rPr>
          <w:color w:val="FF0000"/>
        </w:rPr>
      </w:pPr>
      <w:r w:rsidRPr="00B46C8F">
        <w:rPr>
          <w:color w:val="FF0000"/>
        </w:rPr>
        <w:t>Section 3 updated to state capacity of BRO-PW-T-01 as 400 bbls (63.6m3)</w:t>
      </w:r>
    </w:p>
    <w:p w14:paraId="7EBE47D9" w14:textId="77777777" w:rsidR="00A55021" w:rsidRPr="00A55021" w:rsidRDefault="00A55021" w:rsidP="00A55021">
      <w:pPr>
        <w:pStyle w:val="ListParagraph"/>
        <w:tabs>
          <w:tab w:val="left" w:pos="847"/>
        </w:tabs>
        <w:spacing w:before="69"/>
        <w:ind w:left="846" w:firstLine="0"/>
        <w:rPr>
          <w:b/>
          <w:color w:val="FF0000"/>
        </w:rPr>
      </w:pPr>
    </w:p>
    <w:p w14:paraId="531CAFFB" w14:textId="6E2E082F" w:rsidR="00671FEA" w:rsidRDefault="00BF5ACE" w:rsidP="00B46C8F">
      <w:pPr>
        <w:pStyle w:val="ListParagraph"/>
        <w:numPr>
          <w:ilvl w:val="0"/>
          <w:numId w:val="1"/>
        </w:numPr>
        <w:tabs>
          <w:tab w:val="left" w:pos="847"/>
        </w:tabs>
        <w:spacing w:before="69"/>
        <w:ind w:left="846" w:hanging="357"/>
        <w:rPr>
          <w:b/>
        </w:rPr>
      </w:pPr>
      <w:r>
        <w:t>Clarify</w:t>
      </w:r>
      <w:r w:rsidRPr="00B46C8F">
        <w:rPr>
          <w:spacing w:val="-4"/>
        </w:rPr>
        <w:t xml:space="preserve"> </w:t>
      </w:r>
      <w:r>
        <w:t>what is</w:t>
      </w:r>
      <w:r w:rsidRPr="00B46C8F">
        <w:rPr>
          <w:spacing w:val="-4"/>
        </w:rPr>
        <w:t xml:space="preserve"> </w:t>
      </w:r>
      <w:r>
        <w:t>meant</w:t>
      </w:r>
      <w:r w:rsidRPr="00B46C8F">
        <w:rPr>
          <w:spacing w:val="-3"/>
        </w:rPr>
        <w:t xml:space="preserve"> </w:t>
      </w:r>
      <w:r>
        <w:t>by</w:t>
      </w:r>
      <w:r w:rsidRPr="00B46C8F">
        <w:rPr>
          <w:spacing w:val="-3"/>
        </w:rPr>
        <w:t xml:space="preserve"> </w:t>
      </w:r>
      <w:r>
        <w:t>“discharged</w:t>
      </w:r>
      <w:r w:rsidRPr="00B46C8F">
        <w:rPr>
          <w:spacing w:val="-4"/>
        </w:rPr>
        <w:t xml:space="preserve"> </w:t>
      </w:r>
      <w:r>
        <w:t>on</w:t>
      </w:r>
      <w:r w:rsidRPr="00B46C8F">
        <w:rPr>
          <w:spacing w:val="-2"/>
        </w:rPr>
        <w:t xml:space="preserve"> </w:t>
      </w:r>
      <w:r>
        <w:t>site</w:t>
      </w:r>
      <w:r w:rsidRPr="00B46C8F">
        <w:rPr>
          <w:spacing w:val="-4"/>
        </w:rPr>
        <w:t xml:space="preserve"> </w:t>
      </w:r>
      <w:r>
        <w:t>surface</w:t>
      </w:r>
      <w:r w:rsidRPr="00B46C8F">
        <w:rPr>
          <w:spacing w:val="-2"/>
        </w:rPr>
        <w:t xml:space="preserve"> </w:t>
      </w:r>
      <w:r>
        <w:t>or</w:t>
      </w:r>
      <w:r w:rsidRPr="00B46C8F">
        <w:rPr>
          <w:spacing w:val="-2"/>
        </w:rPr>
        <w:t xml:space="preserve"> </w:t>
      </w:r>
      <w:r>
        <w:t>water course”</w:t>
      </w:r>
      <w:r w:rsidRPr="00B46C8F">
        <w:rPr>
          <w:spacing w:val="-3"/>
        </w:rPr>
        <w:t xml:space="preserve"> </w:t>
      </w:r>
      <w:r>
        <w:t>in</w:t>
      </w:r>
      <w:r w:rsidRPr="00B46C8F">
        <w:rPr>
          <w:spacing w:val="-2"/>
        </w:rPr>
        <w:t xml:space="preserve"> </w:t>
      </w:r>
      <w:r>
        <w:t>section</w:t>
      </w:r>
      <w:r w:rsidRPr="00B46C8F">
        <w:rPr>
          <w:spacing w:val="4"/>
        </w:rPr>
        <w:t xml:space="preserve"> </w:t>
      </w:r>
      <w:r>
        <w:t>9.3</w:t>
      </w:r>
      <w:r w:rsidRPr="00B46C8F">
        <w:rPr>
          <w:b/>
        </w:rPr>
        <w:t>.</w:t>
      </w:r>
    </w:p>
    <w:p w14:paraId="611D2DDA" w14:textId="77777777" w:rsidR="00A55021" w:rsidRDefault="00A55021" w:rsidP="00A55021">
      <w:pPr>
        <w:tabs>
          <w:tab w:val="left" w:pos="847"/>
        </w:tabs>
        <w:spacing w:before="69"/>
        <w:rPr>
          <w:b/>
        </w:rPr>
      </w:pPr>
    </w:p>
    <w:p w14:paraId="3C1BB6FA" w14:textId="377501B3" w:rsidR="00B46C8F" w:rsidRPr="00B46C8F" w:rsidRDefault="00A55021" w:rsidP="00A55021">
      <w:pPr>
        <w:tabs>
          <w:tab w:val="left" w:pos="847"/>
        </w:tabs>
        <w:spacing w:before="69"/>
        <w:ind w:left="846"/>
        <w:rPr>
          <w:bCs/>
          <w:color w:val="FF0000"/>
        </w:rPr>
      </w:pPr>
      <w:r>
        <w:rPr>
          <w:b/>
        </w:rPr>
        <w:tab/>
      </w:r>
      <w:r w:rsidR="00B46C8F" w:rsidRPr="00B46C8F">
        <w:rPr>
          <w:bCs/>
          <w:color w:val="FF0000"/>
        </w:rPr>
        <w:t>Section 9.3 has been updated to state that all water/fluids contained in the bunds must be removed as hazardous</w:t>
      </w:r>
      <w:r w:rsidR="00B46C8F">
        <w:rPr>
          <w:bCs/>
          <w:color w:val="FF0000"/>
        </w:rPr>
        <w:t>/non-hazardous</w:t>
      </w:r>
      <w:r w:rsidR="00B46C8F" w:rsidRPr="00B46C8F">
        <w:rPr>
          <w:bCs/>
          <w:color w:val="FF0000"/>
        </w:rPr>
        <w:t xml:space="preserve"> waste and tankered off site to by a licenced waste carrier to a permitted waste facility.</w:t>
      </w:r>
    </w:p>
    <w:p w14:paraId="0E980F92" w14:textId="436DAB37" w:rsidR="00671FEA" w:rsidRDefault="00BF5ACE">
      <w:pPr>
        <w:pStyle w:val="ListParagraph"/>
        <w:numPr>
          <w:ilvl w:val="0"/>
          <w:numId w:val="1"/>
        </w:numPr>
        <w:tabs>
          <w:tab w:val="left" w:pos="847"/>
        </w:tabs>
        <w:spacing w:before="185"/>
        <w:ind w:left="846" w:hanging="357"/>
      </w:pPr>
      <w:r>
        <w:t>Provide</w:t>
      </w:r>
      <w:r>
        <w:rPr>
          <w:spacing w:val="-3"/>
        </w:rPr>
        <w:t xml:space="preserve"> </w:t>
      </w:r>
      <w:r>
        <w:t>the</w:t>
      </w:r>
      <w:r>
        <w:rPr>
          <w:spacing w:val="-2"/>
        </w:rPr>
        <w:t xml:space="preserve"> </w:t>
      </w:r>
      <w:r>
        <w:t>missing</w:t>
      </w:r>
      <w:r>
        <w:rPr>
          <w:spacing w:val="-3"/>
        </w:rPr>
        <w:t xml:space="preserve"> </w:t>
      </w:r>
      <w:r>
        <w:t>unit</w:t>
      </w:r>
      <w:r>
        <w:rPr>
          <w:spacing w:val="-3"/>
        </w:rPr>
        <w:t xml:space="preserve"> </w:t>
      </w:r>
      <w:r>
        <w:t>for</w:t>
      </w:r>
      <w:r>
        <w:rPr>
          <w:spacing w:val="-4"/>
        </w:rPr>
        <w:t xml:space="preserve"> </w:t>
      </w:r>
      <w:r>
        <w:t>the</w:t>
      </w:r>
      <w:r>
        <w:rPr>
          <w:spacing w:val="-4"/>
        </w:rPr>
        <w:t xml:space="preserve"> </w:t>
      </w:r>
      <w:r>
        <w:t>discharge</w:t>
      </w:r>
      <w:r>
        <w:rPr>
          <w:spacing w:val="-4"/>
        </w:rPr>
        <w:t xml:space="preserve"> </w:t>
      </w:r>
      <w:r>
        <w:t>to</w:t>
      </w:r>
      <w:r>
        <w:rPr>
          <w:spacing w:val="-7"/>
        </w:rPr>
        <w:t xml:space="preserve"> </w:t>
      </w:r>
      <w:r>
        <w:t>Tanner’s</w:t>
      </w:r>
      <w:r>
        <w:rPr>
          <w:spacing w:val="-2"/>
        </w:rPr>
        <w:t xml:space="preserve"> </w:t>
      </w:r>
      <w:r>
        <w:t>Brook</w:t>
      </w:r>
      <w:r>
        <w:rPr>
          <w:spacing w:val="1"/>
        </w:rPr>
        <w:t xml:space="preserve"> </w:t>
      </w:r>
      <w:r>
        <w:t>which</w:t>
      </w:r>
      <w:r>
        <w:rPr>
          <w:spacing w:val="-2"/>
        </w:rPr>
        <w:t xml:space="preserve"> </w:t>
      </w:r>
      <w:r>
        <w:t>is</w:t>
      </w:r>
      <w:r>
        <w:rPr>
          <w:spacing w:val="-2"/>
        </w:rPr>
        <w:t xml:space="preserve"> </w:t>
      </w:r>
      <w:r>
        <w:t>described</w:t>
      </w:r>
      <w:r>
        <w:rPr>
          <w:spacing w:val="-3"/>
        </w:rPr>
        <w:t xml:space="preserve"> </w:t>
      </w:r>
      <w:r>
        <w:t>as</w:t>
      </w:r>
      <w:r>
        <w:rPr>
          <w:spacing w:val="-1"/>
        </w:rPr>
        <w:t xml:space="preserve"> </w:t>
      </w:r>
      <w:r>
        <w:t>“20m3/”.</w:t>
      </w:r>
    </w:p>
    <w:p w14:paraId="3203F76C" w14:textId="245ACB74" w:rsidR="00B46C8F" w:rsidRPr="001C582E" w:rsidRDefault="001C582E" w:rsidP="00B46C8F">
      <w:pPr>
        <w:tabs>
          <w:tab w:val="left" w:pos="847"/>
        </w:tabs>
        <w:spacing w:before="185"/>
        <w:ind w:left="846"/>
        <w:rPr>
          <w:color w:val="FF0000"/>
        </w:rPr>
      </w:pPr>
      <w:r>
        <w:rPr>
          <w:color w:val="FF0000"/>
        </w:rPr>
        <w:t>Section 9.4 references the maximum discharge volume to Tanners Brook as 20m3/day.</w:t>
      </w:r>
    </w:p>
    <w:p w14:paraId="7A9A1047" w14:textId="310835FE" w:rsidR="00671FEA" w:rsidRDefault="00BF5ACE">
      <w:pPr>
        <w:pStyle w:val="ListParagraph"/>
        <w:numPr>
          <w:ilvl w:val="0"/>
          <w:numId w:val="1"/>
        </w:numPr>
        <w:tabs>
          <w:tab w:val="left" w:pos="847"/>
        </w:tabs>
        <w:spacing w:before="179" w:line="259" w:lineRule="auto"/>
        <w:ind w:left="846" w:right="316" w:hanging="356"/>
      </w:pPr>
      <w:r>
        <w:t xml:space="preserve">Provide reference to a formal site surface drainage procedure rather than including </w:t>
      </w:r>
      <w:proofErr w:type="gramStart"/>
      <w:r>
        <w:t>a brief</w:t>
      </w:r>
      <w:r>
        <w:rPr>
          <w:spacing w:val="-59"/>
        </w:rPr>
        <w:t xml:space="preserve"> </w:t>
      </w:r>
      <w:r>
        <w:t>summary</w:t>
      </w:r>
      <w:proofErr w:type="gramEnd"/>
      <w:r>
        <w:rPr>
          <w:spacing w:val="-2"/>
        </w:rPr>
        <w:t xml:space="preserve"> </w:t>
      </w:r>
      <w:r>
        <w:t>of</w:t>
      </w:r>
      <w:r>
        <w:rPr>
          <w:spacing w:val="2"/>
        </w:rPr>
        <w:t xml:space="preserve"> </w:t>
      </w:r>
      <w:r>
        <w:t>drainage procedures</w:t>
      </w:r>
      <w:r>
        <w:rPr>
          <w:spacing w:val="1"/>
        </w:rPr>
        <w:t xml:space="preserve"> </w:t>
      </w:r>
      <w:r>
        <w:t>within this</w:t>
      </w:r>
      <w:r>
        <w:rPr>
          <w:spacing w:val="1"/>
        </w:rPr>
        <w:t xml:space="preserve"> </w:t>
      </w:r>
      <w:r>
        <w:t>document.</w:t>
      </w:r>
    </w:p>
    <w:p w14:paraId="230C2100" w14:textId="24669148" w:rsidR="001C582E" w:rsidRPr="001C582E" w:rsidRDefault="001C582E" w:rsidP="001C582E">
      <w:pPr>
        <w:pStyle w:val="ListParagraph"/>
        <w:tabs>
          <w:tab w:val="left" w:pos="847"/>
        </w:tabs>
        <w:spacing w:before="179" w:line="259" w:lineRule="auto"/>
        <w:ind w:left="846" w:right="316" w:firstLine="0"/>
        <w:rPr>
          <w:color w:val="FF0000"/>
        </w:rPr>
      </w:pPr>
      <w:r w:rsidRPr="001C582E">
        <w:rPr>
          <w:color w:val="FF0000"/>
        </w:rPr>
        <w:t>Section 9.1 has been updated and references procedure ‘BRO-ANGPR-O0024-2 Onsite Surface Water Monitoring and Discharge’ A copy of the procedure has been submitted with the Schedule 5 response.</w:t>
      </w:r>
    </w:p>
    <w:p w14:paraId="0DCD8853" w14:textId="4997D435" w:rsidR="001C582E" w:rsidRDefault="001C582E" w:rsidP="001C582E">
      <w:pPr>
        <w:tabs>
          <w:tab w:val="left" w:pos="847"/>
        </w:tabs>
        <w:spacing w:before="179" w:line="259" w:lineRule="auto"/>
        <w:ind w:right="316"/>
      </w:pPr>
    </w:p>
    <w:p w14:paraId="036F757F" w14:textId="60B4C0B4" w:rsidR="00671FEA" w:rsidRPr="00B246AC" w:rsidRDefault="00BF5ACE">
      <w:pPr>
        <w:pStyle w:val="ListParagraph"/>
        <w:numPr>
          <w:ilvl w:val="0"/>
          <w:numId w:val="1"/>
        </w:numPr>
        <w:tabs>
          <w:tab w:val="left" w:pos="847"/>
        </w:tabs>
        <w:spacing w:before="161" w:line="256" w:lineRule="auto"/>
        <w:ind w:left="846" w:right="329" w:hanging="356"/>
      </w:pPr>
      <w:r w:rsidRPr="00B246AC">
        <w:t>Review the aim and accuracy of this document (BRO-ANGPR-O0001-1) to ensure it does</w:t>
      </w:r>
      <w:r w:rsidRPr="00B246AC">
        <w:rPr>
          <w:spacing w:val="-59"/>
        </w:rPr>
        <w:t xml:space="preserve"> </w:t>
      </w:r>
      <w:r w:rsidRPr="00B246AC">
        <w:t>not</w:t>
      </w:r>
      <w:r w:rsidRPr="00B246AC">
        <w:rPr>
          <w:spacing w:val="1"/>
        </w:rPr>
        <w:t xml:space="preserve"> </w:t>
      </w:r>
      <w:r w:rsidRPr="00B246AC">
        <w:t>contradict</w:t>
      </w:r>
      <w:r w:rsidRPr="00B246AC">
        <w:rPr>
          <w:spacing w:val="2"/>
        </w:rPr>
        <w:t xml:space="preserve"> </w:t>
      </w:r>
      <w:r w:rsidRPr="00B246AC">
        <w:t>with</w:t>
      </w:r>
      <w:r w:rsidRPr="00B246AC">
        <w:rPr>
          <w:spacing w:val="-1"/>
        </w:rPr>
        <w:t xml:space="preserve"> </w:t>
      </w:r>
      <w:r w:rsidRPr="00B246AC">
        <w:t>approved site operating</w:t>
      </w:r>
      <w:r w:rsidRPr="00B246AC">
        <w:rPr>
          <w:spacing w:val="-1"/>
        </w:rPr>
        <w:t xml:space="preserve"> </w:t>
      </w:r>
      <w:r w:rsidRPr="00B246AC">
        <w:t>techniques.</w:t>
      </w:r>
    </w:p>
    <w:p w14:paraId="1151B639" w14:textId="5824E216" w:rsidR="001C582E" w:rsidRPr="00B246AC" w:rsidRDefault="00B246AC" w:rsidP="001C582E">
      <w:pPr>
        <w:pStyle w:val="ListParagraph"/>
        <w:tabs>
          <w:tab w:val="left" w:pos="847"/>
        </w:tabs>
        <w:spacing w:before="161" w:line="256" w:lineRule="auto"/>
        <w:ind w:left="846" w:right="329" w:firstLine="0"/>
        <w:rPr>
          <w:color w:val="FF0000"/>
        </w:rPr>
      </w:pPr>
      <w:r w:rsidRPr="00B246AC">
        <w:rPr>
          <w:color w:val="FF0000"/>
        </w:rPr>
        <w:t xml:space="preserve">This document has been reviewed and </w:t>
      </w:r>
      <w:proofErr w:type="gramStart"/>
      <w:r w:rsidRPr="00B246AC">
        <w:rPr>
          <w:color w:val="FF0000"/>
        </w:rPr>
        <w:t>amended</w:t>
      </w:r>
      <w:proofErr w:type="gramEnd"/>
    </w:p>
    <w:p w14:paraId="65FB4CCC" w14:textId="77777777" w:rsidR="00671FEA" w:rsidRDefault="00BF5ACE">
      <w:pPr>
        <w:pStyle w:val="BodyText"/>
        <w:spacing w:before="164" w:line="259" w:lineRule="auto"/>
        <w:ind w:left="132" w:right="321"/>
      </w:pPr>
      <w:r w:rsidRPr="00B246AC">
        <w:t>The purpose of document BRO-ANGPR-O0001-1 is unclear. It reads as a series of brief aims</w:t>
      </w:r>
      <w:r w:rsidRPr="00B246AC">
        <w:rPr>
          <w:spacing w:val="1"/>
        </w:rPr>
        <w:t xml:space="preserve"> </w:t>
      </w:r>
      <w:r w:rsidRPr="00B246AC">
        <w:t>rather than being a procedure or instruction document. It lacks the detail required to inform a site</w:t>
      </w:r>
      <w:r w:rsidRPr="00B246AC">
        <w:rPr>
          <w:spacing w:val="-59"/>
        </w:rPr>
        <w:t xml:space="preserve"> </w:t>
      </w:r>
      <w:r w:rsidRPr="00B246AC">
        <w:t>operative of the actions required to achieve the stated aims. Some aspects overlap with activities</w:t>
      </w:r>
      <w:r w:rsidRPr="00B246AC">
        <w:rPr>
          <w:spacing w:val="-59"/>
        </w:rPr>
        <w:t xml:space="preserve"> </w:t>
      </w:r>
      <w:r w:rsidRPr="00B246AC">
        <w:t>controlled by the existing Environmental Permit such as surface water disposal and emissions</w:t>
      </w:r>
      <w:r w:rsidRPr="00B246AC">
        <w:rPr>
          <w:spacing w:val="1"/>
        </w:rPr>
        <w:t xml:space="preserve"> </w:t>
      </w:r>
      <w:r w:rsidRPr="00B246AC">
        <w:t>monitoring. In other places there appears to be some contradiction with approved site operating</w:t>
      </w:r>
      <w:r w:rsidRPr="00B246AC">
        <w:rPr>
          <w:spacing w:val="1"/>
        </w:rPr>
        <w:t xml:space="preserve"> </w:t>
      </w:r>
      <w:r w:rsidRPr="00B246AC">
        <w:t>techniques.</w:t>
      </w:r>
    </w:p>
    <w:p w14:paraId="74BE08C5" w14:textId="77777777" w:rsidR="00671FEA" w:rsidRDefault="00BF5ACE">
      <w:pPr>
        <w:pStyle w:val="Heading1"/>
        <w:spacing w:before="157"/>
      </w:pPr>
      <w:r>
        <w:lastRenderedPageBreak/>
        <w:t>Appendix</w:t>
      </w:r>
      <w:r>
        <w:rPr>
          <w:spacing w:val="-3"/>
        </w:rPr>
        <w:t xml:space="preserve"> </w:t>
      </w:r>
      <w:r>
        <w:t>08</w:t>
      </w:r>
      <w:r>
        <w:rPr>
          <w:spacing w:val="-1"/>
        </w:rPr>
        <w:t xml:space="preserve"> </w:t>
      </w:r>
      <w:r>
        <w:t>–</w:t>
      </w:r>
      <w:r>
        <w:rPr>
          <w:spacing w:val="-3"/>
        </w:rPr>
        <w:t xml:space="preserve"> </w:t>
      </w:r>
      <w:r>
        <w:t>Water</w:t>
      </w:r>
      <w:r>
        <w:rPr>
          <w:spacing w:val="-4"/>
        </w:rPr>
        <w:t xml:space="preserve"> </w:t>
      </w:r>
      <w:r>
        <w:t>Injection</w:t>
      </w:r>
      <w:r>
        <w:rPr>
          <w:spacing w:val="-2"/>
        </w:rPr>
        <w:t xml:space="preserve"> </w:t>
      </w:r>
      <w:r>
        <w:t>Procedure</w:t>
      </w:r>
      <w:r>
        <w:rPr>
          <w:spacing w:val="-3"/>
        </w:rPr>
        <w:t xml:space="preserve"> </w:t>
      </w:r>
      <w:r>
        <w:t>(BRO-ANGPR-O0003-2)</w:t>
      </w:r>
    </w:p>
    <w:p w14:paraId="39636587" w14:textId="02F7D591" w:rsidR="00671FEA" w:rsidRDefault="00BF5ACE">
      <w:pPr>
        <w:pStyle w:val="ListParagraph"/>
        <w:numPr>
          <w:ilvl w:val="0"/>
          <w:numId w:val="1"/>
        </w:numPr>
        <w:tabs>
          <w:tab w:val="left" w:pos="847"/>
        </w:tabs>
        <w:spacing w:line="259" w:lineRule="auto"/>
        <w:ind w:left="846" w:right="925" w:hanging="356"/>
      </w:pPr>
      <w:r>
        <w:t>Confirm the accuracy of documents references BRO-ANGPR-A0040 and BRO-OR-</w:t>
      </w:r>
      <w:r>
        <w:rPr>
          <w:spacing w:val="-59"/>
        </w:rPr>
        <w:t xml:space="preserve"> </w:t>
      </w:r>
      <w:r>
        <w:t>ANGQ004</w:t>
      </w:r>
      <w:r>
        <w:rPr>
          <w:spacing w:val="-3"/>
        </w:rPr>
        <w:t xml:space="preserve"> </w:t>
      </w:r>
      <w:r>
        <w:t>referred</w:t>
      </w:r>
      <w:r>
        <w:rPr>
          <w:spacing w:val="-2"/>
        </w:rPr>
        <w:t xml:space="preserve"> </w:t>
      </w:r>
      <w:r>
        <w:t>to</w:t>
      </w:r>
      <w:r>
        <w:rPr>
          <w:spacing w:val="2"/>
        </w:rPr>
        <w:t xml:space="preserve"> </w:t>
      </w:r>
      <w:r>
        <w:t>in</w:t>
      </w:r>
      <w:r>
        <w:rPr>
          <w:spacing w:val="-2"/>
        </w:rPr>
        <w:t xml:space="preserve"> </w:t>
      </w:r>
      <w:r>
        <w:t>section 1</w:t>
      </w:r>
      <w:r>
        <w:rPr>
          <w:spacing w:val="-2"/>
        </w:rPr>
        <w:t xml:space="preserve"> </w:t>
      </w:r>
      <w:r>
        <w:t>as we are</w:t>
      </w:r>
      <w:r>
        <w:rPr>
          <w:spacing w:val="-2"/>
        </w:rPr>
        <w:t xml:space="preserve"> </w:t>
      </w:r>
      <w:r>
        <w:t>unable</w:t>
      </w:r>
      <w:r>
        <w:rPr>
          <w:spacing w:val="-1"/>
        </w:rPr>
        <w:t xml:space="preserve"> </w:t>
      </w:r>
      <w:r>
        <w:t>to locate</w:t>
      </w:r>
      <w:r>
        <w:rPr>
          <w:spacing w:val="-2"/>
        </w:rPr>
        <w:t xml:space="preserve"> </w:t>
      </w:r>
      <w:r>
        <w:t>them.</w:t>
      </w:r>
    </w:p>
    <w:p w14:paraId="78C8D465" w14:textId="2449AAF8" w:rsidR="009E79A3" w:rsidRPr="009E79A3" w:rsidRDefault="009E79A3" w:rsidP="009E79A3">
      <w:pPr>
        <w:pStyle w:val="ListParagraph"/>
        <w:tabs>
          <w:tab w:val="left" w:pos="847"/>
        </w:tabs>
        <w:spacing w:line="259" w:lineRule="auto"/>
        <w:ind w:left="846" w:right="925" w:firstLine="0"/>
        <w:rPr>
          <w:color w:val="FF0000"/>
        </w:rPr>
      </w:pPr>
      <w:r w:rsidRPr="009E79A3">
        <w:rPr>
          <w:color w:val="FF0000"/>
        </w:rPr>
        <w:t xml:space="preserve">The procedure has been corrected. The correct referencing for the procedures </w:t>
      </w:r>
      <w:proofErr w:type="gramStart"/>
      <w:r w:rsidRPr="009E79A3">
        <w:rPr>
          <w:color w:val="FF0000"/>
        </w:rPr>
        <w:t>are</w:t>
      </w:r>
      <w:proofErr w:type="gramEnd"/>
      <w:r w:rsidRPr="009E79A3">
        <w:rPr>
          <w:color w:val="FF0000"/>
        </w:rPr>
        <w:t>:</w:t>
      </w:r>
    </w:p>
    <w:p w14:paraId="3930A591" w14:textId="50BF5C0F" w:rsidR="009E79A3" w:rsidRDefault="009E79A3" w:rsidP="009E79A3">
      <w:pPr>
        <w:pStyle w:val="ListParagraph"/>
        <w:tabs>
          <w:tab w:val="left" w:pos="847"/>
        </w:tabs>
        <w:spacing w:line="259" w:lineRule="auto"/>
        <w:ind w:left="846" w:right="925" w:firstLine="0"/>
        <w:rPr>
          <w:color w:val="FF0000"/>
        </w:rPr>
      </w:pPr>
      <w:r w:rsidRPr="009E79A3">
        <w:rPr>
          <w:color w:val="FF0000"/>
        </w:rPr>
        <w:t>BRO-ANGPR-</w:t>
      </w:r>
      <w:r w:rsidR="00960B88">
        <w:rPr>
          <w:color w:val="FF0000"/>
        </w:rPr>
        <w:t>O</w:t>
      </w:r>
      <w:r w:rsidRPr="009E79A3">
        <w:rPr>
          <w:color w:val="FF0000"/>
        </w:rPr>
        <w:t>0040 – Brockham Water Transfer Procedure</w:t>
      </w:r>
    </w:p>
    <w:p w14:paraId="3C385CF4" w14:textId="503B334B" w:rsidR="009E79A3" w:rsidRPr="009E79A3" w:rsidRDefault="009E79A3" w:rsidP="009E79A3">
      <w:pPr>
        <w:pStyle w:val="ListParagraph"/>
        <w:tabs>
          <w:tab w:val="left" w:pos="847"/>
        </w:tabs>
        <w:spacing w:line="259" w:lineRule="auto"/>
        <w:ind w:left="846" w:right="925" w:firstLine="0"/>
        <w:rPr>
          <w:color w:val="FF0000"/>
        </w:rPr>
      </w:pPr>
      <w:r>
        <w:rPr>
          <w:color w:val="FF0000"/>
        </w:rPr>
        <w:t>BRO-</w:t>
      </w:r>
      <w:r w:rsidR="00960B88">
        <w:rPr>
          <w:color w:val="FF0000"/>
        </w:rPr>
        <w:t>ANGPR-O0004 – Brockham Water Acceptance and Unloading Procedure</w:t>
      </w:r>
    </w:p>
    <w:p w14:paraId="353ABE8A" w14:textId="0A2B9AF1" w:rsidR="00671FEA" w:rsidRDefault="00BF5ACE">
      <w:pPr>
        <w:pStyle w:val="ListParagraph"/>
        <w:numPr>
          <w:ilvl w:val="0"/>
          <w:numId w:val="1"/>
        </w:numPr>
        <w:tabs>
          <w:tab w:val="left" w:pos="847"/>
        </w:tabs>
        <w:spacing w:before="159"/>
        <w:ind w:left="846" w:hanging="357"/>
      </w:pPr>
      <w:r>
        <w:rPr>
          <w:spacing w:val="-1"/>
        </w:rPr>
        <w:t>Confirm</w:t>
      </w:r>
      <w:r>
        <w:rPr>
          <w:spacing w:val="-13"/>
        </w:rPr>
        <w:t xml:space="preserve"> </w:t>
      </w:r>
      <w:r>
        <w:rPr>
          <w:spacing w:val="-1"/>
        </w:rPr>
        <w:t>the</w:t>
      </w:r>
      <w:r>
        <w:rPr>
          <w:spacing w:val="-12"/>
        </w:rPr>
        <w:t xml:space="preserve"> </w:t>
      </w:r>
      <w:r>
        <w:rPr>
          <w:spacing w:val="-1"/>
        </w:rPr>
        <w:t>maximum</w:t>
      </w:r>
      <w:r>
        <w:rPr>
          <w:spacing w:val="-10"/>
        </w:rPr>
        <w:t xml:space="preserve"> </w:t>
      </w:r>
      <w:r>
        <w:rPr>
          <w:spacing w:val="-1"/>
        </w:rPr>
        <w:t>instantaneous</w:t>
      </w:r>
      <w:r>
        <w:rPr>
          <w:spacing w:val="-11"/>
        </w:rPr>
        <w:t xml:space="preserve"> </w:t>
      </w:r>
      <w:r>
        <w:rPr>
          <w:spacing w:val="-1"/>
        </w:rPr>
        <w:t>rate</w:t>
      </w:r>
      <w:r>
        <w:rPr>
          <w:spacing w:val="-14"/>
        </w:rPr>
        <w:t xml:space="preserve"> </w:t>
      </w:r>
      <w:r>
        <w:rPr>
          <w:spacing w:val="-1"/>
        </w:rPr>
        <w:t>for</w:t>
      </w:r>
      <w:r>
        <w:rPr>
          <w:spacing w:val="-13"/>
        </w:rPr>
        <w:t xml:space="preserve"> </w:t>
      </w:r>
      <w:r>
        <w:rPr>
          <w:spacing w:val="-1"/>
        </w:rPr>
        <w:t>produced</w:t>
      </w:r>
      <w:r>
        <w:rPr>
          <w:spacing w:val="-11"/>
        </w:rPr>
        <w:t xml:space="preserve"> </w:t>
      </w:r>
      <w:r>
        <w:rPr>
          <w:spacing w:val="-1"/>
        </w:rPr>
        <w:t>water</w:t>
      </w:r>
      <w:r>
        <w:rPr>
          <w:spacing w:val="-10"/>
        </w:rPr>
        <w:t xml:space="preserve"> </w:t>
      </w:r>
      <w:r>
        <w:rPr>
          <w:spacing w:val="-1"/>
        </w:rPr>
        <w:t>re-injection</w:t>
      </w:r>
      <w:r>
        <w:rPr>
          <w:spacing w:val="-12"/>
        </w:rPr>
        <w:t xml:space="preserve"> </w:t>
      </w:r>
      <w:r>
        <w:t>in</w:t>
      </w:r>
      <w:r>
        <w:rPr>
          <w:spacing w:val="-11"/>
        </w:rPr>
        <w:t xml:space="preserve"> </w:t>
      </w:r>
      <w:r>
        <w:t>litres</w:t>
      </w:r>
      <w:r>
        <w:rPr>
          <w:spacing w:val="-11"/>
        </w:rPr>
        <w:t xml:space="preserve"> </w:t>
      </w:r>
      <w:r>
        <w:t>per</w:t>
      </w:r>
      <w:r>
        <w:rPr>
          <w:spacing w:val="-10"/>
        </w:rPr>
        <w:t xml:space="preserve"> </w:t>
      </w:r>
      <w:r>
        <w:t>second.</w:t>
      </w:r>
    </w:p>
    <w:p w14:paraId="45E3C918" w14:textId="2952E7E8" w:rsidR="00960B88" w:rsidRPr="00960B88" w:rsidRDefault="00960B88" w:rsidP="00960B88">
      <w:pPr>
        <w:pStyle w:val="ListParagraph"/>
        <w:tabs>
          <w:tab w:val="left" w:pos="847"/>
        </w:tabs>
        <w:spacing w:before="159"/>
        <w:ind w:left="846" w:firstLine="0"/>
        <w:rPr>
          <w:color w:val="FF0000"/>
        </w:rPr>
      </w:pPr>
      <w:r w:rsidRPr="00960B88">
        <w:rPr>
          <w:color w:val="FF0000"/>
        </w:rPr>
        <w:t xml:space="preserve">The </w:t>
      </w:r>
      <w:r>
        <w:rPr>
          <w:color w:val="FF0000"/>
        </w:rPr>
        <w:t xml:space="preserve">maximum </w:t>
      </w:r>
      <w:r w:rsidRPr="00960B88">
        <w:rPr>
          <w:color w:val="FF0000"/>
        </w:rPr>
        <w:t xml:space="preserve">instantaneous rate is </w:t>
      </w:r>
      <w:r>
        <w:rPr>
          <w:color w:val="FF0000"/>
        </w:rPr>
        <w:t>1.35</w:t>
      </w:r>
      <w:r w:rsidRPr="00960B88">
        <w:rPr>
          <w:color w:val="FF0000"/>
        </w:rPr>
        <w:t xml:space="preserve"> litres per </w:t>
      </w:r>
      <w:r>
        <w:rPr>
          <w:color w:val="FF0000"/>
        </w:rPr>
        <w:t>second</w:t>
      </w:r>
      <w:r w:rsidRPr="00960B88">
        <w:rPr>
          <w:color w:val="FF0000"/>
        </w:rPr>
        <w:t>. The procedure has been amended to reflect this.</w:t>
      </w:r>
    </w:p>
    <w:p w14:paraId="29AC8D73" w14:textId="1FCB2A9C" w:rsidR="00671FEA" w:rsidRDefault="00BF5ACE">
      <w:pPr>
        <w:pStyle w:val="BodyText"/>
        <w:spacing w:before="121" w:line="276" w:lineRule="auto"/>
        <w:ind w:left="132" w:right="236"/>
      </w:pPr>
      <w:r>
        <w:t>The flow capacity of the pump is given as 80 litres per minute in BR-ANGPR-O0003-2 and a</w:t>
      </w:r>
      <w:r>
        <w:rPr>
          <w:spacing w:val="1"/>
        </w:rPr>
        <w:t xml:space="preserve"> </w:t>
      </w:r>
      <w:r>
        <w:t xml:space="preserve">maximum limit of 150bbls will be re-injected over any </w:t>
      </w:r>
      <w:r w:rsidR="009146ED">
        <w:t>24-hour</w:t>
      </w:r>
      <w:r>
        <w:t xml:space="preserve"> period. The Water Injection</w:t>
      </w:r>
      <w:r>
        <w:rPr>
          <w:spacing w:val="1"/>
        </w:rPr>
        <w:t xml:space="preserve"> </w:t>
      </w:r>
      <w:r>
        <w:t>Procedure goes on to state that the 150bbls maximum limit will be reviewed after each injection to</w:t>
      </w:r>
      <w:r>
        <w:rPr>
          <w:spacing w:val="-59"/>
        </w:rPr>
        <w:t xml:space="preserve"> </w:t>
      </w:r>
      <w:r>
        <w:t>reduce</w:t>
      </w:r>
      <w:r>
        <w:rPr>
          <w:spacing w:val="-1"/>
        </w:rPr>
        <w:t xml:space="preserve"> </w:t>
      </w:r>
      <w:r>
        <w:t>or</w:t>
      </w:r>
      <w:r>
        <w:rPr>
          <w:spacing w:val="1"/>
        </w:rPr>
        <w:t xml:space="preserve"> </w:t>
      </w:r>
      <w:r>
        <w:t>increase quantity</w:t>
      </w:r>
      <w:r>
        <w:rPr>
          <w:spacing w:val="1"/>
        </w:rPr>
        <w:t xml:space="preserve"> </w:t>
      </w:r>
      <w:r>
        <w:t>after</w:t>
      </w:r>
      <w:r>
        <w:rPr>
          <w:spacing w:val="-1"/>
        </w:rPr>
        <w:t xml:space="preserve"> </w:t>
      </w:r>
      <w:r>
        <w:t>viewing trends.</w:t>
      </w:r>
    </w:p>
    <w:p w14:paraId="4C0F6ADC" w14:textId="16803C9A" w:rsidR="001C582E" w:rsidRDefault="00BF5ACE" w:rsidP="00A55021">
      <w:pPr>
        <w:pStyle w:val="BodyText"/>
        <w:spacing w:before="121" w:line="276" w:lineRule="auto"/>
        <w:ind w:left="132" w:right="336"/>
      </w:pPr>
      <w:r>
        <w:t>Please note there will be a maximum daily discharge volume and instantaneous flow rate limit for</w:t>
      </w:r>
      <w:r>
        <w:rPr>
          <w:spacing w:val="-59"/>
        </w:rPr>
        <w:t xml:space="preserve"> </w:t>
      </w:r>
      <w:r>
        <w:t>produced water re-injection on any issued permit. If you wanted to increase your produced water</w:t>
      </w:r>
      <w:r>
        <w:rPr>
          <w:spacing w:val="-59"/>
        </w:rPr>
        <w:t xml:space="preserve"> </w:t>
      </w:r>
      <w:r>
        <w:t>re-injection quantities, you would still need to comply with the permit limits for maximum daily</w:t>
      </w:r>
      <w:r>
        <w:rPr>
          <w:spacing w:val="1"/>
        </w:rPr>
        <w:t xml:space="preserve"> </w:t>
      </w:r>
      <w:r>
        <w:t>discharge</w:t>
      </w:r>
      <w:r>
        <w:rPr>
          <w:spacing w:val="-1"/>
        </w:rPr>
        <w:t xml:space="preserve"> </w:t>
      </w:r>
      <w:r>
        <w:t>volume and</w:t>
      </w:r>
      <w:r>
        <w:rPr>
          <w:spacing w:val="-2"/>
        </w:rPr>
        <w:t xml:space="preserve"> </w:t>
      </w:r>
      <w:r>
        <w:t>instantaneous</w:t>
      </w:r>
      <w:r>
        <w:rPr>
          <w:spacing w:val="-4"/>
        </w:rPr>
        <w:t xml:space="preserve"> </w:t>
      </w:r>
      <w:r>
        <w:t>flow</w:t>
      </w:r>
      <w:r>
        <w:rPr>
          <w:spacing w:val="-1"/>
        </w:rPr>
        <w:t xml:space="preserve"> </w:t>
      </w:r>
      <w:r>
        <w:t>rate.</w:t>
      </w:r>
    </w:p>
    <w:p w14:paraId="7947D974" w14:textId="77777777" w:rsidR="001C582E" w:rsidRDefault="001C582E">
      <w:pPr>
        <w:pStyle w:val="Heading1"/>
      </w:pPr>
    </w:p>
    <w:p w14:paraId="788D8266" w14:textId="068361B4" w:rsidR="00671FEA" w:rsidRDefault="00BF5ACE">
      <w:pPr>
        <w:pStyle w:val="Heading1"/>
      </w:pPr>
      <w:r>
        <w:t>Appendix</w:t>
      </w:r>
      <w:r>
        <w:rPr>
          <w:spacing w:val="-3"/>
        </w:rPr>
        <w:t xml:space="preserve"> </w:t>
      </w:r>
      <w:r>
        <w:t>08</w:t>
      </w:r>
      <w:r>
        <w:rPr>
          <w:spacing w:val="-1"/>
        </w:rPr>
        <w:t xml:space="preserve"> </w:t>
      </w:r>
      <w:r>
        <w:t>–</w:t>
      </w:r>
      <w:r>
        <w:rPr>
          <w:spacing w:val="-2"/>
        </w:rPr>
        <w:t xml:space="preserve"> </w:t>
      </w:r>
      <w:r>
        <w:t>Water</w:t>
      </w:r>
      <w:r>
        <w:rPr>
          <w:spacing w:val="-1"/>
        </w:rPr>
        <w:t xml:space="preserve"> </w:t>
      </w:r>
      <w:r>
        <w:t>Acceptance</w:t>
      </w:r>
      <w:r>
        <w:rPr>
          <w:spacing w:val="-3"/>
        </w:rPr>
        <w:t xml:space="preserve"> </w:t>
      </w:r>
      <w:r>
        <w:t>and</w:t>
      </w:r>
      <w:r>
        <w:rPr>
          <w:spacing w:val="-4"/>
        </w:rPr>
        <w:t xml:space="preserve"> </w:t>
      </w:r>
      <w:r>
        <w:t>Unloading</w:t>
      </w:r>
      <w:r>
        <w:rPr>
          <w:spacing w:val="-2"/>
        </w:rPr>
        <w:t xml:space="preserve"> </w:t>
      </w:r>
      <w:r>
        <w:t>Procedure</w:t>
      </w:r>
      <w:r>
        <w:rPr>
          <w:spacing w:val="-1"/>
        </w:rPr>
        <w:t xml:space="preserve"> </w:t>
      </w:r>
      <w:r>
        <w:t>(BRO-ANGPR-O0004-2)</w:t>
      </w:r>
    </w:p>
    <w:p w14:paraId="67D06C2D" w14:textId="546E37A4" w:rsidR="00671FEA" w:rsidRDefault="00BF5ACE">
      <w:pPr>
        <w:pStyle w:val="ListParagraph"/>
        <w:numPr>
          <w:ilvl w:val="0"/>
          <w:numId w:val="1"/>
        </w:numPr>
        <w:tabs>
          <w:tab w:val="left" w:pos="847"/>
        </w:tabs>
        <w:spacing w:line="259" w:lineRule="auto"/>
        <w:ind w:left="846" w:right="845" w:hanging="356"/>
      </w:pPr>
      <w:r>
        <w:t>Correct the typographical error on the second sentence of section 2.1 (“This is do as</w:t>
      </w:r>
      <w:r>
        <w:rPr>
          <w:spacing w:val="-59"/>
        </w:rPr>
        <w:t xml:space="preserve"> </w:t>
      </w:r>
      <w:r>
        <w:t>follows”) to</w:t>
      </w:r>
      <w:r>
        <w:rPr>
          <w:spacing w:val="1"/>
        </w:rPr>
        <w:t xml:space="preserve"> </w:t>
      </w:r>
      <w:r>
        <w:t>ensure</w:t>
      </w:r>
      <w:r>
        <w:rPr>
          <w:spacing w:val="-2"/>
        </w:rPr>
        <w:t xml:space="preserve"> </w:t>
      </w:r>
      <w:r>
        <w:t>correct</w:t>
      </w:r>
      <w:r>
        <w:rPr>
          <w:spacing w:val="2"/>
        </w:rPr>
        <w:t xml:space="preserve"> </w:t>
      </w:r>
      <w:r>
        <w:t>understanding.</w:t>
      </w:r>
    </w:p>
    <w:p w14:paraId="23597C33" w14:textId="35625379" w:rsidR="001C582E" w:rsidRDefault="001C582E" w:rsidP="001C582E">
      <w:pPr>
        <w:tabs>
          <w:tab w:val="left" w:pos="847"/>
        </w:tabs>
        <w:spacing w:line="259" w:lineRule="auto"/>
        <w:ind w:right="845"/>
      </w:pPr>
    </w:p>
    <w:p w14:paraId="182916E3" w14:textId="2D32C349" w:rsidR="001C582E" w:rsidRPr="001C582E" w:rsidRDefault="001C582E" w:rsidP="001C582E">
      <w:pPr>
        <w:tabs>
          <w:tab w:val="left" w:pos="847"/>
        </w:tabs>
        <w:spacing w:line="259" w:lineRule="auto"/>
        <w:ind w:left="846" w:right="845"/>
        <w:rPr>
          <w:color w:val="FF0000"/>
        </w:rPr>
      </w:pPr>
      <w:r w:rsidRPr="001C582E">
        <w:rPr>
          <w:color w:val="FF0000"/>
        </w:rPr>
        <w:t>This has been amended.</w:t>
      </w:r>
    </w:p>
    <w:p w14:paraId="41D2F48E" w14:textId="0F7A929A" w:rsidR="00671FEA" w:rsidRDefault="00BF5ACE">
      <w:pPr>
        <w:pStyle w:val="ListParagraph"/>
        <w:numPr>
          <w:ilvl w:val="0"/>
          <w:numId w:val="1"/>
        </w:numPr>
        <w:tabs>
          <w:tab w:val="left" w:pos="854"/>
        </w:tabs>
        <w:spacing w:before="159" w:line="259" w:lineRule="auto"/>
        <w:ind w:right="216"/>
      </w:pPr>
      <w:r>
        <w:t>Provide detail about where information should be recorded and how this information will be</w:t>
      </w:r>
      <w:r>
        <w:rPr>
          <w:spacing w:val="-59"/>
        </w:rPr>
        <w:t xml:space="preserve"> </w:t>
      </w:r>
      <w:r>
        <w:t>stored</w:t>
      </w:r>
      <w:r>
        <w:rPr>
          <w:spacing w:val="-5"/>
        </w:rPr>
        <w:t xml:space="preserve"> </w:t>
      </w:r>
      <w:r>
        <w:t>for</w:t>
      </w:r>
      <w:r>
        <w:rPr>
          <w:spacing w:val="-1"/>
        </w:rPr>
        <w:t xml:space="preserve"> </w:t>
      </w:r>
      <w:r>
        <w:t>future inspection</w:t>
      </w:r>
      <w:r>
        <w:rPr>
          <w:spacing w:val="2"/>
        </w:rPr>
        <w:t xml:space="preserve"> </w:t>
      </w:r>
      <w:r>
        <w:t>in</w:t>
      </w:r>
      <w:r>
        <w:rPr>
          <w:spacing w:val="-1"/>
        </w:rPr>
        <w:t xml:space="preserve"> </w:t>
      </w:r>
      <w:r>
        <w:t>all relevant</w:t>
      </w:r>
      <w:r>
        <w:rPr>
          <w:spacing w:val="2"/>
        </w:rPr>
        <w:t xml:space="preserve"> </w:t>
      </w:r>
      <w:r>
        <w:t>parts</w:t>
      </w:r>
      <w:r>
        <w:rPr>
          <w:spacing w:val="-2"/>
        </w:rPr>
        <w:t xml:space="preserve"> </w:t>
      </w:r>
      <w:r>
        <w:t>of</w:t>
      </w:r>
      <w:r>
        <w:rPr>
          <w:spacing w:val="2"/>
        </w:rPr>
        <w:t xml:space="preserve"> </w:t>
      </w:r>
      <w:r>
        <w:t>the</w:t>
      </w:r>
      <w:r>
        <w:rPr>
          <w:spacing w:val="-3"/>
        </w:rPr>
        <w:t xml:space="preserve"> </w:t>
      </w:r>
      <w:r>
        <w:t>document.</w:t>
      </w:r>
    </w:p>
    <w:p w14:paraId="6C56D192" w14:textId="45349E76" w:rsidR="001C582E" w:rsidRPr="00DB6F24" w:rsidRDefault="00DB6F24" w:rsidP="001C582E">
      <w:pPr>
        <w:pStyle w:val="ListParagraph"/>
        <w:tabs>
          <w:tab w:val="left" w:pos="854"/>
        </w:tabs>
        <w:spacing w:before="159" w:line="259" w:lineRule="auto"/>
        <w:ind w:right="216" w:firstLine="0"/>
        <w:rPr>
          <w:color w:val="FF0000"/>
        </w:rPr>
      </w:pPr>
      <w:r w:rsidRPr="00DB6F24">
        <w:rPr>
          <w:color w:val="FF0000"/>
        </w:rPr>
        <w:t>The procedure has been updated</w:t>
      </w:r>
      <w:r>
        <w:rPr>
          <w:color w:val="FF0000"/>
        </w:rPr>
        <w:t xml:space="preserve"> to show</w:t>
      </w:r>
      <w:r w:rsidRPr="00DB6F24">
        <w:rPr>
          <w:color w:val="FF0000"/>
        </w:rPr>
        <w:t xml:space="preserve"> that the reporting of information should be carried out in accordance with ‘BRO-ANGS-05-Data Reporting’. This procedure has been submitted with this Schedule 5 response.</w:t>
      </w:r>
    </w:p>
    <w:p w14:paraId="54FCCF3D" w14:textId="77777777" w:rsidR="00671FEA" w:rsidRDefault="00BF5ACE">
      <w:pPr>
        <w:pStyle w:val="ListParagraph"/>
        <w:numPr>
          <w:ilvl w:val="0"/>
          <w:numId w:val="1"/>
        </w:numPr>
        <w:tabs>
          <w:tab w:val="left" w:pos="854"/>
        </w:tabs>
        <w:spacing w:before="159" w:line="259" w:lineRule="auto"/>
        <w:ind w:right="405"/>
      </w:pPr>
      <w:r>
        <w:t>Provide reference to a list of approved chemicals for any biocides added to the produced</w:t>
      </w:r>
      <w:r>
        <w:rPr>
          <w:spacing w:val="-59"/>
        </w:rPr>
        <w:t xml:space="preserve"> </w:t>
      </w:r>
      <w:r>
        <w:t>water.</w:t>
      </w:r>
    </w:p>
    <w:p w14:paraId="01A74755" w14:textId="77777777" w:rsidR="00671FEA" w:rsidRDefault="00671FEA">
      <w:pPr>
        <w:pStyle w:val="BodyText"/>
        <w:rPr>
          <w:i w:val="0"/>
          <w:sz w:val="24"/>
        </w:rPr>
      </w:pPr>
    </w:p>
    <w:p w14:paraId="1CFA4E99" w14:textId="77777777" w:rsidR="00396D68" w:rsidRDefault="00DB6F24" w:rsidP="00396D68">
      <w:pPr>
        <w:pStyle w:val="BodyText"/>
        <w:ind w:left="792"/>
        <w:rPr>
          <w:i w:val="0"/>
          <w:color w:val="FF0000"/>
        </w:rPr>
      </w:pPr>
      <w:r w:rsidRPr="00DB6F24">
        <w:rPr>
          <w:i w:val="0"/>
          <w:color w:val="FF0000"/>
        </w:rPr>
        <w:t>Section 2.1</w:t>
      </w:r>
      <w:r>
        <w:rPr>
          <w:i w:val="0"/>
          <w:color w:val="FF0000"/>
        </w:rPr>
        <w:t xml:space="preserve">4 Biocide has been added </w:t>
      </w:r>
      <w:r w:rsidR="00396D68">
        <w:rPr>
          <w:i w:val="0"/>
          <w:color w:val="FF0000"/>
        </w:rPr>
        <w:t xml:space="preserve">to the procedure. </w:t>
      </w:r>
    </w:p>
    <w:p w14:paraId="0000C0BF" w14:textId="77777777" w:rsidR="00396D68" w:rsidRDefault="00396D68" w:rsidP="00396D68">
      <w:pPr>
        <w:pStyle w:val="BodyText"/>
        <w:ind w:left="792"/>
        <w:rPr>
          <w:i w:val="0"/>
          <w:color w:val="FF0000"/>
        </w:rPr>
      </w:pPr>
    </w:p>
    <w:p w14:paraId="3E447357" w14:textId="49A5FDA7" w:rsidR="00396D68" w:rsidRPr="00396D68" w:rsidRDefault="00396D68" w:rsidP="00396D68">
      <w:pPr>
        <w:pStyle w:val="BodyText"/>
        <w:ind w:left="792"/>
        <w:rPr>
          <w:color w:val="FF0000"/>
        </w:rPr>
      </w:pPr>
      <w:r>
        <w:rPr>
          <w:i w:val="0"/>
          <w:color w:val="FF0000"/>
        </w:rPr>
        <w:t xml:space="preserve">It states: </w:t>
      </w:r>
      <w:r w:rsidRPr="00396D68">
        <w:rPr>
          <w:color w:val="FF0000"/>
        </w:rPr>
        <w:t>DAE Biocide 25 is the only approved biocide to be used at Brockham Well site. Check the label on the IBC to confirm that the biocide is DAE Biocide 25 before transferring.</w:t>
      </w:r>
    </w:p>
    <w:p w14:paraId="54D29AB8" w14:textId="6309AA71" w:rsidR="00396D68" w:rsidRDefault="00396D68" w:rsidP="00DB6F24">
      <w:pPr>
        <w:pStyle w:val="BodyText"/>
        <w:spacing w:before="7"/>
        <w:ind w:left="851"/>
        <w:rPr>
          <w:i w:val="0"/>
          <w:color w:val="FF0000"/>
        </w:rPr>
      </w:pPr>
    </w:p>
    <w:p w14:paraId="09683823" w14:textId="468C785F" w:rsidR="00671FEA" w:rsidRPr="00DB6F24" w:rsidRDefault="00396D68" w:rsidP="00DB6F24">
      <w:pPr>
        <w:pStyle w:val="BodyText"/>
        <w:spacing w:before="7"/>
        <w:ind w:left="851"/>
        <w:rPr>
          <w:i w:val="0"/>
          <w:color w:val="FF0000"/>
        </w:rPr>
      </w:pPr>
      <w:r>
        <w:rPr>
          <w:i w:val="0"/>
          <w:color w:val="FF0000"/>
        </w:rPr>
        <w:t xml:space="preserve">The MSDS is included in Appendix 9 of the </w:t>
      </w:r>
      <w:r w:rsidR="00DB6F24" w:rsidRPr="00DB6F24">
        <w:rPr>
          <w:i w:val="0"/>
          <w:color w:val="FF0000"/>
        </w:rPr>
        <w:t>Supplementary HRA</w:t>
      </w:r>
      <w:r>
        <w:rPr>
          <w:i w:val="0"/>
          <w:color w:val="FF0000"/>
        </w:rPr>
        <w:t>.</w:t>
      </w:r>
    </w:p>
    <w:p w14:paraId="0F9BD976" w14:textId="77777777" w:rsidR="00DB6F24" w:rsidRDefault="00DB6F24">
      <w:pPr>
        <w:pStyle w:val="BodyText"/>
        <w:spacing w:before="7"/>
        <w:rPr>
          <w:i w:val="0"/>
          <w:sz w:val="25"/>
        </w:rPr>
      </w:pPr>
    </w:p>
    <w:p w14:paraId="7E3E494A" w14:textId="77777777" w:rsidR="00671FEA" w:rsidRDefault="00BF5ACE">
      <w:pPr>
        <w:pStyle w:val="Heading1"/>
      </w:pPr>
      <w:r>
        <w:t>Appendix</w:t>
      </w:r>
      <w:r>
        <w:rPr>
          <w:spacing w:val="-2"/>
        </w:rPr>
        <w:t xml:space="preserve"> </w:t>
      </w:r>
      <w:r>
        <w:t>08 –</w:t>
      </w:r>
      <w:r>
        <w:rPr>
          <w:spacing w:val="-1"/>
        </w:rPr>
        <w:t xml:space="preserve"> </w:t>
      </w:r>
      <w:r>
        <w:t>Surface</w:t>
      </w:r>
      <w:r>
        <w:rPr>
          <w:spacing w:val="-4"/>
        </w:rPr>
        <w:t xml:space="preserve"> </w:t>
      </w:r>
      <w:r>
        <w:t>Water</w:t>
      </w:r>
      <w:r>
        <w:rPr>
          <w:spacing w:val="-3"/>
        </w:rPr>
        <w:t xml:space="preserve"> </w:t>
      </w:r>
      <w:r>
        <w:t>Monitoring</w:t>
      </w:r>
      <w:r>
        <w:rPr>
          <w:spacing w:val="-4"/>
        </w:rPr>
        <w:t xml:space="preserve"> </w:t>
      </w:r>
      <w:r>
        <w:t>and</w:t>
      </w:r>
      <w:r>
        <w:rPr>
          <w:spacing w:val="-4"/>
        </w:rPr>
        <w:t xml:space="preserve"> </w:t>
      </w:r>
      <w:r>
        <w:t>Discharge</w:t>
      </w:r>
      <w:r>
        <w:rPr>
          <w:spacing w:val="-3"/>
        </w:rPr>
        <w:t xml:space="preserve"> </w:t>
      </w:r>
      <w:r>
        <w:t>(BRO-ANGPR-O0024-1)</w:t>
      </w:r>
    </w:p>
    <w:p w14:paraId="368E9887" w14:textId="77777777" w:rsidR="00671FEA" w:rsidRDefault="00BF5ACE">
      <w:pPr>
        <w:pStyle w:val="ListParagraph"/>
        <w:numPr>
          <w:ilvl w:val="0"/>
          <w:numId w:val="1"/>
        </w:numPr>
        <w:tabs>
          <w:tab w:val="left" w:pos="854"/>
        </w:tabs>
        <w:spacing w:line="276" w:lineRule="auto"/>
        <w:ind w:right="275"/>
      </w:pPr>
      <w:r>
        <w:t>Confirm whether bund water will be used to top up the produced water tank for reinjection.</w:t>
      </w:r>
      <w:r>
        <w:rPr>
          <w:spacing w:val="-59"/>
        </w:rPr>
        <w:t xml:space="preserve"> </w:t>
      </w:r>
      <w:r>
        <w:t>If so, include the relevant procedures and explain how bund water will be treated prior to</w:t>
      </w:r>
      <w:r>
        <w:rPr>
          <w:spacing w:val="1"/>
        </w:rPr>
        <w:t xml:space="preserve"> </w:t>
      </w:r>
      <w:r>
        <w:t>reinjection to comply with the relevant regulations and ensure this water is clean and</w:t>
      </w:r>
      <w:r>
        <w:rPr>
          <w:spacing w:val="1"/>
        </w:rPr>
        <w:t xml:space="preserve"> </w:t>
      </w:r>
      <w:r>
        <w:t>uncontaminated prior to reinjection.</w:t>
      </w:r>
      <w:r>
        <w:rPr>
          <w:spacing w:val="1"/>
        </w:rPr>
        <w:t xml:space="preserve"> </w:t>
      </w:r>
      <w:r>
        <w:t>If bund water is not to be used, the Supplementary</w:t>
      </w:r>
      <w:r>
        <w:rPr>
          <w:spacing w:val="1"/>
        </w:rPr>
        <w:t xml:space="preserve"> </w:t>
      </w:r>
      <w:r>
        <w:t>HRA should be amended to remove reference to this in section 2.2 and ensure their</w:t>
      </w:r>
      <w:r>
        <w:rPr>
          <w:spacing w:val="1"/>
        </w:rPr>
        <w:t xml:space="preserve"> </w:t>
      </w:r>
      <w:r>
        <w:t>application</w:t>
      </w:r>
      <w:r>
        <w:rPr>
          <w:spacing w:val="-1"/>
        </w:rPr>
        <w:t xml:space="preserve"> </w:t>
      </w:r>
      <w:r>
        <w:t>does</w:t>
      </w:r>
      <w:r>
        <w:rPr>
          <w:spacing w:val="-1"/>
        </w:rPr>
        <w:t xml:space="preserve"> </w:t>
      </w:r>
      <w:r>
        <w:t>not</w:t>
      </w:r>
      <w:r>
        <w:rPr>
          <w:spacing w:val="2"/>
        </w:rPr>
        <w:t xml:space="preserve"> </w:t>
      </w:r>
      <w:r>
        <w:t>suggest</w:t>
      </w:r>
      <w:r>
        <w:rPr>
          <w:spacing w:val="1"/>
        </w:rPr>
        <w:t xml:space="preserve"> </w:t>
      </w:r>
      <w:r>
        <w:t>using</w:t>
      </w:r>
      <w:r>
        <w:rPr>
          <w:spacing w:val="-1"/>
        </w:rPr>
        <w:t xml:space="preserve"> </w:t>
      </w:r>
      <w:r>
        <w:t>bund water</w:t>
      </w:r>
      <w:r>
        <w:rPr>
          <w:spacing w:val="-2"/>
        </w:rPr>
        <w:t xml:space="preserve"> </w:t>
      </w:r>
      <w:r>
        <w:t>in</w:t>
      </w:r>
      <w:r>
        <w:rPr>
          <w:spacing w:val="-3"/>
        </w:rPr>
        <w:t xml:space="preserve"> </w:t>
      </w:r>
      <w:r>
        <w:t>other</w:t>
      </w:r>
      <w:r>
        <w:rPr>
          <w:spacing w:val="-1"/>
        </w:rPr>
        <w:t xml:space="preserve"> </w:t>
      </w:r>
      <w:r>
        <w:t>supporting</w:t>
      </w:r>
      <w:r>
        <w:rPr>
          <w:spacing w:val="-1"/>
        </w:rPr>
        <w:t xml:space="preserve"> </w:t>
      </w:r>
      <w:r>
        <w:t>documentation.</w:t>
      </w:r>
    </w:p>
    <w:p w14:paraId="29E6D926" w14:textId="77777777" w:rsidR="00396D68" w:rsidRDefault="00396D68">
      <w:pPr>
        <w:spacing w:line="276" w:lineRule="auto"/>
      </w:pPr>
    </w:p>
    <w:p w14:paraId="3F9F09B5" w14:textId="77777777" w:rsidR="00396D68" w:rsidRDefault="00396D68" w:rsidP="00396D68">
      <w:pPr>
        <w:spacing w:line="276" w:lineRule="auto"/>
        <w:ind w:left="853"/>
        <w:rPr>
          <w:color w:val="FF0000"/>
        </w:rPr>
      </w:pPr>
      <w:r w:rsidRPr="00396D68">
        <w:rPr>
          <w:color w:val="FF0000"/>
        </w:rPr>
        <w:t>The bund water will be removed off-site for disposal</w:t>
      </w:r>
      <w:r>
        <w:rPr>
          <w:color w:val="FF0000"/>
        </w:rPr>
        <w:t>.</w:t>
      </w:r>
    </w:p>
    <w:p w14:paraId="7E4A060E" w14:textId="77777777" w:rsidR="00396D68" w:rsidRPr="00396D68" w:rsidRDefault="00396D68" w:rsidP="00396D68">
      <w:pPr>
        <w:spacing w:line="276" w:lineRule="auto"/>
      </w:pPr>
    </w:p>
    <w:p w14:paraId="61642246" w14:textId="53444CFA" w:rsidR="00671FEA" w:rsidRDefault="00BF5ACE" w:rsidP="00396D68">
      <w:pPr>
        <w:spacing w:line="276" w:lineRule="auto"/>
      </w:pPr>
      <w:r>
        <w:rPr>
          <w:i/>
        </w:rPr>
        <w:lastRenderedPageBreak/>
        <w:t>Section 2.2 of the Supplementary HRA states: “It is planned to use produced water from BRX2,</w:t>
      </w:r>
      <w:r>
        <w:rPr>
          <w:i/>
          <w:spacing w:val="1"/>
        </w:rPr>
        <w:t xml:space="preserve"> </w:t>
      </w:r>
      <w:r>
        <w:t>supplemented by similar and compatible brines from other producing fields within the Weald Basin</w:t>
      </w:r>
      <w:r>
        <w:rPr>
          <w:spacing w:val="-59"/>
        </w:rPr>
        <w:t xml:space="preserve"> </w:t>
      </w:r>
      <w:r>
        <w:t>as</w:t>
      </w:r>
      <w:r>
        <w:rPr>
          <w:spacing w:val="-3"/>
        </w:rPr>
        <w:t xml:space="preserve"> </w:t>
      </w:r>
      <w:r>
        <w:t>well</w:t>
      </w:r>
      <w:r>
        <w:rPr>
          <w:spacing w:val="-1"/>
        </w:rPr>
        <w:t xml:space="preserve"> </w:t>
      </w:r>
      <w:r>
        <w:t>as</w:t>
      </w:r>
      <w:r>
        <w:rPr>
          <w:spacing w:val="-3"/>
        </w:rPr>
        <w:t xml:space="preserve"> </w:t>
      </w:r>
      <w:r>
        <w:t>minor volumes of</w:t>
      </w:r>
      <w:r>
        <w:rPr>
          <w:spacing w:val="-2"/>
        </w:rPr>
        <w:t xml:space="preserve"> </w:t>
      </w:r>
      <w:r>
        <w:t>surface</w:t>
      </w:r>
      <w:r>
        <w:rPr>
          <w:spacing w:val="-3"/>
        </w:rPr>
        <w:t xml:space="preserve"> </w:t>
      </w:r>
      <w:r>
        <w:t>water</w:t>
      </w:r>
      <w:r>
        <w:rPr>
          <w:spacing w:val="-2"/>
        </w:rPr>
        <w:t xml:space="preserve"> </w:t>
      </w:r>
      <w:r>
        <w:t>falling</w:t>
      </w:r>
      <w:r>
        <w:rPr>
          <w:spacing w:val="-1"/>
        </w:rPr>
        <w:t xml:space="preserve"> </w:t>
      </w:r>
      <w:r>
        <w:t>in</w:t>
      </w:r>
      <w:r>
        <w:rPr>
          <w:spacing w:val="-1"/>
        </w:rPr>
        <w:t xml:space="preserve"> </w:t>
      </w:r>
      <w:r>
        <w:t>the</w:t>
      </w:r>
      <w:r>
        <w:rPr>
          <w:spacing w:val="-1"/>
        </w:rPr>
        <w:t xml:space="preserve"> </w:t>
      </w:r>
      <w:r>
        <w:t>containment</w:t>
      </w:r>
      <w:r>
        <w:rPr>
          <w:spacing w:val="1"/>
        </w:rPr>
        <w:t xml:space="preserve"> </w:t>
      </w:r>
      <w:r>
        <w:t>bunds on</w:t>
      </w:r>
      <w:r>
        <w:rPr>
          <w:spacing w:val="-3"/>
        </w:rPr>
        <w:t xml:space="preserve"> </w:t>
      </w:r>
      <w:r>
        <w:t>the</w:t>
      </w:r>
      <w:r>
        <w:rPr>
          <w:spacing w:val="-1"/>
        </w:rPr>
        <w:t xml:space="preserve"> </w:t>
      </w:r>
      <w:r>
        <w:t>Brockham site.”</w:t>
      </w:r>
    </w:p>
    <w:p w14:paraId="5983CB58" w14:textId="67DEF795" w:rsidR="00671FEA" w:rsidRDefault="00BF5ACE">
      <w:pPr>
        <w:pStyle w:val="BodyText"/>
        <w:spacing w:before="121" w:line="276" w:lineRule="auto"/>
        <w:ind w:left="132" w:right="309"/>
      </w:pPr>
      <w:r>
        <w:t>We note that section 3.2 of BRO-ANGPR-O0024-1 describes the bund water being discharged</w:t>
      </w:r>
      <w:r>
        <w:rPr>
          <w:spacing w:val="1"/>
        </w:rPr>
        <w:t xml:space="preserve"> </w:t>
      </w:r>
      <w:r>
        <w:t>(‘under some circumstances’) to the ditch. The procedure does not explain what these</w:t>
      </w:r>
      <w:r>
        <w:rPr>
          <w:spacing w:val="1"/>
        </w:rPr>
        <w:t xml:space="preserve"> </w:t>
      </w:r>
      <w:r>
        <w:t>circumstances are, how the bund is emptied to and when this water is sampled prior to discharge</w:t>
      </w:r>
      <w:r>
        <w:rPr>
          <w:spacing w:val="-59"/>
        </w:rPr>
        <w:t xml:space="preserve"> </w:t>
      </w:r>
      <w:r>
        <w:t>to the drainage ditch.</w:t>
      </w:r>
      <w:r>
        <w:rPr>
          <w:spacing w:val="1"/>
        </w:rPr>
        <w:t xml:space="preserve"> </w:t>
      </w:r>
      <w:r>
        <w:t>There is no mention of this being treated and used to top up the produced</w:t>
      </w:r>
      <w:r>
        <w:rPr>
          <w:spacing w:val="1"/>
        </w:rPr>
        <w:t xml:space="preserve"> </w:t>
      </w:r>
      <w:r>
        <w:t>water</w:t>
      </w:r>
      <w:r>
        <w:rPr>
          <w:spacing w:val="-2"/>
        </w:rPr>
        <w:t xml:space="preserve"> </w:t>
      </w:r>
      <w:r>
        <w:t>tank</w:t>
      </w:r>
      <w:r>
        <w:rPr>
          <w:spacing w:val="-2"/>
        </w:rPr>
        <w:t xml:space="preserve"> </w:t>
      </w:r>
      <w:r>
        <w:t>for</w:t>
      </w:r>
      <w:r>
        <w:rPr>
          <w:spacing w:val="-1"/>
        </w:rPr>
        <w:t xml:space="preserve"> </w:t>
      </w:r>
      <w:r>
        <w:t>reinjection.</w:t>
      </w:r>
    </w:p>
    <w:p w14:paraId="25CF7A93" w14:textId="26848DAD" w:rsidR="00396D68" w:rsidRPr="00396D68" w:rsidRDefault="00396D68">
      <w:pPr>
        <w:pStyle w:val="BodyText"/>
        <w:spacing w:before="121" w:line="276" w:lineRule="auto"/>
        <w:ind w:left="132" w:right="309"/>
        <w:rPr>
          <w:i w:val="0"/>
          <w:iCs w:val="0"/>
          <w:color w:val="FF0000"/>
        </w:rPr>
      </w:pPr>
      <w:r w:rsidRPr="00396D68">
        <w:rPr>
          <w:i w:val="0"/>
          <w:iCs w:val="0"/>
          <w:color w:val="FF0000"/>
        </w:rPr>
        <w:t xml:space="preserve">The document has been updated to state that the bund water will be removed off-site for </w:t>
      </w:r>
      <w:proofErr w:type="gramStart"/>
      <w:r w:rsidRPr="00396D68">
        <w:rPr>
          <w:i w:val="0"/>
          <w:iCs w:val="0"/>
          <w:color w:val="FF0000"/>
        </w:rPr>
        <w:t>disposal</w:t>
      </w:r>
      <w:proofErr w:type="gramEnd"/>
    </w:p>
    <w:p w14:paraId="301CC8BC" w14:textId="77777777" w:rsidR="00671FEA" w:rsidRDefault="00BF5ACE">
      <w:pPr>
        <w:pStyle w:val="BodyText"/>
        <w:spacing w:before="120" w:line="276" w:lineRule="auto"/>
        <w:ind w:left="132" w:right="264"/>
        <w:jc w:val="both"/>
      </w:pPr>
      <w:r>
        <w:rPr>
          <w:spacing w:val="-1"/>
        </w:rPr>
        <w:t>Document</w:t>
      </w:r>
      <w:r>
        <w:rPr>
          <w:spacing w:val="-13"/>
        </w:rPr>
        <w:t xml:space="preserve"> </w:t>
      </w:r>
      <w:r>
        <w:t>BRO-ANGPR-O0024-1</w:t>
      </w:r>
      <w:r>
        <w:rPr>
          <w:spacing w:val="-13"/>
        </w:rPr>
        <w:t xml:space="preserve"> </w:t>
      </w:r>
      <w:r>
        <w:t>states</w:t>
      </w:r>
      <w:r>
        <w:rPr>
          <w:spacing w:val="-15"/>
        </w:rPr>
        <w:t xml:space="preserve"> </w:t>
      </w:r>
      <w:r>
        <w:t>that</w:t>
      </w:r>
      <w:r>
        <w:rPr>
          <w:spacing w:val="-13"/>
        </w:rPr>
        <w:t xml:space="preserve"> </w:t>
      </w:r>
      <w:r>
        <w:t>all</w:t>
      </w:r>
      <w:r>
        <w:rPr>
          <w:spacing w:val="-14"/>
        </w:rPr>
        <w:t xml:space="preserve"> </w:t>
      </w:r>
      <w:r>
        <w:t>cellar</w:t>
      </w:r>
      <w:r>
        <w:rPr>
          <w:spacing w:val="-13"/>
        </w:rPr>
        <w:t xml:space="preserve"> </w:t>
      </w:r>
      <w:r>
        <w:t>fluids</w:t>
      </w:r>
      <w:r>
        <w:rPr>
          <w:spacing w:val="-13"/>
        </w:rPr>
        <w:t xml:space="preserve"> </w:t>
      </w:r>
      <w:r>
        <w:t>will</w:t>
      </w:r>
      <w:r>
        <w:rPr>
          <w:spacing w:val="-14"/>
        </w:rPr>
        <w:t xml:space="preserve"> </w:t>
      </w:r>
      <w:r>
        <w:t>be</w:t>
      </w:r>
      <w:r>
        <w:rPr>
          <w:spacing w:val="-14"/>
        </w:rPr>
        <w:t xml:space="preserve"> </w:t>
      </w:r>
      <w:r>
        <w:t>transferred</w:t>
      </w:r>
      <w:r>
        <w:rPr>
          <w:spacing w:val="-13"/>
        </w:rPr>
        <w:t xml:space="preserve"> </w:t>
      </w:r>
      <w:r>
        <w:t>to</w:t>
      </w:r>
      <w:r>
        <w:rPr>
          <w:spacing w:val="-14"/>
        </w:rPr>
        <w:t xml:space="preserve"> </w:t>
      </w:r>
      <w:r>
        <w:t>the</w:t>
      </w:r>
      <w:r>
        <w:rPr>
          <w:spacing w:val="-13"/>
        </w:rPr>
        <w:t xml:space="preserve"> </w:t>
      </w:r>
      <w:r>
        <w:t>slops</w:t>
      </w:r>
      <w:r>
        <w:rPr>
          <w:spacing w:val="-13"/>
        </w:rPr>
        <w:t xml:space="preserve"> </w:t>
      </w:r>
      <w:r>
        <w:t>tank</w:t>
      </w:r>
      <w:r>
        <w:rPr>
          <w:spacing w:val="-14"/>
        </w:rPr>
        <w:t xml:space="preserve"> </w:t>
      </w:r>
      <w:r>
        <w:t>or</w:t>
      </w:r>
      <w:r>
        <w:rPr>
          <w:spacing w:val="1"/>
        </w:rPr>
        <w:t xml:space="preserve"> </w:t>
      </w:r>
      <w:r>
        <w:t>removed</w:t>
      </w:r>
      <w:r>
        <w:rPr>
          <w:spacing w:val="-15"/>
        </w:rPr>
        <w:t xml:space="preserve"> </w:t>
      </w:r>
      <w:r>
        <w:t>as</w:t>
      </w:r>
      <w:r>
        <w:rPr>
          <w:spacing w:val="-15"/>
        </w:rPr>
        <w:t xml:space="preserve"> </w:t>
      </w:r>
      <w:r>
        <w:t>hazardous</w:t>
      </w:r>
      <w:r>
        <w:rPr>
          <w:spacing w:val="-15"/>
        </w:rPr>
        <w:t xml:space="preserve"> </w:t>
      </w:r>
      <w:r>
        <w:t>waste</w:t>
      </w:r>
      <w:r>
        <w:rPr>
          <w:spacing w:val="-14"/>
        </w:rPr>
        <w:t xml:space="preserve"> </w:t>
      </w:r>
      <w:r>
        <w:t>as</w:t>
      </w:r>
      <w:r>
        <w:rPr>
          <w:spacing w:val="-15"/>
        </w:rPr>
        <w:t xml:space="preserve"> </w:t>
      </w:r>
      <w:r>
        <w:t>this</w:t>
      </w:r>
      <w:r>
        <w:rPr>
          <w:spacing w:val="-15"/>
        </w:rPr>
        <w:t xml:space="preserve"> </w:t>
      </w:r>
      <w:r>
        <w:t>is</w:t>
      </w:r>
      <w:r>
        <w:rPr>
          <w:spacing w:val="-14"/>
        </w:rPr>
        <w:t xml:space="preserve"> </w:t>
      </w:r>
      <w:r>
        <w:t>primary</w:t>
      </w:r>
      <w:r>
        <w:rPr>
          <w:spacing w:val="-15"/>
        </w:rPr>
        <w:t xml:space="preserve"> </w:t>
      </w:r>
      <w:r>
        <w:t>containment.</w:t>
      </w:r>
      <w:r>
        <w:rPr>
          <w:spacing w:val="-14"/>
        </w:rPr>
        <w:t xml:space="preserve"> </w:t>
      </w:r>
      <w:r>
        <w:t>This</w:t>
      </w:r>
      <w:r>
        <w:rPr>
          <w:spacing w:val="-15"/>
        </w:rPr>
        <w:t xml:space="preserve"> </w:t>
      </w:r>
      <w:r>
        <w:t>contradicts</w:t>
      </w:r>
      <w:r>
        <w:rPr>
          <w:spacing w:val="-14"/>
        </w:rPr>
        <w:t xml:space="preserve"> </w:t>
      </w:r>
      <w:r>
        <w:t>Section</w:t>
      </w:r>
      <w:r>
        <w:rPr>
          <w:spacing w:val="-15"/>
        </w:rPr>
        <w:t xml:space="preserve"> </w:t>
      </w:r>
      <w:r>
        <w:t>6.2.1</w:t>
      </w:r>
      <w:r>
        <w:rPr>
          <w:spacing w:val="-15"/>
        </w:rPr>
        <w:t xml:space="preserve"> </w:t>
      </w:r>
      <w:r>
        <w:t>of</w:t>
      </w:r>
      <w:r>
        <w:rPr>
          <w:spacing w:val="-13"/>
        </w:rPr>
        <w:t xml:space="preserve"> </w:t>
      </w:r>
      <w:r>
        <w:t>HRA</w:t>
      </w:r>
      <w:r>
        <w:rPr>
          <w:spacing w:val="1"/>
        </w:rPr>
        <w:t xml:space="preserve"> </w:t>
      </w:r>
      <w:r>
        <w:t>Rev</w:t>
      </w:r>
      <w:r>
        <w:rPr>
          <w:spacing w:val="-13"/>
        </w:rPr>
        <w:t xml:space="preserve"> </w:t>
      </w:r>
      <w:r>
        <w:t>5</w:t>
      </w:r>
      <w:r>
        <w:rPr>
          <w:spacing w:val="-13"/>
        </w:rPr>
        <w:t xml:space="preserve"> </w:t>
      </w:r>
      <w:r>
        <w:t>which</w:t>
      </w:r>
      <w:r>
        <w:rPr>
          <w:spacing w:val="-13"/>
        </w:rPr>
        <w:t xml:space="preserve"> </w:t>
      </w:r>
      <w:r>
        <w:t>states</w:t>
      </w:r>
      <w:r>
        <w:rPr>
          <w:spacing w:val="-12"/>
        </w:rPr>
        <w:t xml:space="preserve"> </w:t>
      </w:r>
      <w:r>
        <w:t>that</w:t>
      </w:r>
      <w:r>
        <w:rPr>
          <w:spacing w:val="-14"/>
        </w:rPr>
        <w:t xml:space="preserve"> </w:t>
      </w:r>
      <w:r>
        <w:t>any</w:t>
      </w:r>
      <w:r>
        <w:rPr>
          <w:spacing w:val="-12"/>
        </w:rPr>
        <w:t xml:space="preserve"> </w:t>
      </w:r>
      <w:r>
        <w:t>contaminated</w:t>
      </w:r>
      <w:r>
        <w:rPr>
          <w:spacing w:val="-13"/>
        </w:rPr>
        <w:t xml:space="preserve"> </w:t>
      </w:r>
      <w:r>
        <w:t>surface</w:t>
      </w:r>
      <w:r>
        <w:rPr>
          <w:spacing w:val="-15"/>
        </w:rPr>
        <w:t xml:space="preserve"> </w:t>
      </w:r>
      <w:r>
        <w:t>water</w:t>
      </w:r>
      <w:r>
        <w:rPr>
          <w:spacing w:val="-15"/>
        </w:rPr>
        <w:t xml:space="preserve"> </w:t>
      </w:r>
      <w:r>
        <w:t>from</w:t>
      </w:r>
      <w:r>
        <w:rPr>
          <w:spacing w:val="-14"/>
        </w:rPr>
        <w:t xml:space="preserve"> </w:t>
      </w:r>
      <w:r>
        <w:t>the</w:t>
      </w:r>
      <w:r>
        <w:rPr>
          <w:spacing w:val="-13"/>
        </w:rPr>
        <w:t xml:space="preserve"> </w:t>
      </w:r>
      <w:r>
        <w:t>bunded</w:t>
      </w:r>
      <w:r>
        <w:rPr>
          <w:spacing w:val="-12"/>
        </w:rPr>
        <w:t xml:space="preserve"> </w:t>
      </w:r>
      <w:r>
        <w:t>area</w:t>
      </w:r>
      <w:r>
        <w:rPr>
          <w:spacing w:val="-13"/>
        </w:rPr>
        <w:t xml:space="preserve"> </w:t>
      </w:r>
      <w:r>
        <w:t>or</w:t>
      </w:r>
      <w:r>
        <w:rPr>
          <w:spacing w:val="-12"/>
        </w:rPr>
        <w:t xml:space="preserve"> </w:t>
      </w:r>
      <w:r>
        <w:t>well</w:t>
      </w:r>
      <w:r>
        <w:rPr>
          <w:spacing w:val="-14"/>
        </w:rPr>
        <w:t xml:space="preserve"> </w:t>
      </w:r>
      <w:r>
        <w:t>cellars</w:t>
      </w:r>
      <w:r>
        <w:rPr>
          <w:spacing w:val="-12"/>
        </w:rPr>
        <w:t xml:space="preserve"> </w:t>
      </w:r>
      <w:r>
        <w:t>will</w:t>
      </w:r>
      <w:r>
        <w:rPr>
          <w:spacing w:val="-14"/>
        </w:rPr>
        <w:t xml:space="preserve"> </w:t>
      </w:r>
      <w:r>
        <w:t>be</w:t>
      </w:r>
      <w:r>
        <w:rPr>
          <w:spacing w:val="-58"/>
        </w:rPr>
        <w:t xml:space="preserve"> </w:t>
      </w:r>
      <w:r>
        <w:t>re-injected</w:t>
      </w:r>
      <w:r>
        <w:rPr>
          <w:spacing w:val="-5"/>
        </w:rPr>
        <w:t xml:space="preserve"> </w:t>
      </w:r>
      <w:r>
        <w:t>into</w:t>
      </w:r>
      <w:r>
        <w:rPr>
          <w:spacing w:val="-5"/>
        </w:rPr>
        <w:t xml:space="preserve"> </w:t>
      </w:r>
      <w:r>
        <w:t>the</w:t>
      </w:r>
      <w:r>
        <w:rPr>
          <w:spacing w:val="-5"/>
        </w:rPr>
        <w:t xml:space="preserve"> </w:t>
      </w:r>
      <w:r>
        <w:t>Portland</w:t>
      </w:r>
      <w:r>
        <w:rPr>
          <w:spacing w:val="-5"/>
        </w:rPr>
        <w:t xml:space="preserve"> </w:t>
      </w:r>
      <w:r>
        <w:t>Beds</w:t>
      </w:r>
      <w:r>
        <w:rPr>
          <w:spacing w:val="-5"/>
        </w:rPr>
        <w:t xml:space="preserve"> </w:t>
      </w:r>
      <w:r>
        <w:t>via</w:t>
      </w:r>
      <w:r>
        <w:rPr>
          <w:spacing w:val="-5"/>
        </w:rPr>
        <w:t xml:space="preserve"> </w:t>
      </w:r>
      <w:r>
        <w:t>well</w:t>
      </w:r>
      <w:r>
        <w:rPr>
          <w:spacing w:val="-6"/>
        </w:rPr>
        <w:t xml:space="preserve"> </w:t>
      </w:r>
      <w:r>
        <w:t>BRX3.</w:t>
      </w:r>
    </w:p>
    <w:p w14:paraId="5B4D9F00" w14:textId="77777777" w:rsidR="00671FEA" w:rsidRDefault="00BF5ACE">
      <w:pPr>
        <w:pStyle w:val="BodyText"/>
        <w:spacing w:before="121"/>
        <w:ind w:left="132"/>
        <w:jc w:val="both"/>
      </w:pPr>
      <w:r>
        <w:t>We</w:t>
      </w:r>
      <w:r>
        <w:rPr>
          <w:spacing w:val="-3"/>
        </w:rPr>
        <w:t xml:space="preserve"> </w:t>
      </w:r>
      <w:r>
        <w:t>are</w:t>
      </w:r>
      <w:r>
        <w:rPr>
          <w:spacing w:val="-1"/>
        </w:rPr>
        <w:t xml:space="preserve"> </w:t>
      </w:r>
      <w:r>
        <w:t>seeking</w:t>
      </w:r>
      <w:r>
        <w:rPr>
          <w:spacing w:val="-3"/>
        </w:rPr>
        <w:t xml:space="preserve"> </w:t>
      </w:r>
      <w:r>
        <w:t>clarity</w:t>
      </w:r>
      <w:r>
        <w:rPr>
          <w:spacing w:val="-2"/>
        </w:rPr>
        <w:t xml:space="preserve"> </w:t>
      </w:r>
      <w:r>
        <w:t>and consistency across</w:t>
      </w:r>
      <w:r>
        <w:rPr>
          <w:spacing w:val="-3"/>
        </w:rPr>
        <w:t xml:space="preserve"> </w:t>
      </w:r>
      <w:r>
        <w:t>documents.</w:t>
      </w:r>
    </w:p>
    <w:p w14:paraId="4BD9A083" w14:textId="77777777" w:rsidR="00671FEA" w:rsidRDefault="00671FEA">
      <w:pPr>
        <w:pStyle w:val="BodyText"/>
        <w:rPr>
          <w:sz w:val="24"/>
        </w:rPr>
      </w:pPr>
    </w:p>
    <w:p w14:paraId="49682532" w14:textId="6E207FE1" w:rsidR="00396D68" w:rsidRPr="00AC2B66" w:rsidRDefault="00396D68">
      <w:pPr>
        <w:pStyle w:val="BodyText"/>
        <w:spacing w:before="6"/>
        <w:rPr>
          <w:i w:val="0"/>
          <w:iCs w:val="0"/>
          <w:color w:val="FF0000"/>
        </w:rPr>
      </w:pPr>
      <w:r w:rsidRPr="00396D68">
        <w:rPr>
          <w:i w:val="0"/>
          <w:iCs w:val="0"/>
          <w:color w:val="FF0000"/>
        </w:rPr>
        <w:t xml:space="preserve">The supplementary HRA </w:t>
      </w:r>
      <w:r w:rsidR="009146ED" w:rsidRPr="00396D68">
        <w:rPr>
          <w:i w:val="0"/>
          <w:iCs w:val="0"/>
          <w:color w:val="FF0000"/>
        </w:rPr>
        <w:t>supersedes</w:t>
      </w:r>
      <w:r w:rsidRPr="00396D68">
        <w:rPr>
          <w:i w:val="0"/>
          <w:iCs w:val="0"/>
          <w:color w:val="FF0000"/>
        </w:rPr>
        <w:t xml:space="preserve"> the HRA Rev 5. All fluids from the bunded area and/or well cellars will be removed off-site for disposal</w:t>
      </w:r>
      <w:r>
        <w:rPr>
          <w:i w:val="0"/>
          <w:iCs w:val="0"/>
          <w:color w:val="FF0000"/>
        </w:rPr>
        <w:t>. Supplementary HRA and associated documents amended to reflect this.</w:t>
      </w:r>
    </w:p>
    <w:p w14:paraId="15B9D282" w14:textId="77777777" w:rsidR="00396D68" w:rsidRDefault="00396D68">
      <w:pPr>
        <w:pStyle w:val="BodyText"/>
        <w:spacing w:before="6"/>
        <w:rPr>
          <w:sz w:val="25"/>
        </w:rPr>
      </w:pPr>
    </w:p>
    <w:p w14:paraId="5F5EB153" w14:textId="77777777" w:rsidR="00671FEA" w:rsidRPr="00013E5B" w:rsidRDefault="00BF5ACE">
      <w:pPr>
        <w:pStyle w:val="ListParagraph"/>
        <w:numPr>
          <w:ilvl w:val="0"/>
          <w:numId w:val="1"/>
        </w:numPr>
        <w:tabs>
          <w:tab w:val="left" w:pos="854"/>
        </w:tabs>
        <w:spacing w:before="0" w:line="276" w:lineRule="auto"/>
        <w:ind w:right="459"/>
      </w:pPr>
      <w:bookmarkStart w:id="5" w:name="_Hlk75268200"/>
      <w:r w:rsidRPr="00013E5B">
        <w:rPr>
          <w:spacing w:val="-1"/>
        </w:rPr>
        <w:t>Confirm</w:t>
      </w:r>
      <w:r w:rsidRPr="00013E5B">
        <w:rPr>
          <w:spacing w:val="-14"/>
        </w:rPr>
        <w:t xml:space="preserve"> </w:t>
      </w:r>
      <w:r w:rsidRPr="00013E5B">
        <w:rPr>
          <w:spacing w:val="-1"/>
        </w:rPr>
        <w:t>the</w:t>
      </w:r>
      <w:r w:rsidRPr="00013E5B">
        <w:rPr>
          <w:spacing w:val="-11"/>
        </w:rPr>
        <w:t xml:space="preserve"> </w:t>
      </w:r>
      <w:r w:rsidRPr="00013E5B">
        <w:rPr>
          <w:spacing w:val="-1"/>
        </w:rPr>
        <w:t>construction</w:t>
      </w:r>
      <w:r w:rsidRPr="00013E5B">
        <w:rPr>
          <w:spacing w:val="-14"/>
        </w:rPr>
        <w:t xml:space="preserve"> </w:t>
      </w:r>
      <w:r w:rsidRPr="00013E5B">
        <w:rPr>
          <w:spacing w:val="-1"/>
        </w:rPr>
        <w:t>details</w:t>
      </w:r>
      <w:r w:rsidRPr="00013E5B">
        <w:rPr>
          <w:spacing w:val="-12"/>
        </w:rPr>
        <w:t xml:space="preserve"> </w:t>
      </w:r>
      <w:r w:rsidRPr="00013E5B">
        <w:rPr>
          <w:spacing w:val="-1"/>
        </w:rPr>
        <w:t>of</w:t>
      </w:r>
      <w:r w:rsidRPr="00013E5B">
        <w:rPr>
          <w:spacing w:val="-9"/>
        </w:rPr>
        <w:t xml:space="preserve"> </w:t>
      </w:r>
      <w:r w:rsidRPr="00013E5B">
        <w:rPr>
          <w:spacing w:val="-1"/>
        </w:rPr>
        <w:t>the</w:t>
      </w:r>
      <w:r w:rsidRPr="00013E5B">
        <w:rPr>
          <w:spacing w:val="-11"/>
        </w:rPr>
        <w:t xml:space="preserve"> </w:t>
      </w:r>
      <w:r w:rsidRPr="00013E5B">
        <w:rPr>
          <w:spacing w:val="-1"/>
        </w:rPr>
        <w:t>well</w:t>
      </w:r>
      <w:r w:rsidRPr="00013E5B">
        <w:rPr>
          <w:spacing w:val="-13"/>
        </w:rPr>
        <w:t xml:space="preserve"> </w:t>
      </w:r>
      <w:r w:rsidRPr="00013E5B">
        <w:rPr>
          <w:spacing w:val="-1"/>
        </w:rPr>
        <w:t>cellars</w:t>
      </w:r>
      <w:r w:rsidRPr="00013E5B">
        <w:rPr>
          <w:spacing w:val="-9"/>
        </w:rPr>
        <w:t xml:space="preserve"> </w:t>
      </w:r>
      <w:r w:rsidRPr="00013E5B">
        <w:rPr>
          <w:spacing w:val="-1"/>
        </w:rPr>
        <w:t>and</w:t>
      </w:r>
      <w:r w:rsidRPr="00013E5B">
        <w:rPr>
          <w:spacing w:val="-12"/>
        </w:rPr>
        <w:t xml:space="preserve"> </w:t>
      </w:r>
      <w:r w:rsidRPr="00013E5B">
        <w:t>provide</w:t>
      </w:r>
      <w:r w:rsidRPr="00013E5B">
        <w:rPr>
          <w:spacing w:val="-11"/>
        </w:rPr>
        <w:t xml:space="preserve"> </w:t>
      </w:r>
      <w:r w:rsidRPr="00013E5B">
        <w:t>a</w:t>
      </w:r>
      <w:r w:rsidRPr="00013E5B">
        <w:rPr>
          <w:spacing w:val="-12"/>
        </w:rPr>
        <w:t xml:space="preserve"> </w:t>
      </w:r>
      <w:r w:rsidRPr="00013E5B">
        <w:t>diagram</w:t>
      </w:r>
      <w:r w:rsidRPr="00013E5B">
        <w:rPr>
          <w:spacing w:val="-11"/>
        </w:rPr>
        <w:t xml:space="preserve"> </w:t>
      </w:r>
      <w:r w:rsidRPr="00013E5B">
        <w:t>showing</w:t>
      </w:r>
      <w:r w:rsidRPr="00013E5B">
        <w:rPr>
          <w:spacing w:val="-9"/>
        </w:rPr>
        <w:t xml:space="preserve"> </w:t>
      </w:r>
      <w:r w:rsidRPr="00013E5B">
        <w:t>the</w:t>
      </w:r>
      <w:r w:rsidRPr="00013E5B">
        <w:rPr>
          <w:spacing w:val="-12"/>
        </w:rPr>
        <w:t xml:space="preserve"> </w:t>
      </w:r>
      <w:r w:rsidRPr="00013E5B">
        <w:t>well</w:t>
      </w:r>
      <w:r w:rsidRPr="00013E5B">
        <w:rPr>
          <w:spacing w:val="-58"/>
        </w:rPr>
        <w:t xml:space="preserve"> </w:t>
      </w:r>
      <w:r w:rsidRPr="00013E5B">
        <w:t>cellar</w:t>
      </w:r>
      <w:r w:rsidRPr="00013E5B">
        <w:rPr>
          <w:spacing w:val="-4"/>
        </w:rPr>
        <w:t xml:space="preserve"> </w:t>
      </w:r>
      <w:r w:rsidRPr="00013E5B">
        <w:t>construction.</w:t>
      </w:r>
      <w:r w:rsidRPr="00013E5B">
        <w:rPr>
          <w:spacing w:val="-4"/>
        </w:rPr>
        <w:t xml:space="preserve"> </w:t>
      </w:r>
      <w:r w:rsidRPr="00013E5B">
        <w:t>This</w:t>
      </w:r>
      <w:r w:rsidRPr="00013E5B">
        <w:rPr>
          <w:spacing w:val="-5"/>
        </w:rPr>
        <w:t xml:space="preserve"> </w:t>
      </w:r>
      <w:r w:rsidRPr="00013E5B">
        <w:t>should</w:t>
      </w:r>
      <w:r w:rsidRPr="00013E5B">
        <w:rPr>
          <w:spacing w:val="-5"/>
        </w:rPr>
        <w:t xml:space="preserve"> </w:t>
      </w:r>
      <w:r w:rsidRPr="00013E5B">
        <w:t>include:</w:t>
      </w:r>
    </w:p>
    <w:p w14:paraId="4EC59DE2" w14:textId="77777777" w:rsidR="00671FEA" w:rsidRPr="00013E5B" w:rsidRDefault="00BF5ACE">
      <w:pPr>
        <w:pStyle w:val="ListParagraph"/>
        <w:numPr>
          <w:ilvl w:val="1"/>
          <w:numId w:val="1"/>
        </w:numPr>
        <w:tabs>
          <w:tab w:val="left" w:pos="1574"/>
        </w:tabs>
        <w:spacing w:before="0" w:line="252" w:lineRule="exact"/>
        <w:ind w:hanging="361"/>
      </w:pPr>
      <w:r w:rsidRPr="00013E5B">
        <w:rPr>
          <w:spacing w:val="-1"/>
        </w:rPr>
        <w:t>Explain</w:t>
      </w:r>
      <w:r w:rsidRPr="00013E5B">
        <w:rPr>
          <w:spacing w:val="-14"/>
        </w:rPr>
        <w:t xml:space="preserve"> </w:t>
      </w:r>
      <w:r w:rsidRPr="00013E5B">
        <w:t>how</w:t>
      </w:r>
      <w:r w:rsidRPr="00013E5B">
        <w:rPr>
          <w:spacing w:val="-15"/>
        </w:rPr>
        <w:t xml:space="preserve"> </w:t>
      </w:r>
      <w:r w:rsidRPr="00013E5B">
        <w:t>you</w:t>
      </w:r>
      <w:r w:rsidRPr="00013E5B">
        <w:rPr>
          <w:spacing w:val="-14"/>
        </w:rPr>
        <w:t xml:space="preserve"> </w:t>
      </w:r>
      <w:r w:rsidRPr="00013E5B">
        <w:t>carry</w:t>
      </w:r>
      <w:r w:rsidRPr="00013E5B">
        <w:rPr>
          <w:spacing w:val="-15"/>
        </w:rPr>
        <w:t xml:space="preserve"> </w:t>
      </w:r>
      <w:r w:rsidRPr="00013E5B">
        <w:t>out</w:t>
      </w:r>
      <w:r w:rsidRPr="00013E5B">
        <w:rPr>
          <w:spacing w:val="-12"/>
        </w:rPr>
        <w:t xml:space="preserve"> </w:t>
      </w:r>
      <w:r w:rsidRPr="00013E5B">
        <w:t>the</w:t>
      </w:r>
      <w:r w:rsidRPr="00013E5B">
        <w:rPr>
          <w:spacing w:val="-14"/>
        </w:rPr>
        <w:t xml:space="preserve"> </w:t>
      </w:r>
      <w:r w:rsidRPr="00013E5B">
        <w:t>well</w:t>
      </w:r>
      <w:r w:rsidRPr="00013E5B">
        <w:rPr>
          <w:spacing w:val="-14"/>
        </w:rPr>
        <w:t xml:space="preserve"> </w:t>
      </w:r>
      <w:r w:rsidRPr="00013E5B">
        <w:t>cellar</w:t>
      </w:r>
      <w:r w:rsidRPr="00013E5B">
        <w:rPr>
          <w:spacing w:val="-13"/>
        </w:rPr>
        <w:t xml:space="preserve"> </w:t>
      </w:r>
      <w:r w:rsidRPr="00013E5B">
        <w:t>integrity</w:t>
      </w:r>
      <w:r w:rsidRPr="00013E5B">
        <w:rPr>
          <w:spacing w:val="-15"/>
        </w:rPr>
        <w:t xml:space="preserve"> </w:t>
      </w:r>
      <w:r w:rsidRPr="00013E5B">
        <w:t>reviews</w:t>
      </w:r>
      <w:r w:rsidRPr="00013E5B">
        <w:rPr>
          <w:spacing w:val="-14"/>
        </w:rPr>
        <w:t xml:space="preserve"> </w:t>
      </w:r>
      <w:r w:rsidRPr="00013E5B">
        <w:t>and</w:t>
      </w:r>
      <w:r w:rsidRPr="00013E5B">
        <w:rPr>
          <w:spacing w:val="-13"/>
        </w:rPr>
        <w:t xml:space="preserve"> </w:t>
      </w:r>
      <w:r w:rsidRPr="00013E5B">
        <w:t>frequency</w:t>
      </w:r>
      <w:r w:rsidRPr="00013E5B">
        <w:rPr>
          <w:spacing w:val="-15"/>
        </w:rPr>
        <w:t xml:space="preserve"> </w:t>
      </w:r>
      <w:r w:rsidRPr="00013E5B">
        <w:t>of</w:t>
      </w:r>
      <w:r w:rsidRPr="00013E5B">
        <w:rPr>
          <w:spacing w:val="-11"/>
        </w:rPr>
        <w:t xml:space="preserve"> </w:t>
      </w:r>
      <w:r w:rsidRPr="00013E5B">
        <w:t>inspection.</w:t>
      </w:r>
    </w:p>
    <w:p w14:paraId="0E46D40D" w14:textId="5E05F86D" w:rsidR="00671FEA" w:rsidRPr="00013E5B" w:rsidRDefault="00BF5ACE">
      <w:pPr>
        <w:pStyle w:val="ListParagraph"/>
        <w:numPr>
          <w:ilvl w:val="1"/>
          <w:numId w:val="1"/>
        </w:numPr>
        <w:tabs>
          <w:tab w:val="left" w:pos="1574"/>
        </w:tabs>
        <w:spacing w:before="38" w:line="276" w:lineRule="auto"/>
        <w:ind w:right="660"/>
      </w:pPr>
      <w:r w:rsidRPr="00013E5B">
        <w:rPr>
          <w:spacing w:val="-1"/>
        </w:rPr>
        <w:t>Confirm</w:t>
      </w:r>
      <w:r w:rsidRPr="00013E5B">
        <w:rPr>
          <w:spacing w:val="-12"/>
        </w:rPr>
        <w:t xml:space="preserve"> </w:t>
      </w:r>
      <w:r w:rsidRPr="00013E5B">
        <w:rPr>
          <w:spacing w:val="-1"/>
        </w:rPr>
        <w:t>when</w:t>
      </w:r>
      <w:r w:rsidRPr="00013E5B">
        <w:rPr>
          <w:spacing w:val="-13"/>
        </w:rPr>
        <w:t xml:space="preserve"> </w:t>
      </w:r>
      <w:r w:rsidRPr="00013E5B">
        <w:rPr>
          <w:spacing w:val="-1"/>
        </w:rPr>
        <w:t>the</w:t>
      </w:r>
      <w:r w:rsidRPr="00013E5B">
        <w:rPr>
          <w:spacing w:val="-13"/>
        </w:rPr>
        <w:t xml:space="preserve"> </w:t>
      </w:r>
      <w:r w:rsidRPr="00013E5B">
        <w:rPr>
          <w:spacing w:val="-1"/>
        </w:rPr>
        <w:t>well</w:t>
      </w:r>
      <w:r w:rsidRPr="00013E5B">
        <w:rPr>
          <w:spacing w:val="-13"/>
        </w:rPr>
        <w:t xml:space="preserve"> </w:t>
      </w:r>
      <w:r w:rsidRPr="00013E5B">
        <w:t>cellar(s)</w:t>
      </w:r>
      <w:r w:rsidRPr="00013E5B">
        <w:rPr>
          <w:spacing w:val="-12"/>
        </w:rPr>
        <w:t xml:space="preserve"> </w:t>
      </w:r>
      <w:r w:rsidRPr="00013E5B">
        <w:t>integrity</w:t>
      </w:r>
      <w:r w:rsidRPr="00013E5B">
        <w:rPr>
          <w:spacing w:val="-14"/>
        </w:rPr>
        <w:t xml:space="preserve"> </w:t>
      </w:r>
      <w:r w:rsidRPr="00013E5B">
        <w:t>was</w:t>
      </w:r>
      <w:r w:rsidRPr="00013E5B">
        <w:rPr>
          <w:spacing w:val="-13"/>
        </w:rPr>
        <w:t xml:space="preserve"> </w:t>
      </w:r>
      <w:r w:rsidRPr="00013E5B">
        <w:t>last</w:t>
      </w:r>
      <w:r w:rsidRPr="00013E5B">
        <w:rPr>
          <w:spacing w:val="-11"/>
        </w:rPr>
        <w:t xml:space="preserve"> </w:t>
      </w:r>
      <w:r w:rsidRPr="00013E5B">
        <w:t>tested</w:t>
      </w:r>
      <w:r w:rsidRPr="00013E5B">
        <w:rPr>
          <w:spacing w:val="-13"/>
        </w:rPr>
        <w:t xml:space="preserve"> </w:t>
      </w:r>
      <w:r w:rsidRPr="00013E5B">
        <w:t>and</w:t>
      </w:r>
      <w:r w:rsidRPr="00013E5B">
        <w:rPr>
          <w:spacing w:val="-13"/>
        </w:rPr>
        <w:t xml:space="preserve"> </w:t>
      </w:r>
      <w:r w:rsidRPr="00013E5B">
        <w:t>how</w:t>
      </w:r>
      <w:r w:rsidRPr="00013E5B">
        <w:rPr>
          <w:spacing w:val="-15"/>
        </w:rPr>
        <w:t xml:space="preserve"> </w:t>
      </w:r>
      <w:r w:rsidRPr="00013E5B">
        <w:t>this</w:t>
      </w:r>
      <w:r w:rsidRPr="00013E5B">
        <w:rPr>
          <w:spacing w:val="-12"/>
        </w:rPr>
        <w:t xml:space="preserve"> </w:t>
      </w:r>
      <w:r w:rsidRPr="00013E5B">
        <w:t>testing</w:t>
      </w:r>
      <w:r w:rsidRPr="00013E5B">
        <w:rPr>
          <w:spacing w:val="-11"/>
        </w:rPr>
        <w:t xml:space="preserve"> </w:t>
      </w:r>
      <w:r w:rsidRPr="00013E5B">
        <w:t>was</w:t>
      </w:r>
      <w:r w:rsidRPr="00013E5B">
        <w:rPr>
          <w:spacing w:val="-59"/>
        </w:rPr>
        <w:t xml:space="preserve"> </w:t>
      </w:r>
      <w:r w:rsidRPr="00013E5B">
        <w:t>carried</w:t>
      </w:r>
      <w:r w:rsidRPr="00013E5B">
        <w:rPr>
          <w:spacing w:val="-6"/>
        </w:rPr>
        <w:t xml:space="preserve"> </w:t>
      </w:r>
      <w:r w:rsidRPr="00013E5B">
        <w:t>out</w:t>
      </w:r>
      <w:r w:rsidRPr="00013E5B">
        <w:rPr>
          <w:spacing w:val="-4"/>
        </w:rPr>
        <w:t xml:space="preserve"> </w:t>
      </w:r>
      <w:r w:rsidRPr="00013E5B">
        <w:t>to</w:t>
      </w:r>
      <w:r w:rsidRPr="00013E5B">
        <w:rPr>
          <w:spacing w:val="-6"/>
        </w:rPr>
        <w:t xml:space="preserve"> </w:t>
      </w:r>
      <w:r w:rsidRPr="00013E5B">
        <w:t>verify</w:t>
      </w:r>
      <w:r w:rsidRPr="00013E5B">
        <w:rPr>
          <w:spacing w:val="-7"/>
        </w:rPr>
        <w:t xml:space="preserve"> </w:t>
      </w:r>
      <w:r w:rsidRPr="00013E5B">
        <w:t>the</w:t>
      </w:r>
      <w:r w:rsidRPr="00013E5B">
        <w:rPr>
          <w:spacing w:val="-6"/>
        </w:rPr>
        <w:t xml:space="preserve"> </w:t>
      </w:r>
      <w:r w:rsidRPr="00013E5B">
        <w:t>well</w:t>
      </w:r>
      <w:r w:rsidRPr="00013E5B">
        <w:rPr>
          <w:spacing w:val="-6"/>
        </w:rPr>
        <w:t xml:space="preserve"> </w:t>
      </w:r>
      <w:r w:rsidRPr="00013E5B">
        <w:t>cellars</w:t>
      </w:r>
      <w:r w:rsidRPr="00013E5B">
        <w:rPr>
          <w:spacing w:val="-6"/>
        </w:rPr>
        <w:t xml:space="preserve"> </w:t>
      </w:r>
      <w:r w:rsidRPr="00013E5B">
        <w:t>are</w:t>
      </w:r>
      <w:r w:rsidRPr="00013E5B">
        <w:rPr>
          <w:spacing w:val="-3"/>
        </w:rPr>
        <w:t xml:space="preserve"> </w:t>
      </w:r>
      <w:r w:rsidR="009146ED" w:rsidRPr="00013E5B">
        <w:t>water</w:t>
      </w:r>
      <w:r w:rsidR="009146ED" w:rsidRPr="00013E5B">
        <w:rPr>
          <w:spacing w:val="-5"/>
        </w:rPr>
        <w:t>tight</w:t>
      </w:r>
      <w:r w:rsidRPr="00013E5B">
        <w:t>.</w:t>
      </w:r>
    </w:p>
    <w:p w14:paraId="4E41AE3E" w14:textId="77777777" w:rsidR="00671FEA" w:rsidRDefault="00BF5ACE">
      <w:pPr>
        <w:pStyle w:val="BodyText"/>
        <w:spacing w:before="121" w:line="276" w:lineRule="auto"/>
        <w:ind w:left="132"/>
      </w:pPr>
      <w:r w:rsidRPr="00013E5B">
        <w:t>This information is needed because the well cellars are one of the main containment areas on site</w:t>
      </w:r>
      <w:r w:rsidRPr="00013E5B">
        <w:rPr>
          <w:spacing w:val="1"/>
        </w:rPr>
        <w:t xml:space="preserve"> </w:t>
      </w:r>
      <w:r w:rsidRPr="00013E5B">
        <w:t>and is a key mitigation measure for preventing the loss of contaminants to ground and subsoil. The</w:t>
      </w:r>
      <w:r w:rsidRPr="00013E5B">
        <w:rPr>
          <w:spacing w:val="-59"/>
        </w:rPr>
        <w:t xml:space="preserve"> </w:t>
      </w:r>
      <w:r w:rsidRPr="00013E5B">
        <w:t>HRA Rev 5 states that well cellar integrity will be regularly reviewed by visual inspection and</w:t>
      </w:r>
      <w:r w:rsidRPr="00013E5B">
        <w:rPr>
          <w:spacing w:val="1"/>
        </w:rPr>
        <w:t xml:space="preserve"> </w:t>
      </w:r>
      <w:r w:rsidRPr="00013E5B">
        <w:t xml:space="preserve">remedial works undertaken as required. </w:t>
      </w:r>
      <w:proofErr w:type="gramStart"/>
      <w:r w:rsidRPr="00013E5B">
        <w:t>However</w:t>
      </w:r>
      <w:proofErr w:type="gramEnd"/>
      <w:r w:rsidRPr="00013E5B">
        <w:t xml:space="preserve"> there is no information confirming how these</w:t>
      </w:r>
      <w:r w:rsidRPr="00013E5B">
        <w:rPr>
          <w:spacing w:val="1"/>
        </w:rPr>
        <w:t xml:space="preserve"> </w:t>
      </w:r>
      <w:r w:rsidRPr="00013E5B">
        <w:rPr>
          <w:spacing w:val="-1"/>
        </w:rPr>
        <w:t>reviews</w:t>
      </w:r>
      <w:r w:rsidRPr="00013E5B">
        <w:rPr>
          <w:spacing w:val="-13"/>
        </w:rPr>
        <w:t xml:space="preserve"> </w:t>
      </w:r>
      <w:r w:rsidRPr="00013E5B">
        <w:rPr>
          <w:spacing w:val="-1"/>
        </w:rPr>
        <w:t>are</w:t>
      </w:r>
      <w:r w:rsidRPr="00013E5B">
        <w:rPr>
          <w:spacing w:val="-12"/>
        </w:rPr>
        <w:t xml:space="preserve"> </w:t>
      </w:r>
      <w:r w:rsidRPr="00013E5B">
        <w:rPr>
          <w:spacing w:val="-1"/>
        </w:rPr>
        <w:t>carried</w:t>
      </w:r>
      <w:r w:rsidRPr="00013E5B">
        <w:rPr>
          <w:spacing w:val="-13"/>
        </w:rPr>
        <w:t xml:space="preserve"> </w:t>
      </w:r>
      <w:r w:rsidRPr="00013E5B">
        <w:rPr>
          <w:spacing w:val="-1"/>
        </w:rPr>
        <w:t>out,</w:t>
      </w:r>
      <w:r w:rsidRPr="00013E5B">
        <w:rPr>
          <w:spacing w:val="-13"/>
        </w:rPr>
        <w:t xml:space="preserve"> </w:t>
      </w:r>
      <w:r w:rsidRPr="00013E5B">
        <w:rPr>
          <w:spacing w:val="-1"/>
        </w:rPr>
        <w:t>the</w:t>
      </w:r>
      <w:r w:rsidRPr="00013E5B">
        <w:rPr>
          <w:spacing w:val="-13"/>
        </w:rPr>
        <w:t xml:space="preserve"> </w:t>
      </w:r>
      <w:r w:rsidRPr="00013E5B">
        <w:rPr>
          <w:spacing w:val="-1"/>
        </w:rPr>
        <w:t>frequency</w:t>
      </w:r>
      <w:r w:rsidRPr="00013E5B">
        <w:rPr>
          <w:spacing w:val="-12"/>
        </w:rPr>
        <w:t xml:space="preserve"> </w:t>
      </w:r>
      <w:r w:rsidRPr="00013E5B">
        <w:t>of</w:t>
      </w:r>
      <w:r w:rsidRPr="00013E5B">
        <w:rPr>
          <w:spacing w:val="-12"/>
        </w:rPr>
        <w:t xml:space="preserve"> </w:t>
      </w:r>
      <w:r w:rsidRPr="00013E5B">
        <w:t>inspection</w:t>
      </w:r>
      <w:r w:rsidRPr="00013E5B">
        <w:rPr>
          <w:spacing w:val="-12"/>
        </w:rPr>
        <w:t xml:space="preserve"> </w:t>
      </w:r>
      <w:r w:rsidRPr="00013E5B">
        <w:t>and</w:t>
      </w:r>
      <w:r w:rsidRPr="00013E5B">
        <w:rPr>
          <w:spacing w:val="-13"/>
        </w:rPr>
        <w:t xml:space="preserve"> </w:t>
      </w:r>
      <w:r w:rsidRPr="00013E5B">
        <w:t>when</w:t>
      </w:r>
      <w:r w:rsidRPr="00013E5B">
        <w:rPr>
          <w:spacing w:val="-12"/>
        </w:rPr>
        <w:t xml:space="preserve"> </w:t>
      </w:r>
      <w:r w:rsidRPr="00013E5B">
        <w:t>the</w:t>
      </w:r>
      <w:r w:rsidRPr="00013E5B">
        <w:rPr>
          <w:spacing w:val="-16"/>
        </w:rPr>
        <w:t xml:space="preserve"> </w:t>
      </w:r>
      <w:r w:rsidRPr="00013E5B">
        <w:t>well</w:t>
      </w:r>
      <w:r w:rsidRPr="00013E5B">
        <w:rPr>
          <w:spacing w:val="-13"/>
        </w:rPr>
        <w:t xml:space="preserve"> </w:t>
      </w:r>
      <w:r w:rsidRPr="00013E5B">
        <w:t>cellars</w:t>
      </w:r>
      <w:r w:rsidRPr="00013E5B">
        <w:rPr>
          <w:spacing w:val="-12"/>
        </w:rPr>
        <w:t xml:space="preserve"> </w:t>
      </w:r>
      <w:r w:rsidRPr="00013E5B">
        <w:t>integrity</w:t>
      </w:r>
      <w:r w:rsidRPr="00013E5B">
        <w:rPr>
          <w:spacing w:val="-13"/>
        </w:rPr>
        <w:t xml:space="preserve"> </w:t>
      </w:r>
      <w:r w:rsidRPr="00013E5B">
        <w:t>was</w:t>
      </w:r>
      <w:r w:rsidRPr="00013E5B">
        <w:rPr>
          <w:spacing w:val="-12"/>
        </w:rPr>
        <w:t xml:space="preserve"> </w:t>
      </w:r>
      <w:r w:rsidRPr="00013E5B">
        <w:t>last</w:t>
      </w:r>
      <w:r w:rsidRPr="00013E5B">
        <w:rPr>
          <w:spacing w:val="-14"/>
        </w:rPr>
        <w:t xml:space="preserve"> </w:t>
      </w:r>
      <w:r w:rsidRPr="00013E5B">
        <w:t>tested</w:t>
      </w:r>
      <w:r w:rsidRPr="00013E5B">
        <w:rPr>
          <w:spacing w:val="-58"/>
        </w:rPr>
        <w:t xml:space="preserve"> </w:t>
      </w:r>
      <w:r w:rsidRPr="00013E5B">
        <w:t>for</w:t>
      </w:r>
      <w:r w:rsidRPr="00013E5B">
        <w:rPr>
          <w:spacing w:val="-4"/>
        </w:rPr>
        <w:t xml:space="preserve"> </w:t>
      </w:r>
      <w:r w:rsidRPr="00013E5B">
        <w:t>example</w:t>
      </w:r>
      <w:r w:rsidRPr="00013E5B">
        <w:rPr>
          <w:spacing w:val="-4"/>
        </w:rPr>
        <w:t xml:space="preserve"> </w:t>
      </w:r>
      <w:r w:rsidRPr="00013E5B">
        <w:t>through</w:t>
      </w:r>
      <w:r w:rsidRPr="00013E5B">
        <w:rPr>
          <w:spacing w:val="-5"/>
        </w:rPr>
        <w:t xml:space="preserve"> </w:t>
      </w:r>
      <w:r w:rsidRPr="00013E5B">
        <w:t>a</w:t>
      </w:r>
      <w:r w:rsidRPr="00013E5B">
        <w:rPr>
          <w:spacing w:val="-4"/>
        </w:rPr>
        <w:t xml:space="preserve"> </w:t>
      </w:r>
      <w:r w:rsidRPr="00013E5B">
        <w:t>leakage</w:t>
      </w:r>
      <w:r w:rsidRPr="00013E5B">
        <w:rPr>
          <w:spacing w:val="-5"/>
        </w:rPr>
        <w:t xml:space="preserve"> </w:t>
      </w:r>
      <w:r w:rsidRPr="00013E5B">
        <w:t>test.</w:t>
      </w:r>
    </w:p>
    <w:p w14:paraId="48C67137" w14:textId="77777777" w:rsidR="00671FEA" w:rsidRDefault="00671FEA">
      <w:pPr>
        <w:pStyle w:val="BodyText"/>
        <w:rPr>
          <w:sz w:val="24"/>
        </w:rPr>
      </w:pPr>
    </w:p>
    <w:p w14:paraId="7FF22C02" w14:textId="79BA3931" w:rsidR="00671FEA" w:rsidRDefault="009E79A3">
      <w:pPr>
        <w:pStyle w:val="BodyText"/>
        <w:spacing w:before="10"/>
        <w:rPr>
          <w:i w:val="0"/>
          <w:iCs w:val="0"/>
          <w:color w:val="FF0000"/>
          <w:sz w:val="21"/>
        </w:rPr>
      </w:pPr>
      <w:r w:rsidRPr="009E79A3">
        <w:rPr>
          <w:i w:val="0"/>
          <w:iCs w:val="0"/>
          <w:color w:val="FF0000"/>
          <w:sz w:val="21"/>
        </w:rPr>
        <w:t>BRO-ANGPR-O0046-1 Hydrostatic Integrity Cellar Test has been added to the Schedule 5 response</w:t>
      </w:r>
      <w:r>
        <w:rPr>
          <w:i w:val="0"/>
          <w:iCs w:val="0"/>
          <w:color w:val="FF0000"/>
          <w:sz w:val="21"/>
        </w:rPr>
        <w:t>.</w:t>
      </w:r>
    </w:p>
    <w:p w14:paraId="7831104C" w14:textId="474B3E6A" w:rsidR="008B6206" w:rsidRDefault="008B6206">
      <w:pPr>
        <w:pStyle w:val="BodyText"/>
        <w:spacing w:before="10"/>
        <w:rPr>
          <w:i w:val="0"/>
          <w:iCs w:val="0"/>
          <w:color w:val="FF0000"/>
          <w:sz w:val="21"/>
        </w:rPr>
      </w:pPr>
    </w:p>
    <w:p w14:paraId="74CB0A0C" w14:textId="77777777" w:rsidR="008B6206" w:rsidRPr="00224EDE" w:rsidRDefault="008B6206" w:rsidP="00224EDE">
      <w:pPr>
        <w:pStyle w:val="BodyText"/>
        <w:spacing w:before="6"/>
        <w:rPr>
          <w:color w:val="FF0000"/>
        </w:rPr>
      </w:pPr>
      <w:r w:rsidRPr="00224EDE">
        <w:rPr>
          <w:i w:val="0"/>
          <w:iCs w:val="0"/>
          <w:color w:val="FF0000"/>
        </w:rPr>
        <w:t xml:space="preserve">The well cellars were constructed prior to Angus Energy’s operatorship of the Brockham Well Site by the previous operators and were not provided with records of the construction details. </w:t>
      </w:r>
    </w:p>
    <w:p w14:paraId="2C4D5A7C" w14:textId="77777777" w:rsidR="008B6206" w:rsidRPr="00224EDE" w:rsidRDefault="008B6206" w:rsidP="00224EDE">
      <w:pPr>
        <w:pStyle w:val="BodyText"/>
        <w:spacing w:before="6"/>
        <w:rPr>
          <w:color w:val="FF0000"/>
        </w:rPr>
      </w:pPr>
    </w:p>
    <w:p w14:paraId="2E94FEB8" w14:textId="77777777" w:rsidR="008B6206" w:rsidRPr="00224EDE" w:rsidRDefault="008B6206" w:rsidP="00224EDE">
      <w:pPr>
        <w:pStyle w:val="BodyText"/>
        <w:spacing w:before="6"/>
        <w:rPr>
          <w:color w:val="FF0000"/>
        </w:rPr>
      </w:pPr>
      <w:r w:rsidRPr="00224EDE">
        <w:rPr>
          <w:i w:val="0"/>
          <w:iCs w:val="0"/>
          <w:color w:val="FF0000"/>
        </w:rPr>
        <w:t>Angus Energy carry out annual hydrostatic integrity well cellar tests. The tests are carried out in accordance with operating procedure BRO-ANGPR-O0046-1 which has now been incorporated in the Supplementary HRA.</w:t>
      </w:r>
    </w:p>
    <w:p w14:paraId="24FCB11C" w14:textId="77777777" w:rsidR="008B6206" w:rsidRPr="00224EDE" w:rsidRDefault="008B6206" w:rsidP="00224EDE">
      <w:pPr>
        <w:pStyle w:val="BodyText"/>
        <w:spacing w:before="6"/>
        <w:rPr>
          <w:color w:val="FF0000"/>
        </w:rPr>
      </w:pPr>
    </w:p>
    <w:p w14:paraId="0D2357F7" w14:textId="77777777" w:rsidR="008B6206" w:rsidRPr="00224EDE" w:rsidRDefault="008B6206" w:rsidP="00224EDE">
      <w:pPr>
        <w:pStyle w:val="BodyText"/>
        <w:spacing w:before="6"/>
        <w:rPr>
          <w:color w:val="FF0000"/>
        </w:rPr>
      </w:pPr>
      <w:r w:rsidRPr="00224EDE">
        <w:rPr>
          <w:i w:val="0"/>
          <w:iCs w:val="0"/>
          <w:color w:val="FF0000"/>
        </w:rPr>
        <w:t>The last well cellar tests were carried out in September 2020 and results recorded as per procedure BRO-ANGS-05-M-Data Recording. The results of the tests showed that there was no compromise to the integrity of the well cellars.</w:t>
      </w:r>
    </w:p>
    <w:p w14:paraId="2CA6492B" w14:textId="77777777" w:rsidR="008B6206" w:rsidRPr="009E79A3" w:rsidRDefault="008B6206">
      <w:pPr>
        <w:pStyle w:val="BodyText"/>
        <w:spacing w:before="10"/>
        <w:rPr>
          <w:i w:val="0"/>
          <w:iCs w:val="0"/>
          <w:color w:val="FF0000"/>
          <w:sz w:val="21"/>
        </w:rPr>
      </w:pPr>
    </w:p>
    <w:bookmarkEnd w:id="5"/>
    <w:p w14:paraId="0115581C" w14:textId="2AE1E7B1" w:rsidR="00396D68" w:rsidRDefault="00396D68">
      <w:pPr>
        <w:pStyle w:val="BodyText"/>
        <w:spacing w:before="10"/>
        <w:rPr>
          <w:sz w:val="21"/>
        </w:rPr>
      </w:pPr>
    </w:p>
    <w:p w14:paraId="378229A6" w14:textId="77777777" w:rsidR="00396D68" w:rsidRDefault="00396D68">
      <w:pPr>
        <w:pStyle w:val="BodyText"/>
        <w:spacing w:before="10"/>
        <w:rPr>
          <w:sz w:val="21"/>
        </w:rPr>
      </w:pPr>
    </w:p>
    <w:p w14:paraId="088F518D" w14:textId="77777777" w:rsidR="00671FEA" w:rsidRDefault="00BF5ACE">
      <w:pPr>
        <w:pStyle w:val="Heading1"/>
        <w:spacing w:line="276" w:lineRule="auto"/>
        <w:ind w:right="521"/>
      </w:pPr>
      <w:r>
        <w:t>Appendix 08 – Transfer of Water from Production Tank (BRO-MR131) to Produced Water</w:t>
      </w:r>
      <w:r>
        <w:rPr>
          <w:spacing w:val="-59"/>
        </w:rPr>
        <w:t xml:space="preserve"> </w:t>
      </w:r>
      <w:r>
        <w:t>Tank</w:t>
      </w:r>
      <w:r>
        <w:rPr>
          <w:spacing w:val="-1"/>
        </w:rPr>
        <w:t xml:space="preserve"> </w:t>
      </w:r>
      <w:r>
        <w:t>(BRO0PW-T-01)</w:t>
      </w:r>
      <w:r>
        <w:rPr>
          <w:spacing w:val="-1"/>
        </w:rPr>
        <w:t xml:space="preserve"> </w:t>
      </w:r>
      <w:r>
        <w:t>(BRO-ANGPR-O0040)</w:t>
      </w:r>
    </w:p>
    <w:p w14:paraId="7D383568" w14:textId="77777777" w:rsidR="00671FEA" w:rsidRDefault="00BF5ACE">
      <w:pPr>
        <w:pStyle w:val="ListParagraph"/>
        <w:numPr>
          <w:ilvl w:val="0"/>
          <w:numId w:val="1"/>
        </w:numPr>
        <w:tabs>
          <w:tab w:val="left" w:pos="854"/>
        </w:tabs>
        <w:spacing w:before="124" w:line="256" w:lineRule="auto"/>
        <w:ind w:right="216"/>
      </w:pPr>
      <w:r>
        <w:t>Provide detail about where information should be recorded and how this information will be</w:t>
      </w:r>
      <w:r>
        <w:rPr>
          <w:spacing w:val="-59"/>
        </w:rPr>
        <w:t xml:space="preserve"> </w:t>
      </w:r>
      <w:r>
        <w:t>stored</w:t>
      </w:r>
      <w:r>
        <w:rPr>
          <w:spacing w:val="-5"/>
        </w:rPr>
        <w:t xml:space="preserve"> </w:t>
      </w:r>
      <w:r>
        <w:t>for</w:t>
      </w:r>
      <w:r>
        <w:rPr>
          <w:spacing w:val="-1"/>
        </w:rPr>
        <w:t xml:space="preserve"> </w:t>
      </w:r>
      <w:r>
        <w:t>future inspection in</w:t>
      </w:r>
      <w:r>
        <w:rPr>
          <w:spacing w:val="-1"/>
        </w:rPr>
        <w:t xml:space="preserve"> </w:t>
      </w:r>
      <w:r>
        <w:t>all relevant</w:t>
      </w:r>
      <w:r>
        <w:rPr>
          <w:spacing w:val="2"/>
        </w:rPr>
        <w:t xml:space="preserve"> </w:t>
      </w:r>
      <w:r>
        <w:t>parts</w:t>
      </w:r>
      <w:r>
        <w:rPr>
          <w:spacing w:val="-2"/>
        </w:rPr>
        <w:t xml:space="preserve"> </w:t>
      </w:r>
      <w:r>
        <w:t>of</w:t>
      </w:r>
      <w:r>
        <w:rPr>
          <w:spacing w:val="4"/>
        </w:rPr>
        <w:t xml:space="preserve"> </w:t>
      </w:r>
      <w:r>
        <w:t>the</w:t>
      </w:r>
      <w:r>
        <w:rPr>
          <w:spacing w:val="-2"/>
        </w:rPr>
        <w:t xml:space="preserve"> </w:t>
      </w:r>
      <w:r>
        <w:t>document.</w:t>
      </w:r>
    </w:p>
    <w:p w14:paraId="7065D6E8" w14:textId="3CD74B4B" w:rsidR="00671FEA" w:rsidRDefault="00671FEA">
      <w:pPr>
        <w:pStyle w:val="BodyText"/>
        <w:rPr>
          <w:i w:val="0"/>
          <w:sz w:val="24"/>
        </w:rPr>
      </w:pPr>
    </w:p>
    <w:p w14:paraId="2A70503E" w14:textId="6B0FD62D" w:rsidR="009E79A3" w:rsidRPr="009E79A3" w:rsidRDefault="009E79A3" w:rsidP="009E79A3">
      <w:pPr>
        <w:pStyle w:val="BodyText"/>
        <w:ind w:left="720"/>
        <w:rPr>
          <w:i w:val="0"/>
          <w:color w:val="FF0000"/>
        </w:rPr>
      </w:pPr>
      <w:r w:rsidRPr="009E79A3">
        <w:rPr>
          <w:i w:val="0"/>
          <w:color w:val="FF0000"/>
        </w:rPr>
        <w:lastRenderedPageBreak/>
        <w:t>The procedure has been updated to show that data should be reported as shown in the Data Reporting Procedure – BRO-ANGS-05-M-Data Reporting.</w:t>
      </w:r>
    </w:p>
    <w:p w14:paraId="0DF27380" w14:textId="77777777" w:rsidR="00671FEA" w:rsidRDefault="00671FEA">
      <w:pPr>
        <w:pStyle w:val="BodyText"/>
        <w:spacing w:before="9"/>
        <w:rPr>
          <w:i w:val="0"/>
          <w:sz w:val="25"/>
        </w:rPr>
      </w:pPr>
    </w:p>
    <w:p w14:paraId="2945BAA9" w14:textId="77777777" w:rsidR="00671FEA" w:rsidRDefault="00BF5ACE">
      <w:pPr>
        <w:pStyle w:val="Heading1"/>
        <w:jc w:val="both"/>
      </w:pPr>
      <w:r>
        <w:t>Appendix</w:t>
      </w:r>
      <w:r>
        <w:rPr>
          <w:spacing w:val="-3"/>
        </w:rPr>
        <w:t xml:space="preserve"> </w:t>
      </w:r>
      <w:r>
        <w:t>08</w:t>
      </w:r>
      <w:r>
        <w:rPr>
          <w:spacing w:val="-2"/>
        </w:rPr>
        <w:t xml:space="preserve"> </w:t>
      </w:r>
      <w:r>
        <w:t>–</w:t>
      </w:r>
      <w:r>
        <w:rPr>
          <w:spacing w:val="-3"/>
        </w:rPr>
        <w:t xml:space="preserve"> </w:t>
      </w:r>
      <w:r>
        <w:t>Data</w:t>
      </w:r>
      <w:r>
        <w:rPr>
          <w:spacing w:val="-5"/>
        </w:rPr>
        <w:t xml:space="preserve"> </w:t>
      </w:r>
      <w:r>
        <w:t>Reporting</w:t>
      </w:r>
      <w:r>
        <w:rPr>
          <w:spacing w:val="-5"/>
        </w:rPr>
        <w:t xml:space="preserve"> </w:t>
      </w:r>
      <w:r>
        <w:t>Procedure</w:t>
      </w:r>
      <w:r>
        <w:rPr>
          <w:spacing w:val="-3"/>
        </w:rPr>
        <w:t xml:space="preserve"> </w:t>
      </w:r>
      <w:r>
        <w:t>(BRO-ANGS-05-M-Data</w:t>
      </w:r>
      <w:r>
        <w:rPr>
          <w:spacing w:val="-3"/>
        </w:rPr>
        <w:t xml:space="preserve"> </w:t>
      </w:r>
      <w:r>
        <w:t>Reporting)</w:t>
      </w:r>
    </w:p>
    <w:p w14:paraId="7316B1F8" w14:textId="6650C84A" w:rsidR="00671FEA" w:rsidRDefault="00BF5ACE">
      <w:pPr>
        <w:pStyle w:val="ListParagraph"/>
        <w:numPr>
          <w:ilvl w:val="0"/>
          <w:numId w:val="1"/>
        </w:numPr>
        <w:tabs>
          <w:tab w:val="left" w:pos="854"/>
        </w:tabs>
        <w:spacing w:line="276" w:lineRule="auto"/>
        <w:ind w:right="263"/>
      </w:pPr>
      <w:r w:rsidRPr="00B246AC">
        <w:t>Include references to BRO-ANGS-05-M-Data Reporting in other procedural documents for</w:t>
      </w:r>
      <w:r w:rsidRPr="00B246AC">
        <w:rPr>
          <w:spacing w:val="-59"/>
        </w:rPr>
        <w:t xml:space="preserve"> </w:t>
      </w:r>
      <w:r w:rsidRPr="00B246AC">
        <w:t>completeness.</w:t>
      </w:r>
    </w:p>
    <w:p w14:paraId="4420A516" w14:textId="03831668" w:rsidR="00B246AC" w:rsidRPr="00B246AC" w:rsidRDefault="00B246AC" w:rsidP="00B246AC">
      <w:pPr>
        <w:pStyle w:val="ListParagraph"/>
        <w:tabs>
          <w:tab w:val="left" w:pos="854"/>
        </w:tabs>
        <w:spacing w:line="276" w:lineRule="auto"/>
        <w:ind w:right="263" w:firstLine="0"/>
        <w:rPr>
          <w:color w:val="FF0000"/>
        </w:rPr>
      </w:pPr>
      <w:r w:rsidRPr="00B246AC">
        <w:rPr>
          <w:color w:val="FF0000"/>
        </w:rPr>
        <w:t>Procedure has been reviewed and updated.</w:t>
      </w:r>
    </w:p>
    <w:p w14:paraId="48B6695C" w14:textId="77777777" w:rsidR="00671FEA" w:rsidRDefault="00BF5ACE">
      <w:pPr>
        <w:pStyle w:val="BodyText"/>
        <w:spacing w:before="122" w:line="276" w:lineRule="auto"/>
        <w:ind w:left="132" w:right="297"/>
      </w:pPr>
      <w:r w:rsidRPr="00B246AC">
        <w:t>It appears that this document was produced to address lack of clear direction on data reporting in</w:t>
      </w:r>
      <w:r w:rsidRPr="00B246AC">
        <w:rPr>
          <w:spacing w:val="-59"/>
        </w:rPr>
        <w:t xml:space="preserve"> </w:t>
      </w:r>
      <w:r w:rsidRPr="00B246AC">
        <w:t>other procedural documents. This is a useful document, but reference to this in other procedural</w:t>
      </w:r>
      <w:r w:rsidRPr="00B246AC">
        <w:rPr>
          <w:spacing w:val="1"/>
        </w:rPr>
        <w:t xml:space="preserve"> </w:t>
      </w:r>
      <w:r w:rsidRPr="00B246AC">
        <w:t>documents</w:t>
      </w:r>
      <w:r w:rsidRPr="00B246AC">
        <w:rPr>
          <w:spacing w:val="-3"/>
        </w:rPr>
        <w:t xml:space="preserve"> </w:t>
      </w:r>
      <w:r w:rsidRPr="00B246AC">
        <w:t>would be</w:t>
      </w:r>
      <w:r w:rsidRPr="00B246AC">
        <w:rPr>
          <w:spacing w:val="-2"/>
        </w:rPr>
        <w:t xml:space="preserve"> </w:t>
      </w:r>
      <w:r w:rsidRPr="00B246AC">
        <w:t>useful.</w:t>
      </w:r>
    </w:p>
    <w:sectPr w:rsidR="00671FEA">
      <w:pgSz w:w="11910" w:h="16840"/>
      <w:pgMar w:top="1040" w:right="1020" w:bottom="560" w:left="1000" w:header="0" w:footer="3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3AC6D" w14:textId="77777777" w:rsidR="00794C6D" w:rsidRDefault="00794C6D">
      <w:r>
        <w:separator/>
      </w:r>
    </w:p>
  </w:endnote>
  <w:endnote w:type="continuationSeparator" w:id="0">
    <w:p w14:paraId="22FF2207" w14:textId="77777777" w:rsidR="00794C6D" w:rsidRDefault="00794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C0A48" w14:textId="623252D5" w:rsidR="00671FEA" w:rsidRDefault="00366E26">
    <w:pPr>
      <w:pStyle w:val="BodyText"/>
      <w:spacing w:line="14" w:lineRule="auto"/>
      <w:rPr>
        <w:i w:val="0"/>
        <w:sz w:val="20"/>
      </w:rPr>
    </w:pPr>
    <w:r>
      <w:rPr>
        <w:noProof/>
      </w:rPr>
      <mc:AlternateContent>
        <mc:Choice Requires="wps">
          <w:drawing>
            <wp:anchor distT="0" distB="0" distL="114300" distR="114300" simplePos="0" relativeHeight="251657728" behindDoc="1" locked="0" layoutInCell="1" allowOverlap="1" wp14:anchorId="60EA542C" wp14:editId="60BD88B4">
              <wp:simplePos x="0" y="0"/>
              <wp:positionH relativeFrom="page">
                <wp:posOffset>6746875</wp:posOffset>
              </wp:positionH>
              <wp:positionV relativeFrom="page">
                <wp:posOffset>10313035</wp:posOffset>
              </wp:positionV>
              <wp:extent cx="146050" cy="139700"/>
              <wp:effectExtent l="0" t="0" r="0" b="0"/>
              <wp:wrapNone/>
              <wp:docPr id="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C04A9" w14:textId="77777777" w:rsidR="00671FEA" w:rsidRDefault="00BF5ACE">
                          <w:pPr>
                            <w:spacing w:before="15"/>
                            <w:ind w:left="60"/>
                            <w:rPr>
                              <w:sz w:val="16"/>
                            </w:rPr>
                          </w:pPr>
                          <w:r>
                            <w:fldChar w:fldCharType="begin"/>
                          </w:r>
                          <w:r>
                            <w:rPr>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EA542C" id="_x0000_t202" coordsize="21600,21600" o:spt="202" path="m,l,21600r21600,l21600,xe">
              <v:stroke joinstyle="miter"/>
              <v:path gradientshapeok="t" o:connecttype="rect"/>
            </v:shapetype>
            <v:shape id="docshape1" o:spid="_x0000_s1026" type="#_x0000_t202" style="position:absolute;margin-left:531.25pt;margin-top:812.05pt;width:11.5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" filled="f" stroked="f">
              <v:textbox inset="0,0,0,0">
                <w:txbxContent>
                  <w:p w14:paraId="18AC04A9" w14:textId="77777777" w:rsidR="00671FEA" w:rsidRDefault="00BF5ACE">
                    <w:pPr>
                      <w:spacing w:before="15"/>
                      <w:ind w:left="60"/>
                      <w:rPr>
                        <w:sz w:val="16"/>
                      </w:rPr>
                    </w:pPr>
                    <w:r>
                      <w:fldChar w:fldCharType="begin"/>
                    </w:r>
                    <w:r>
                      <w:rPr>
                        <w:sz w:val="16"/>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28E50" w14:textId="77777777" w:rsidR="00794C6D" w:rsidRDefault="00794C6D">
      <w:r>
        <w:separator/>
      </w:r>
    </w:p>
  </w:footnote>
  <w:footnote w:type="continuationSeparator" w:id="0">
    <w:p w14:paraId="0916864B" w14:textId="77777777" w:rsidR="00794C6D" w:rsidRDefault="00794C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06355"/>
    <w:multiLevelType w:val="hybridMultilevel"/>
    <w:tmpl w:val="3D624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9436F1"/>
    <w:multiLevelType w:val="hybridMultilevel"/>
    <w:tmpl w:val="F24AB956"/>
    <w:lvl w:ilvl="0" w:tplc="8DEE75AE">
      <w:start w:val="1"/>
      <w:numFmt w:val="decimal"/>
      <w:lvlText w:val="%1."/>
      <w:lvlJc w:val="left"/>
      <w:pPr>
        <w:ind w:left="853" w:hanging="360"/>
        <w:jc w:val="left"/>
      </w:pPr>
      <w:rPr>
        <w:rFonts w:ascii="Arial" w:eastAsia="Arial" w:hAnsi="Arial" w:cs="Arial" w:hint="default"/>
        <w:b w:val="0"/>
        <w:bCs w:val="0"/>
        <w:i w:val="0"/>
        <w:iCs w:val="0"/>
        <w:spacing w:val="-1"/>
        <w:w w:val="100"/>
        <w:sz w:val="22"/>
        <w:szCs w:val="22"/>
        <w:lang w:val="en-GB" w:eastAsia="en-US" w:bidi="ar-SA"/>
      </w:rPr>
    </w:lvl>
    <w:lvl w:ilvl="1" w:tplc="36D84C50">
      <w:start w:val="1"/>
      <w:numFmt w:val="lowerLetter"/>
      <w:lvlText w:val="%2."/>
      <w:lvlJc w:val="left"/>
      <w:pPr>
        <w:ind w:left="1573" w:hanging="360"/>
        <w:jc w:val="left"/>
      </w:pPr>
      <w:rPr>
        <w:rFonts w:ascii="Arial" w:eastAsia="Arial" w:hAnsi="Arial" w:cs="Arial" w:hint="default"/>
        <w:b w:val="0"/>
        <w:bCs w:val="0"/>
        <w:i w:val="0"/>
        <w:iCs w:val="0"/>
        <w:spacing w:val="-3"/>
        <w:w w:val="100"/>
        <w:sz w:val="22"/>
        <w:szCs w:val="22"/>
        <w:lang w:val="en-GB" w:eastAsia="en-US" w:bidi="ar-SA"/>
      </w:rPr>
    </w:lvl>
    <w:lvl w:ilvl="2" w:tplc="1C66EC0A">
      <w:numFmt w:val="bullet"/>
      <w:lvlText w:val="•"/>
      <w:lvlJc w:val="left"/>
      <w:pPr>
        <w:ind w:left="2502" w:hanging="360"/>
      </w:pPr>
      <w:rPr>
        <w:rFonts w:hint="default"/>
        <w:lang w:val="en-GB" w:eastAsia="en-US" w:bidi="ar-SA"/>
      </w:rPr>
    </w:lvl>
    <w:lvl w:ilvl="3" w:tplc="CED41E06">
      <w:numFmt w:val="bullet"/>
      <w:lvlText w:val="•"/>
      <w:lvlJc w:val="left"/>
      <w:pPr>
        <w:ind w:left="3425" w:hanging="360"/>
      </w:pPr>
      <w:rPr>
        <w:rFonts w:hint="default"/>
        <w:lang w:val="en-GB" w:eastAsia="en-US" w:bidi="ar-SA"/>
      </w:rPr>
    </w:lvl>
    <w:lvl w:ilvl="4" w:tplc="4914F972">
      <w:numFmt w:val="bullet"/>
      <w:lvlText w:val="•"/>
      <w:lvlJc w:val="left"/>
      <w:pPr>
        <w:ind w:left="4348" w:hanging="360"/>
      </w:pPr>
      <w:rPr>
        <w:rFonts w:hint="default"/>
        <w:lang w:val="en-GB" w:eastAsia="en-US" w:bidi="ar-SA"/>
      </w:rPr>
    </w:lvl>
    <w:lvl w:ilvl="5" w:tplc="2806E558">
      <w:numFmt w:val="bullet"/>
      <w:lvlText w:val="•"/>
      <w:lvlJc w:val="left"/>
      <w:pPr>
        <w:ind w:left="5271" w:hanging="360"/>
      </w:pPr>
      <w:rPr>
        <w:rFonts w:hint="default"/>
        <w:lang w:val="en-GB" w:eastAsia="en-US" w:bidi="ar-SA"/>
      </w:rPr>
    </w:lvl>
    <w:lvl w:ilvl="6" w:tplc="FBBCF200">
      <w:numFmt w:val="bullet"/>
      <w:lvlText w:val="•"/>
      <w:lvlJc w:val="left"/>
      <w:pPr>
        <w:ind w:left="6194" w:hanging="360"/>
      </w:pPr>
      <w:rPr>
        <w:rFonts w:hint="default"/>
        <w:lang w:val="en-GB" w:eastAsia="en-US" w:bidi="ar-SA"/>
      </w:rPr>
    </w:lvl>
    <w:lvl w:ilvl="7" w:tplc="9C0ACC98">
      <w:numFmt w:val="bullet"/>
      <w:lvlText w:val="•"/>
      <w:lvlJc w:val="left"/>
      <w:pPr>
        <w:ind w:left="7117" w:hanging="360"/>
      </w:pPr>
      <w:rPr>
        <w:rFonts w:hint="default"/>
        <w:lang w:val="en-GB" w:eastAsia="en-US" w:bidi="ar-SA"/>
      </w:rPr>
    </w:lvl>
    <w:lvl w:ilvl="8" w:tplc="67885DC2">
      <w:numFmt w:val="bullet"/>
      <w:lvlText w:val="•"/>
      <w:lvlJc w:val="left"/>
      <w:pPr>
        <w:ind w:left="8040" w:hanging="360"/>
      </w:pPr>
      <w:rPr>
        <w:rFonts w:hint="default"/>
        <w:lang w:val="en-GB" w:eastAsia="en-US" w:bidi="ar-SA"/>
      </w:rPr>
    </w:lvl>
  </w:abstractNum>
  <w:abstractNum w:abstractNumId="2" w15:restartNumberingAfterBreak="0">
    <w:nsid w:val="5F494262"/>
    <w:multiLevelType w:val="hybridMultilevel"/>
    <w:tmpl w:val="3B4C56AA"/>
    <w:lvl w:ilvl="0" w:tplc="1078398A">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FEA"/>
    <w:rsid w:val="00013E5B"/>
    <w:rsid w:val="00015FC5"/>
    <w:rsid w:val="000D2D6C"/>
    <w:rsid w:val="001112C4"/>
    <w:rsid w:val="00113929"/>
    <w:rsid w:val="00123D8D"/>
    <w:rsid w:val="001504D9"/>
    <w:rsid w:val="0019388A"/>
    <w:rsid w:val="0019416E"/>
    <w:rsid w:val="001C4C6F"/>
    <w:rsid w:val="001C582E"/>
    <w:rsid w:val="00216F5B"/>
    <w:rsid w:val="00224EDE"/>
    <w:rsid w:val="002355DE"/>
    <w:rsid w:val="00276C6C"/>
    <w:rsid w:val="002A5569"/>
    <w:rsid w:val="002C4638"/>
    <w:rsid w:val="002E5D3F"/>
    <w:rsid w:val="003104CC"/>
    <w:rsid w:val="00366E26"/>
    <w:rsid w:val="00367C5D"/>
    <w:rsid w:val="00370D33"/>
    <w:rsid w:val="00396D68"/>
    <w:rsid w:val="003B66C9"/>
    <w:rsid w:val="003C128F"/>
    <w:rsid w:val="003D2E35"/>
    <w:rsid w:val="004218D8"/>
    <w:rsid w:val="00495ABE"/>
    <w:rsid w:val="004C5ECE"/>
    <w:rsid w:val="004F3B0E"/>
    <w:rsid w:val="005842B1"/>
    <w:rsid w:val="005A5DC8"/>
    <w:rsid w:val="005F218C"/>
    <w:rsid w:val="00652048"/>
    <w:rsid w:val="00654786"/>
    <w:rsid w:val="00671FEA"/>
    <w:rsid w:val="0075227D"/>
    <w:rsid w:val="00784C99"/>
    <w:rsid w:val="00794C6D"/>
    <w:rsid w:val="00796B2B"/>
    <w:rsid w:val="00864E71"/>
    <w:rsid w:val="008B6206"/>
    <w:rsid w:val="008D6D16"/>
    <w:rsid w:val="008F4CB8"/>
    <w:rsid w:val="009146ED"/>
    <w:rsid w:val="00960B88"/>
    <w:rsid w:val="00991B3E"/>
    <w:rsid w:val="009A5B17"/>
    <w:rsid w:val="009E79A3"/>
    <w:rsid w:val="00A058B5"/>
    <w:rsid w:val="00A55021"/>
    <w:rsid w:val="00AA165B"/>
    <w:rsid w:val="00AC2B66"/>
    <w:rsid w:val="00AE33F7"/>
    <w:rsid w:val="00B246AC"/>
    <w:rsid w:val="00B46C8F"/>
    <w:rsid w:val="00B47B7C"/>
    <w:rsid w:val="00B5184A"/>
    <w:rsid w:val="00B82124"/>
    <w:rsid w:val="00BA0E5F"/>
    <w:rsid w:val="00BA4C43"/>
    <w:rsid w:val="00BF5ACE"/>
    <w:rsid w:val="00C93FC4"/>
    <w:rsid w:val="00CA16B8"/>
    <w:rsid w:val="00DB6F24"/>
    <w:rsid w:val="00E93476"/>
    <w:rsid w:val="00E93858"/>
    <w:rsid w:val="00EA4A4A"/>
    <w:rsid w:val="00F05FC7"/>
    <w:rsid w:val="00F12B88"/>
    <w:rsid w:val="00F20A54"/>
    <w:rsid w:val="00F2669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6782D"/>
  <w15:docId w15:val="{BE4C0606-72D5-46FE-9B90-EFFB0EBBE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ind w:left="132"/>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iCs/>
    </w:rPr>
  </w:style>
  <w:style w:type="paragraph" w:styleId="Title">
    <w:name w:val="Title"/>
    <w:basedOn w:val="Normal"/>
    <w:uiPriority w:val="10"/>
    <w:qFormat/>
    <w:pPr>
      <w:spacing w:before="84"/>
      <w:ind w:left="132"/>
    </w:pPr>
    <w:rPr>
      <w:b/>
      <w:bCs/>
      <w:sz w:val="48"/>
      <w:szCs w:val="48"/>
    </w:rPr>
  </w:style>
  <w:style w:type="paragraph" w:styleId="ListParagraph">
    <w:name w:val="List Paragraph"/>
    <w:basedOn w:val="Normal"/>
    <w:uiPriority w:val="34"/>
    <w:qFormat/>
    <w:pPr>
      <w:spacing w:before="160"/>
      <w:ind w:left="853" w:hanging="360"/>
    </w:pPr>
  </w:style>
  <w:style w:type="paragraph" w:customStyle="1" w:styleId="TableParagraph">
    <w:name w:val="Table Paragraph"/>
    <w:basedOn w:val="Normal"/>
    <w:uiPriority w:val="1"/>
    <w:qFormat/>
    <w:pPr>
      <w:spacing w:line="248" w:lineRule="exact"/>
      <w:ind w:left="90"/>
    </w:pPr>
  </w:style>
  <w:style w:type="character" w:styleId="CommentReference">
    <w:name w:val="annotation reference"/>
    <w:basedOn w:val="DefaultParagraphFont"/>
    <w:uiPriority w:val="99"/>
    <w:semiHidden/>
    <w:unhideWhenUsed/>
    <w:rsid w:val="00A55021"/>
    <w:rPr>
      <w:sz w:val="16"/>
      <w:szCs w:val="16"/>
    </w:rPr>
  </w:style>
  <w:style w:type="paragraph" w:styleId="CommentText">
    <w:name w:val="annotation text"/>
    <w:basedOn w:val="Normal"/>
    <w:link w:val="CommentTextChar"/>
    <w:uiPriority w:val="99"/>
    <w:unhideWhenUsed/>
    <w:rsid w:val="00A55021"/>
    <w:rPr>
      <w:sz w:val="20"/>
      <w:szCs w:val="20"/>
    </w:rPr>
  </w:style>
  <w:style w:type="character" w:customStyle="1" w:styleId="CommentTextChar">
    <w:name w:val="Comment Text Char"/>
    <w:basedOn w:val="DefaultParagraphFont"/>
    <w:link w:val="CommentText"/>
    <w:uiPriority w:val="99"/>
    <w:rsid w:val="00A55021"/>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A55021"/>
    <w:rPr>
      <w:b/>
      <w:bCs/>
    </w:rPr>
  </w:style>
  <w:style w:type="character" w:customStyle="1" w:styleId="CommentSubjectChar">
    <w:name w:val="Comment Subject Char"/>
    <w:basedOn w:val="CommentTextChar"/>
    <w:link w:val="CommentSubject"/>
    <w:uiPriority w:val="99"/>
    <w:semiHidden/>
    <w:rsid w:val="00A55021"/>
    <w:rPr>
      <w:rFonts w:ascii="Arial" w:eastAsia="Arial" w:hAnsi="Arial" w:cs="Arial"/>
      <w:b/>
      <w:bCs/>
      <w:sz w:val="20"/>
      <w:szCs w:val="20"/>
      <w:lang w:val="en-GB"/>
    </w:rPr>
  </w:style>
  <w:style w:type="paragraph" w:styleId="NormalWeb">
    <w:name w:val="Normal (Web)"/>
    <w:basedOn w:val="Normal"/>
    <w:uiPriority w:val="99"/>
    <w:unhideWhenUsed/>
    <w:rsid w:val="00370D33"/>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A5DC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5DC8"/>
    <w:rPr>
      <w:rFonts w:ascii="Times New Roman" w:eastAsia="Arial" w:hAnsi="Times New Roman"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5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sc@environment-agency.gov.uk" TargetMode="External"/><Relationship Id="rId14" Type="http://schemas.openxmlformats.org/officeDocument/2006/relationships/image" Target="media/image5.pn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C3656D857B5D9C429CE9F0F73EC66B9E" ma:contentTypeVersion="40" ma:contentTypeDescription="Create a new document." ma:contentTypeScope="" ma:versionID="b77ad1b426e57b4805ee7da23669f8b0">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80f5caf5-7450-4d58-83d0-abf759ca00c0" targetNamespace="http://schemas.microsoft.com/office/2006/metadata/properties" ma:root="true" ma:fieldsID="0451e402070510d9014ba214d3950a54" ns2:_="" ns3:_="" ns4:_="" ns5:_="" ns6:_="">
    <xsd:import namespace="8595a0ec-c146-4eeb-925a-270f4bc4be63"/>
    <xsd:import namespace="662745e8-e224-48e8-a2e3-254862b8c2f5"/>
    <xsd:import namespace="eebef177-55b5-4448-a5fb-28ea454417ee"/>
    <xsd:import namespace="5ffd8e36-f429-4edc-ab50-c5be84842779"/>
    <xsd:import namespace="80f5caf5-7450-4d58-83d0-abf759ca00c0"/>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0981305-d081-4950-be5f-f720c05b9668}"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0981305-d081-4950-be5f-f720c05b9668}"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f5caf5-7450-4d58-83d0-abf759ca00c0"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2021-06-21T23:00:00+00:00</EAReceivedDate>
    <c52c737aaa794145b5e1ab0b33580095 xmlns="8595a0ec-c146-4eeb-925a-270f4bc4be63">
      <Terms xmlns="http://schemas.microsoft.com/office/infopath/2007/PartnerControls"/>
    </c52c737aaa794145b5e1ab0b33580095>
    <PermitNumber xmlns="eebef177-55b5-4448-a5fb-28ea454417ee">epr-bl9763in</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Angus Energy Weald Basin No3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2021-06-21T23:00:00+00:00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EPR/BL9763IN/V004</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RH3 7AU</FacilityAddressPostcode>
    <TaxCatchAll xmlns="662745e8-e224-48e8-a2e3-254862b8c2f5">
      <Value>12</Value>
      <Value>19</Value>
      <Value>9</Value>
      <Value>21</Value>
    </TaxCatchAll>
    <ExternalAuthor xmlns="eebef177-55b5-4448-a5fb-28ea454417ee">Tim Hussain</ExternalAuthor>
    <SiteName xmlns="eebef177-55b5-4448-a5fb-28ea454417ee">Brockham Well Site</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Old School Lane  Brockham  Surrey RH3 7AU</FacilityAddress>
  </documentManagement>
</p:properties>
</file>

<file path=customXml/itemProps1.xml><?xml version="1.0" encoding="utf-8"?>
<ds:datastoreItem xmlns:ds="http://schemas.openxmlformats.org/officeDocument/2006/customXml" ds:itemID="{68229375-00AF-3F49-B3DF-E435B66898A4}">
  <ds:schemaRefs>
    <ds:schemaRef ds:uri="http://schemas.openxmlformats.org/officeDocument/2006/bibliography"/>
  </ds:schemaRefs>
</ds:datastoreItem>
</file>

<file path=customXml/itemProps2.xml><?xml version="1.0" encoding="utf-8"?>
<ds:datastoreItem xmlns:ds="http://schemas.openxmlformats.org/officeDocument/2006/customXml" ds:itemID="{CDD47D2C-49C6-43DC-91AA-88ADD66434C6}"/>
</file>

<file path=customXml/itemProps3.xml><?xml version="1.0" encoding="utf-8"?>
<ds:datastoreItem xmlns:ds="http://schemas.openxmlformats.org/officeDocument/2006/customXml" ds:itemID="{0AA5D22E-98FF-43F4-8954-B50DB64943C8}"/>
</file>

<file path=customXml/itemProps4.xml><?xml version="1.0" encoding="utf-8"?>
<ds:datastoreItem xmlns:ds="http://schemas.openxmlformats.org/officeDocument/2006/customXml" ds:itemID="{55847A97-E773-4279-B238-1A154A2C4948}"/>
</file>

<file path=docProps/app.xml><?xml version="1.0" encoding="utf-8"?>
<Properties xmlns="http://schemas.openxmlformats.org/officeDocument/2006/extended-properties" xmlns:vt="http://schemas.openxmlformats.org/officeDocument/2006/docPropsVTypes">
  <Template>Normal</Template>
  <TotalTime>4</TotalTime>
  <Pages>15</Pages>
  <Words>4191</Words>
  <Characters>23893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 Hussain</dc:creator>
  <cp:lastModifiedBy>Assum Hussain</cp:lastModifiedBy>
  <cp:revision>2</cp:revision>
  <dcterms:created xsi:type="dcterms:W3CDTF">2021-06-22T20:54:00Z</dcterms:created>
  <dcterms:modified xsi:type="dcterms:W3CDTF">2021-06-22T20:54:00Z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2021-05-18T00:00:00Z</vt:filetime>
  </property>
  <property fmtid="{D5CDD505-2E9C-101B-9397-08002B2CF9AE}" pid="3" name="Creator">
    <vt:lpwstr>Microsoft® Word 2013</vt:lpwstr>
  </property>
  <property fmtid="{D5CDD505-2E9C-101B-9397-08002B2CF9AE}" pid="4" name="LastSaved">
    <vt:filetime>2021-06-20T00:00:00Z</vt:filetime>
  </property>
  <property fmtid="{D5CDD505-2E9C-101B-9397-08002B2CF9AE}" pid="5" name="ContentTypeId">
    <vt:lpwstr>0x0101000E9AD557692E154F9D2697C8C6432F7600C3656D857B5D9C429CE9F0F73EC66B9E</vt:lpwstr>
  </property>
  <property fmtid="{D5CDD505-2E9C-101B-9397-08002B2CF9AE}" pid="6" name="PermitDocumentType">
    <vt:lpwstr/>
  </property>
  <property fmtid="{D5CDD505-2E9C-101B-9397-08002B2CF9AE}" pid="7" name="TypeofPermit">
    <vt:lpwstr>9;#N/A - Do not select for New Permits|0430e4c2-ee0a-4b2d-9af6-df735aafbcb2</vt:lpwstr>
  </property>
  <property fmtid="{D5CDD505-2E9C-101B-9397-08002B2CF9AE}" pid="8" name="DisclosureStatus">
    <vt:lpwstr/>
  </property>
  <property fmtid="{D5CDD505-2E9C-101B-9397-08002B2CF9AE}" pid="9" name="RegulatedActivitySub-Class">
    <vt:lpwstr/>
  </property>
  <property fmtid="{D5CDD505-2E9C-101B-9397-08002B2CF9AE}" pid="10" name="EventType1">
    <vt:lpwstr/>
  </property>
  <property fmtid="{D5CDD505-2E9C-101B-9397-08002B2CF9AE}" pid="11" name="ActivityGrouping">
    <vt:lpwstr>12;#Application ＆ Associated Docs|5eadfd3c-6deb-44e1-b7e1-16accd427bec</vt:lpwstr>
  </property>
  <property fmtid="{D5CDD505-2E9C-101B-9397-08002B2CF9AE}" pid="12" name="RegulatedActivityClass">
    <vt:lpwstr>21;#Installations|645f1c9c-65df-490a-9ce3-4a2aa7c5ff7f</vt:lpwstr>
  </property>
  <property fmtid="{D5CDD505-2E9C-101B-9397-08002B2CF9AE}" pid="13" name="Catchment">
    <vt:lpwstr/>
  </property>
  <property fmtid="{D5CDD505-2E9C-101B-9397-08002B2CF9AE}" pid="14" name="MajorProjectID">
    <vt:lpwstr/>
  </property>
  <property fmtid="{D5CDD505-2E9C-101B-9397-08002B2CF9AE}" pid="15" name="StandardRulesID">
    <vt:lpwstr/>
  </property>
  <property fmtid="{D5CDD505-2E9C-101B-9397-08002B2CF9AE}" pid="16" name="CessationStatus">
    <vt:lpwstr/>
  </property>
  <property fmtid="{D5CDD505-2E9C-101B-9397-08002B2CF9AE}" pid="17" name="Regime">
    <vt:lpwstr>19;#EPR|0e5af97d-1a8c-4d8f-a20b-528a11cab1f6</vt:lpwstr>
  </property>
</Properties>
</file>