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6038" w14:textId="77777777" w:rsidR="007F7FEC" w:rsidRPr="00647CD8" w:rsidRDefault="001D717A" w:rsidP="00FC61BB">
      <w:pPr>
        <w:pStyle w:val="Heading1"/>
      </w:pPr>
      <w:bookmarkStart w:id="0" w:name="_Toc517419534"/>
      <w:r w:rsidRPr="00647CD8">
        <w:t>Data Centre FAQ</w:t>
      </w:r>
      <w:r w:rsidR="00FC61BB" w:rsidRPr="00647CD8">
        <w:t xml:space="preserve"> Headline Approach</w:t>
      </w:r>
      <w:bookmarkEnd w:id="0"/>
    </w:p>
    <w:p w14:paraId="66AE1ACF" w14:textId="77777777" w:rsidR="0048440D" w:rsidRPr="00647CD8" w:rsidRDefault="0048440D" w:rsidP="0048440D"/>
    <w:p w14:paraId="40476891" w14:textId="77777777" w:rsidR="0048440D" w:rsidRPr="00647CD8" w:rsidRDefault="0048440D" w:rsidP="0048440D">
      <w:r w:rsidRPr="00647CD8">
        <w:t>Document Introduction:</w:t>
      </w:r>
    </w:p>
    <w:p w14:paraId="0E8355B3" w14:textId="77777777" w:rsidR="0048440D" w:rsidRPr="00647CD8" w:rsidRDefault="0048440D" w:rsidP="0048440D">
      <w:r w:rsidRPr="00647CD8">
        <w:t xml:space="preserve">This is the provisional Environment Agency </w:t>
      </w:r>
      <w:r w:rsidR="00B43113" w:rsidRPr="00647CD8">
        <w:t xml:space="preserve">working </w:t>
      </w:r>
      <w:r w:rsidRPr="00647CD8">
        <w:t xml:space="preserve">draft guide on our approach to the permitting and regulatory aspects for Data Centre within the context of the Industrial Emissions Directive (IED) and Environmental Permitting Regulations for 1.1A Combustion Activities ‘Chapter </w:t>
      </w:r>
      <w:r w:rsidR="007C6BB2" w:rsidRPr="00647CD8">
        <w:t xml:space="preserve">II’ </w:t>
      </w:r>
      <w:r w:rsidRPr="00647CD8">
        <w:t>sites aggregated to &gt;50MWth input.</w:t>
      </w:r>
    </w:p>
    <w:p w14:paraId="5F7B7164" w14:textId="77777777" w:rsidR="00B27F04" w:rsidRPr="00647CD8" w:rsidRDefault="00B27F04" w:rsidP="0048440D">
      <w:r w:rsidRPr="00647CD8">
        <w:t>This FAQ may also have relevance for Data Centres which come under the MCPD specified generators.</w:t>
      </w:r>
      <w:r w:rsidR="00425B60" w:rsidRPr="00647CD8">
        <w:t xml:space="preserve"> i.e. plant which is less than aggregated 50MWth but which falls under the Tranche A or Tranche B criteria for generating power</w:t>
      </w:r>
      <w:r w:rsidR="00D923D9" w:rsidRPr="00647CD8">
        <w:t xml:space="preserve"> (unless ‘excluded generator’ due to &lt;50hours testing per year)</w:t>
      </w:r>
      <w:r w:rsidR="00425B60" w:rsidRPr="00647CD8">
        <w:t>.</w:t>
      </w:r>
    </w:p>
    <w:p w14:paraId="1DBA0077" w14:textId="77777777" w:rsidR="0048440D" w:rsidRPr="00647CD8" w:rsidRDefault="0048440D" w:rsidP="0048440D">
      <w:r w:rsidRPr="00647CD8">
        <w:t xml:space="preserve">This document is not presently an official </w:t>
      </w:r>
      <w:r w:rsidR="00A4271D" w:rsidRPr="00647CD8">
        <w:t xml:space="preserve">release but forms the basis </w:t>
      </w:r>
      <w:r w:rsidR="00FE5792" w:rsidRPr="00647CD8">
        <w:t xml:space="preserve">for discussion </w:t>
      </w:r>
      <w:r w:rsidR="00A4271D" w:rsidRPr="00647CD8">
        <w:t>of a common methodology and liaison with individual operators and their industry association.</w:t>
      </w:r>
    </w:p>
    <w:p w14:paraId="03B0A7BB" w14:textId="77777777" w:rsidR="00F75407" w:rsidRPr="00647CD8" w:rsidRDefault="00F75407" w:rsidP="0048440D">
      <w:r w:rsidRPr="00647CD8">
        <w:t xml:space="preserve">Accepting this working draft as a framework for our approach in applying EPR/IED to </w:t>
      </w:r>
      <w:r w:rsidR="004F47E0" w:rsidRPr="00647CD8">
        <w:t xml:space="preserve">Data Centres it must </w:t>
      </w:r>
      <w:r w:rsidRPr="00647CD8">
        <w:t xml:space="preserve">be recognised that this is not a legal document </w:t>
      </w:r>
      <w:r w:rsidR="004F47E0" w:rsidRPr="00647CD8">
        <w:t xml:space="preserve">intending to create or modify the law as stated in statute; </w:t>
      </w:r>
      <w:r w:rsidRPr="00647CD8">
        <w:t xml:space="preserve">so </w:t>
      </w:r>
      <w:r w:rsidR="004F47E0" w:rsidRPr="00647CD8">
        <w:t>ultimately</w:t>
      </w:r>
      <w:r w:rsidRPr="00647CD8">
        <w:t xml:space="preserve"> </w:t>
      </w:r>
      <w:r w:rsidR="004F47E0" w:rsidRPr="00647CD8">
        <w:t xml:space="preserve">data centre </w:t>
      </w:r>
      <w:r w:rsidRPr="00647CD8">
        <w:t>permitting and day to day regulation must necessarily be on a site specific basis.</w:t>
      </w:r>
    </w:p>
    <w:sdt>
      <w:sdtPr>
        <w:rPr>
          <w:rFonts w:ascii="Calibri" w:eastAsia="Calibri" w:hAnsi="Calibri" w:cs="Times New Roman"/>
          <w:color w:val="auto"/>
          <w:sz w:val="22"/>
          <w:szCs w:val="22"/>
          <w:lang w:val="en-GB"/>
        </w:rPr>
        <w:id w:val="-449940997"/>
        <w:docPartObj>
          <w:docPartGallery w:val="Table of Contents"/>
          <w:docPartUnique/>
        </w:docPartObj>
      </w:sdtPr>
      <w:sdtEndPr>
        <w:rPr>
          <w:b/>
          <w:bCs/>
          <w:noProof/>
        </w:rPr>
      </w:sdtEndPr>
      <w:sdtContent>
        <w:p w14:paraId="2B1F63E3" w14:textId="77777777" w:rsidR="00903F3D" w:rsidRPr="00647CD8" w:rsidRDefault="00903F3D">
          <w:pPr>
            <w:pStyle w:val="TOCHeading"/>
            <w:rPr>
              <w:rFonts w:ascii="Arial" w:eastAsia="Times New Roman" w:hAnsi="Arial" w:cs="Times New Roman"/>
              <w:b/>
              <w:bCs/>
              <w:color w:val="auto"/>
              <w:kern w:val="32"/>
              <w:sz w:val="36"/>
              <w:lang w:val="en-GB"/>
            </w:rPr>
          </w:pPr>
          <w:r w:rsidRPr="00647CD8">
            <w:rPr>
              <w:rFonts w:ascii="Arial" w:eastAsia="Times New Roman" w:hAnsi="Arial" w:cs="Times New Roman"/>
              <w:b/>
              <w:bCs/>
              <w:color w:val="auto"/>
              <w:kern w:val="32"/>
              <w:sz w:val="36"/>
              <w:lang w:val="en-GB"/>
            </w:rPr>
            <w:t>Contents</w:t>
          </w:r>
        </w:p>
        <w:p w14:paraId="6E47C2B8" w14:textId="77777777" w:rsidR="00B062E1" w:rsidRPr="00647CD8" w:rsidRDefault="00B062E1" w:rsidP="00B062E1"/>
        <w:p w14:paraId="499996CE" w14:textId="77777777" w:rsidR="00647CD8" w:rsidRDefault="007C3A6C">
          <w:pPr>
            <w:pStyle w:val="TOC1"/>
            <w:tabs>
              <w:tab w:val="right" w:leader="dot" w:pos="9742"/>
            </w:tabs>
            <w:rPr>
              <w:rFonts w:asciiTheme="minorHAnsi" w:eastAsiaTheme="minorEastAsia" w:hAnsiTheme="minorHAnsi" w:cstheme="minorBidi"/>
              <w:noProof/>
              <w:lang w:eastAsia="en-GB"/>
            </w:rPr>
          </w:pPr>
          <w:r w:rsidRPr="00647CD8">
            <w:fldChar w:fldCharType="begin"/>
          </w:r>
          <w:r w:rsidRPr="00647CD8">
            <w:instrText xml:space="preserve"> TOC \o "1-4" \h \z \u </w:instrText>
          </w:r>
          <w:r w:rsidRPr="00647CD8">
            <w:fldChar w:fldCharType="separate"/>
          </w:r>
          <w:hyperlink w:anchor="_Toc517419534" w:history="1">
            <w:r w:rsidR="00647CD8" w:rsidRPr="00687D6F">
              <w:rPr>
                <w:rStyle w:val="Hyperlink"/>
                <w:noProof/>
              </w:rPr>
              <w:t>Data Centre FAQ Headline Approach</w:t>
            </w:r>
            <w:r w:rsidR="00647CD8">
              <w:rPr>
                <w:noProof/>
                <w:webHidden/>
              </w:rPr>
              <w:tab/>
            </w:r>
            <w:r w:rsidR="00647CD8">
              <w:rPr>
                <w:noProof/>
                <w:webHidden/>
              </w:rPr>
              <w:fldChar w:fldCharType="begin"/>
            </w:r>
            <w:r w:rsidR="00647CD8">
              <w:rPr>
                <w:noProof/>
                <w:webHidden/>
              </w:rPr>
              <w:instrText xml:space="preserve"> PAGEREF _Toc517419534 \h </w:instrText>
            </w:r>
            <w:r w:rsidR="00647CD8">
              <w:rPr>
                <w:noProof/>
                <w:webHidden/>
              </w:rPr>
            </w:r>
            <w:r w:rsidR="00647CD8">
              <w:rPr>
                <w:noProof/>
                <w:webHidden/>
              </w:rPr>
              <w:fldChar w:fldCharType="separate"/>
            </w:r>
            <w:r w:rsidR="00124B2D">
              <w:rPr>
                <w:noProof/>
                <w:webHidden/>
              </w:rPr>
              <w:t>1</w:t>
            </w:r>
            <w:r w:rsidR="00647CD8">
              <w:rPr>
                <w:noProof/>
                <w:webHidden/>
              </w:rPr>
              <w:fldChar w:fldCharType="end"/>
            </w:r>
          </w:hyperlink>
        </w:p>
        <w:p w14:paraId="243B3CE5"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35" w:history="1">
            <w:r w:rsidR="00647CD8" w:rsidRPr="00687D6F">
              <w:rPr>
                <w:rStyle w:val="Hyperlink"/>
                <w:noProof/>
              </w:rPr>
              <w:t>1.1</w:t>
            </w:r>
            <w:r w:rsidR="00647CD8">
              <w:rPr>
                <w:rFonts w:asciiTheme="minorHAnsi" w:eastAsiaTheme="minorEastAsia" w:hAnsiTheme="minorHAnsi" w:cstheme="minorBidi"/>
                <w:noProof/>
                <w:lang w:eastAsia="en-GB"/>
              </w:rPr>
              <w:tab/>
            </w:r>
            <w:r w:rsidR="00647CD8" w:rsidRPr="00687D6F">
              <w:rPr>
                <w:rStyle w:val="Hyperlink"/>
                <w:noProof/>
              </w:rPr>
              <w:t>What is a Data Centre?</w:t>
            </w:r>
            <w:r w:rsidR="00647CD8">
              <w:rPr>
                <w:noProof/>
                <w:webHidden/>
              </w:rPr>
              <w:tab/>
            </w:r>
            <w:r w:rsidR="00647CD8">
              <w:rPr>
                <w:noProof/>
                <w:webHidden/>
              </w:rPr>
              <w:fldChar w:fldCharType="begin"/>
            </w:r>
            <w:r w:rsidR="00647CD8">
              <w:rPr>
                <w:noProof/>
                <w:webHidden/>
              </w:rPr>
              <w:instrText xml:space="preserve"> PAGEREF _Toc517419535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0F9BF1CA"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36" w:history="1">
            <w:r w:rsidR="00647CD8" w:rsidRPr="00687D6F">
              <w:rPr>
                <w:rStyle w:val="Hyperlink"/>
                <w:noProof/>
              </w:rPr>
              <w:t>1.2</w:t>
            </w:r>
            <w:r w:rsidR="00647CD8">
              <w:rPr>
                <w:rFonts w:asciiTheme="minorHAnsi" w:eastAsiaTheme="minorEastAsia" w:hAnsiTheme="minorHAnsi" w:cstheme="minorBidi"/>
                <w:noProof/>
                <w:lang w:eastAsia="en-GB"/>
              </w:rPr>
              <w:tab/>
            </w:r>
            <w:r w:rsidR="00647CD8" w:rsidRPr="00687D6F">
              <w:rPr>
                <w:rStyle w:val="Hyperlink"/>
                <w:noProof/>
              </w:rPr>
              <w:t>Bullet point key aspects of data centre permitting</w:t>
            </w:r>
            <w:r w:rsidR="00647CD8">
              <w:rPr>
                <w:noProof/>
                <w:webHidden/>
              </w:rPr>
              <w:tab/>
            </w:r>
            <w:r w:rsidR="00647CD8">
              <w:rPr>
                <w:noProof/>
                <w:webHidden/>
              </w:rPr>
              <w:fldChar w:fldCharType="begin"/>
            </w:r>
            <w:r w:rsidR="00647CD8">
              <w:rPr>
                <w:noProof/>
                <w:webHidden/>
              </w:rPr>
              <w:instrText xml:space="preserve"> PAGEREF _Toc517419536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6C9788A1"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37" w:history="1">
            <w:r w:rsidR="00647CD8" w:rsidRPr="00687D6F">
              <w:rPr>
                <w:rStyle w:val="Hyperlink"/>
                <w:noProof/>
              </w:rPr>
              <w:t>1.3</w:t>
            </w:r>
            <w:r w:rsidR="00647CD8">
              <w:rPr>
                <w:rFonts w:asciiTheme="minorHAnsi" w:eastAsiaTheme="minorEastAsia" w:hAnsiTheme="minorHAnsi" w:cstheme="minorBidi"/>
                <w:noProof/>
                <w:lang w:eastAsia="en-GB"/>
              </w:rPr>
              <w:tab/>
            </w:r>
            <w:r w:rsidR="00647CD8" w:rsidRPr="00687D6F">
              <w:rPr>
                <w:rStyle w:val="Hyperlink"/>
                <w:noProof/>
              </w:rPr>
              <w:t>Aggregation of the installed Generators</w:t>
            </w:r>
            <w:r w:rsidR="00647CD8">
              <w:rPr>
                <w:noProof/>
                <w:webHidden/>
              </w:rPr>
              <w:tab/>
            </w:r>
            <w:r w:rsidR="00647CD8">
              <w:rPr>
                <w:noProof/>
                <w:webHidden/>
              </w:rPr>
              <w:fldChar w:fldCharType="begin"/>
            </w:r>
            <w:r w:rsidR="00647CD8">
              <w:rPr>
                <w:noProof/>
                <w:webHidden/>
              </w:rPr>
              <w:instrText xml:space="preserve"> PAGEREF _Toc517419537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0C6175D0" w14:textId="77777777" w:rsidR="00647CD8" w:rsidRDefault="004956DE">
          <w:pPr>
            <w:pStyle w:val="TOC3"/>
            <w:rPr>
              <w:rFonts w:asciiTheme="minorHAnsi" w:eastAsiaTheme="minorEastAsia" w:hAnsiTheme="minorHAnsi" w:cstheme="minorBidi"/>
              <w:noProof/>
              <w:lang w:eastAsia="en-GB"/>
            </w:rPr>
          </w:pPr>
          <w:hyperlink w:anchor="_Toc517419538" w:history="1">
            <w:r w:rsidR="00647CD8" w:rsidRPr="00687D6F">
              <w:rPr>
                <w:rStyle w:val="Hyperlink"/>
                <w:noProof/>
              </w:rPr>
              <w:t>1.3.1</w:t>
            </w:r>
            <w:r w:rsidR="00647CD8">
              <w:rPr>
                <w:rFonts w:asciiTheme="minorHAnsi" w:eastAsiaTheme="minorEastAsia" w:hAnsiTheme="minorHAnsi" w:cstheme="minorBidi"/>
                <w:noProof/>
                <w:lang w:eastAsia="en-GB"/>
              </w:rPr>
              <w:tab/>
            </w:r>
            <w:r w:rsidR="00647CD8" w:rsidRPr="00687D6F">
              <w:rPr>
                <w:rStyle w:val="Hyperlink"/>
                <w:noProof/>
              </w:rPr>
              <w:t>RGN02 – the EA’s official guide on aggregation</w:t>
            </w:r>
            <w:r w:rsidR="00647CD8">
              <w:rPr>
                <w:noProof/>
                <w:webHidden/>
              </w:rPr>
              <w:tab/>
            </w:r>
            <w:r w:rsidR="00647CD8">
              <w:rPr>
                <w:noProof/>
                <w:webHidden/>
              </w:rPr>
              <w:fldChar w:fldCharType="begin"/>
            </w:r>
            <w:r w:rsidR="00647CD8">
              <w:rPr>
                <w:noProof/>
                <w:webHidden/>
              </w:rPr>
              <w:instrText xml:space="preserve"> PAGEREF _Toc517419538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11F160A4" w14:textId="77777777" w:rsidR="00647CD8" w:rsidRDefault="004956DE">
          <w:pPr>
            <w:pStyle w:val="TOC3"/>
            <w:rPr>
              <w:rFonts w:asciiTheme="minorHAnsi" w:eastAsiaTheme="minorEastAsia" w:hAnsiTheme="minorHAnsi" w:cstheme="minorBidi"/>
              <w:noProof/>
              <w:lang w:eastAsia="en-GB"/>
            </w:rPr>
          </w:pPr>
          <w:hyperlink w:anchor="_Toc517419539" w:history="1">
            <w:r w:rsidR="00647CD8" w:rsidRPr="00687D6F">
              <w:rPr>
                <w:rStyle w:val="Hyperlink"/>
                <w:noProof/>
              </w:rPr>
              <w:t>1.3.2</w:t>
            </w:r>
            <w:r w:rsidR="00647CD8">
              <w:rPr>
                <w:rFonts w:asciiTheme="minorHAnsi" w:eastAsiaTheme="minorEastAsia" w:hAnsiTheme="minorHAnsi" w:cstheme="minorBidi"/>
                <w:noProof/>
                <w:lang w:eastAsia="en-GB"/>
              </w:rPr>
              <w:tab/>
            </w:r>
            <w:r w:rsidR="00647CD8" w:rsidRPr="00687D6F">
              <w:rPr>
                <w:rStyle w:val="Hyperlink"/>
                <w:noProof/>
              </w:rPr>
              <w:t>Data Centres with additional combustion plant other than standby plant</w:t>
            </w:r>
            <w:r w:rsidR="00647CD8">
              <w:rPr>
                <w:noProof/>
                <w:webHidden/>
              </w:rPr>
              <w:tab/>
            </w:r>
            <w:r w:rsidR="00647CD8">
              <w:rPr>
                <w:noProof/>
                <w:webHidden/>
              </w:rPr>
              <w:fldChar w:fldCharType="begin"/>
            </w:r>
            <w:r w:rsidR="00647CD8">
              <w:rPr>
                <w:noProof/>
                <w:webHidden/>
              </w:rPr>
              <w:instrText xml:space="preserve"> PAGEREF _Toc517419539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4153044" w14:textId="77777777" w:rsidR="00647CD8" w:rsidRDefault="004956DE">
          <w:pPr>
            <w:pStyle w:val="TOC3"/>
            <w:rPr>
              <w:rFonts w:asciiTheme="minorHAnsi" w:eastAsiaTheme="minorEastAsia" w:hAnsiTheme="minorHAnsi" w:cstheme="minorBidi"/>
              <w:noProof/>
              <w:lang w:eastAsia="en-GB"/>
            </w:rPr>
          </w:pPr>
          <w:hyperlink w:anchor="_Toc517419540" w:history="1">
            <w:r w:rsidR="00647CD8" w:rsidRPr="00687D6F">
              <w:rPr>
                <w:rStyle w:val="Hyperlink"/>
                <w:noProof/>
              </w:rPr>
              <w:t>1.3.3</w:t>
            </w:r>
            <w:r w:rsidR="00647CD8">
              <w:rPr>
                <w:rFonts w:asciiTheme="minorHAnsi" w:eastAsiaTheme="minorEastAsia" w:hAnsiTheme="minorHAnsi" w:cstheme="minorBidi"/>
                <w:noProof/>
                <w:lang w:eastAsia="en-GB"/>
              </w:rPr>
              <w:tab/>
            </w:r>
            <w:r w:rsidR="00647CD8" w:rsidRPr="00687D6F">
              <w:rPr>
                <w:rStyle w:val="Hyperlink"/>
                <w:noProof/>
              </w:rPr>
              <w:t>Thermal Load Output constraints to the installed plant – RGN02</w:t>
            </w:r>
            <w:r w:rsidR="00647CD8">
              <w:rPr>
                <w:noProof/>
                <w:webHidden/>
              </w:rPr>
              <w:tab/>
            </w:r>
            <w:r w:rsidR="00647CD8">
              <w:rPr>
                <w:noProof/>
                <w:webHidden/>
              </w:rPr>
              <w:fldChar w:fldCharType="begin"/>
            </w:r>
            <w:r w:rsidR="00647CD8">
              <w:rPr>
                <w:noProof/>
                <w:webHidden/>
              </w:rPr>
              <w:instrText xml:space="preserve"> PAGEREF _Toc517419540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6BE9A5D9" w14:textId="77777777" w:rsidR="00647CD8" w:rsidRDefault="004956DE">
          <w:pPr>
            <w:pStyle w:val="TOC3"/>
            <w:rPr>
              <w:rFonts w:asciiTheme="minorHAnsi" w:eastAsiaTheme="minorEastAsia" w:hAnsiTheme="minorHAnsi" w:cstheme="minorBidi"/>
              <w:noProof/>
              <w:lang w:eastAsia="en-GB"/>
            </w:rPr>
          </w:pPr>
          <w:hyperlink w:anchor="_Toc517419541" w:history="1">
            <w:r w:rsidR="00647CD8" w:rsidRPr="00687D6F">
              <w:rPr>
                <w:rStyle w:val="Hyperlink"/>
                <w:noProof/>
              </w:rPr>
              <w:t>1.3.4</w:t>
            </w:r>
            <w:r w:rsidR="00647CD8">
              <w:rPr>
                <w:rFonts w:asciiTheme="minorHAnsi" w:eastAsiaTheme="minorEastAsia" w:hAnsiTheme="minorHAnsi" w:cstheme="minorBidi"/>
                <w:noProof/>
                <w:lang w:eastAsia="en-GB"/>
              </w:rPr>
              <w:tab/>
            </w:r>
            <w:r w:rsidR="00647CD8" w:rsidRPr="00687D6F">
              <w:rPr>
                <w:rStyle w:val="Hyperlink"/>
                <w:noProof/>
              </w:rPr>
              <w:t>Who needs a permit – ‘the same operator’</w:t>
            </w:r>
            <w:r w:rsidR="00647CD8">
              <w:rPr>
                <w:noProof/>
                <w:webHidden/>
              </w:rPr>
              <w:tab/>
            </w:r>
            <w:r w:rsidR="00647CD8">
              <w:rPr>
                <w:noProof/>
                <w:webHidden/>
              </w:rPr>
              <w:fldChar w:fldCharType="begin"/>
            </w:r>
            <w:r w:rsidR="00647CD8">
              <w:rPr>
                <w:noProof/>
                <w:webHidden/>
              </w:rPr>
              <w:instrText xml:space="preserve"> PAGEREF _Toc517419541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D8C6D7D" w14:textId="77777777" w:rsidR="00647CD8" w:rsidRDefault="004956DE">
          <w:pPr>
            <w:pStyle w:val="TOC3"/>
            <w:rPr>
              <w:rFonts w:asciiTheme="minorHAnsi" w:eastAsiaTheme="minorEastAsia" w:hAnsiTheme="minorHAnsi" w:cstheme="minorBidi"/>
              <w:noProof/>
              <w:lang w:eastAsia="en-GB"/>
            </w:rPr>
          </w:pPr>
          <w:hyperlink w:anchor="_Toc517419542" w:history="1">
            <w:r w:rsidR="00647CD8" w:rsidRPr="00687D6F">
              <w:rPr>
                <w:rStyle w:val="Hyperlink"/>
                <w:noProof/>
              </w:rPr>
              <w:t>1.3.5</w:t>
            </w:r>
            <w:r w:rsidR="00647CD8">
              <w:rPr>
                <w:rFonts w:asciiTheme="minorHAnsi" w:eastAsiaTheme="minorEastAsia" w:hAnsiTheme="minorHAnsi" w:cstheme="minorBidi"/>
                <w:noProof/>
                <w:lang w:eastAsia="en-GB"/>
              </w:rPr>
              <w:tab/>
            </w:r>
            <w:r w:rsidR="00647CD8" w:rsidRPr="00687D6F">
              <w:rPr>
                <w:rStyle w:val="Hyperlink"/>
                <w:noProof/>
              </w:rPr>
              <w:t>Who needs a permit – ‘the same site’</w:t>
            </w:r>
            <w:r w:rsidR="00647CD8">
              <w:rPr>
                <w:noProof/>
                <w:webHidden/>
              </w:rPr>
              <w:tab/>
            </w:r>
            <w:r w:rsidR="00647CD8">
              <w:rPr>
                <w:noProof/>
                <w:webHidden/>
              </w:rPr>
              <w:fldChar w:fldCharType="begin"/>
            </w:r>
            <w:r w:rsidR="00647CD8">
              <w:rPr>
                <w:noProof/>
                <w:webHidden/>
              </w:rPr>
              <w:instrText xml:space="preserve"> PAGEREF _Toc517419542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0F5157C3" w14:textId="77777777" w:rsidR="00647CD8" w:rsidRDefault="004956DE">
          <w:pPr>
            <w:pStyle w:val="TOC3"/>
            <w:rPr>
              <w:rFonts w:asciiTheme="minorHAnsi" w:eastAsiaTheme="minorEastAsia" w:hAnsiTheme="minorHAnsi" w:cstheme="minorBidi"/>
              <w:noProof/>
              <w:lang w:eastAsia="en-GB"/>
            </w:rPr>
          </w:pPr>
          <w:hyperlink w:anchor="_Toc517419543" w:history="1">
            <w:r w:rsidR="00647CD8" w:rsidRPr="00687D6F">
              <w:rPr>
                <w:rStyle w:val="Hyperlink"/>
                <w:noProof/>
              </w:rPr>
              <w:t>1.3.6</w:t>
            </w:r>
            <w:r w:rsidR="00647CD8">
              <w:rPr>
                <w:rFonts w:asciiTheme="minorHAnsi" w:eastAsiaTheme="minorEastAsia" w:hAnsiTheme="minorHAnsi" w:cstheme="minorBidi"/>
                <w:noProof/>
                <w:lang w:eastAsia="en-GB"/>
              </w:rPr>
              <w:tab/>
            </w:r>
            <w:r w:rsidR="00647CD8" w:rsidRPr="00687D6F">
              <w:rPr>
                <w:rStyle w:val="Hyperlink"/>
                <w:noProof/>
              </w:rPr>
              <w:t>Data Centre clusters (different operators) on a shared HV supply within a locale</w:t>
            </w:r>
            <w:r w:rsidR="00647CD8">
              <w:rPr>
                <w:noProof/>
                <w:webHidden/>
              </w:rPr>
              <w:tab/>
            </w:r>
            <w:r w:rsidR="00647CD8">
              <w:rPr>
                <w:noProof/>
                <w:webHidden/>
              </w:rPr>
              <w:fldChar w:fldCharType="begin"/>
            </w:r>
            <w:r w:rsidR="00647CD8">
              <w:rPr>
                <w:noProof/>
                <w:webHidden/>
              </w:rPr>
              <w:instrText xml:space="preserve"> PAGEREF _Toc517419543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EA0975A" w14:textId="77777777" w:rsidR="00647CD8" w:rsidRDefault="004956DE">
          <w:pPr>
            <w:pStyle w:val="TOC3"/>
            <w:rPr>
              <w:rFonts w:asciiTheme="minorHAnsi" w:eastAsiaTheme="minorEastAsia" w:hAnsiTheme="minorHAnsi" w:cstheme="minorBidi"/>
              <w:noProof/>
              <w:lang w:eastAsia="en-GB"/>
            </w:rPr>
          </w:pPr>
          <w:hyperlink w:anchor="_Toc517419544" w:history="1">
            <w:r w:rsidR="00647CD8" w:rsidRPr="00687D6F">
              <w:rPr>
                <w:rStyle w:val="Hyperlink"/>
                <w:noProof/>
              </w:rPr>
              <w:t>1.3.7</w:t>
            </w:r>
            <w:r w:rsidR="00647CD8">
              <w:rPr>
                <w:rFonts w:asciiTheme="minorHAnsi" w:eastAsiaTheme="minorEastAsia" w:hAnsiTheme="minorHAnsi" w:cstheme="minorBidi"/>
                <w:noProof/>
                <w:lang w:eastAsia="en-GB"/>
              </w:rPr>
              <w:tab/>
            </w:r>
            <w:r w:rsidR="00647CD8" w:rsidRPr="00687D6F">
              <w:rPr>
                <w:rStyle w:val="Hyperlink"/>
                <w:noProof/>
              </w:rPr>
              <w:t>Site expansion and when to permit</w:t>
            </w:r>
            <w:r w:rsidR="00647CD8">
              <w:rPr>
                <w:noProof/>
                <w:webHidden/>
              </w:rPr>
              <w:tab/>
            </w:r>
            <w:r w:rsidR="00647CD8">
              <w:rPr>
                <w:noProof/>
                <w:webHidden/>
              </w:rPr>
              <w:fldChar w:fldCharType="begin"/>
            </w:r>
            <w:r w:rsidR="00647CD8">
              <w:rPr>
                <w:noProof/>
                <w:webHidden/>
              </w:rPr>
              <w:instrText xml:space="preserve"> PAGEREF _Toc517419544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1DB246C" w14:textId="77777777" w:rsidR="00647CD8" w:rsidRDefault="004956DE">
          <w:pPr>
            <w:pStyle w:val="TOC3"/>
            <w:rPr>
              <w:rFonts w:asciiTheme="minorHAnsi" w:eastAsiaTheme="minorEastAsia" w:hAnsiTheme="minorHAnsi" w:cstheme="minorBidi"/>
              <w:noProof/>
              <w:lang w:eastAsia="en-GB"/>
            </w:rPr>
          </w:pPr>
          <w:hyperlink w:anchor="_Toc517419545" w:history="1">
            <w:r w:rsidR="00647CD8" w:rsidRPr="00687D6F">
              <w:rPr>
                <w:rStyle w:val="Hyperlink"/>
                <w:noProof/>
              </w:rPr>
              <w:t>1.3.8</w:t>
            </w:r>
            <w:r w:rsidR="00647CD8">
              <w:rPr>
                <w:rFonts w:asciiTheme="minorHAnsi" w:eastAsiaTheme="minorEastAsia" w:hAnsiTheme="minorHAnsi" w:cstheme="minorBidi"/>
                <w:noProof/>
                <w:lang w:eastAsia="en-GB"/>
              </w:rPr>
              <w:tab/>
            </w:r>
            <w:r w:rsidR="00647CD8" w:rsidRPr="00687D6F">
              <w:rPr>
                <w:rStyle w:val="Hyperlink"/>
                <w:noProof/>
              </w:rPr>
              <w:t>Temporary Containerised plant</w:t>
            </w:r>
            <w:r w:rsidR="00647CD8">
              <w:rPr>
                <w:noProof/>
                <w:webHidden/>
              </w:rPr>
              <w:tab/>
            </w:r>
            <w:r w:rsidR="00647CD8">
              <w:rPr>
                <w:noProof/>
                <w:webHidden/>
              </w:rPr>
              <w:fldChar w:fldCharType="begin"/>
            </w:r>
            <w:r w:rsidR="00647CD8">
              <w:rPr>
                <w:noProof/>
                <w:webHidden/>
              </w:rPr>
              <w:instrText xml:space="preserve"> PAGEREF _Toc517419545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F111D13"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46" w:history="1">
            <w:r w:rsidR="00647CD8" w:rsidRPr="00687D6F">
              <w:rPr>
                <w:rStyle w:val="Hyperlink"/>
                <w:noProof/>
              </w:rPr>
              <w:t>1.4</w:t>
            </w:r>
            <w:r w:rsidR="00647CD8">
              <w:rPr>
                <w:rFonts w:asciiTheme="minorHAnsi" w:eastAsiaTheme="minorEastAsia" w:hAnsiTheme="minorHAnsi" w:cstheme="minorBidi"/>
                <w:noProof/>
                <w:lang w:eastAsia="en-GB"/>
              </w:rPr>
              <w:tab/>
            </w:r>
            <w:r w:rsidR="00647CD8" w:rsidRPr="00687D6F">
              <w:rPr>
                <w:rStyle w:val="Hyperlink"/>
                <w:noProof/>
              </w:rPr>
              <w:t>Permit operational or emergency time limits (500 hours).</w:t>
            </w:r>
            <w:r w:rsidR="00647CD8">
              <w:rPr>
                <w:noProof/>
                <w:webHidden/>
              </w:rPr>
              <w:tab/>
            </w:r>
            <w:r w:rsidR="00647CD8">
              <w:rPr>
                <w:noProof/>
                <w:webHidden/>
              </w:rPr>
              <w:fldChar w:fldCharType="begin"/>
            </w:r>
            <w:r w:rsidR="00647CD8">
              <w:rPr>
                <w:noProof/>
                <w:webHidden/>
              </w:rPr>
              <w:instrText xml:space="preserve"> PAGEREF _Toc517419546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0E953394" w14:textId="77777777" w:rsidR="00647CD8" w:rsidRDefault="004956DE">
          <w:pPr>
            <w:pStyle w:val="TOC3"/>
            <w:rPr>
              <w:rFonts w:asciiTheme="minorHAnsi" w:eastAsiaTheme="minorEastAsia" w:hAnsiTheme="minorHAnsi" w:cstheme="minorBidi"/>
              <w:noProof/>
              <w:lang w:eastAsia="en-GB"/>
            </w:rPr>
          </w:pPr>
          <w:hyperlink w:anchor="_Toc517419547" w:history="1">
            <w:r w:rsidR="00647CD8" w:rsidRPr="00687D6F">
              <w:rPr>
                <w:rStyle w:val="Hyperlink"/>
                <w:noProof/>
              </w:rPr>
              <w:t>1.4.1</w:t>
            </w:r>
            <w:r w:rsidR="00647CD8">
              <w:rPr>
                <w:rFonts w:asciiTheme="minorHAnsi" w:eastAsiaTheme="minorEastAsia" w:hAnsiTheme="minorHAnsi" w:cstheme="minorBidi"/>
                <w:noProof/>
                <w:lang w:eastAsia="en-GB"/>
              </w:rPr>
              <w:tab/>
            </w:r>
            <w:r w:rsidR="00647CD8" w:rsidRPr="00687D6F">
              <w:rPr>
                <w:rStyle w:val="Hyperlink"/>
                <w:noProof/>
              </w:rPr>
              <w:t>500 hours emergency Industrial Emissions Directive (IED) under 1.1A</w:t>
            </w:r>
            <w:r w:rsidR="00647CD8">
              <w:rPr>
                <w:noProof/>
                <w:webHidden/>
              </w:rPr>
              <w:tab/>
            </w:r>
            <w:r w:rsidR="00647CD8">
              <w:rPr>
                <w:noProof/>
                <w:webHidden/>
              </w:rPr>
              <w:fldChar w:fldCharType="begin"/>
            </w:r>
            <w:r w:rsidR="00647CD8">
              <w:rPr>
                <w:noProof/>
                <w:webHidden/>
              </w:rPr>
              <w:instrText xml:space="preserve"> PAGEREF _Toc517419547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0CE867CC" w14:textId="77777777" w:rsidR="00647CD8" w:rsidRDefault="004956DE">
          <w:pPr>
            <w:pStyle w:val="TOC3"/>
            <w:rPr>
              <w:rFonts w:asciiTheme="minorHAnsi" w:eastAsiaTheme="minorEastAsia" w:hAnsiTheme="minorHAnsi" w:cstheme="minorBidi"/>
              <w:noProof/>
              <w:lang w:eastAsia="en-GB"/>
            </w:rPr>
          </w:pPr>
          <w:hyperlink w:anchor="_Toc517419548" w:history="1">
            <w:r w:rsidR="00647CD8" w:rsidRPr="00687D6F">
              <w:rPr>
                <w:rStyle w:val="Hyperlink"/>
                <w:noProof/>
              </w:rPr>
              <w:t>1.4.2</w:t>
            </w:r>
            <w:r w:rsidR="00647CD8">
              <w:rPr>
                <w:rFonts w:asciiTheme="minorHAnsi" w:eastAsiaTheme="minorEastAsia" w:hAnsiTheme="minorHAnsi" w:cstheme="minorBidi"/>
                <w:noProof/>
                <w:lang w:eastAsia="en-GB"/>
              </w:rPr>
              <w:tab/>
            </w:r>
            <w:r w:rsidR="00647CD8" w:rsidRPr="00687D6F">
              <w:rPr>
                <w:rStyle w:val="Hyperlink"/>
                <w:noProof/>
              </w:rPr>
              <w:t>How is a 500 hour notional emergency limit accounted for?</w:t>
            </w:r>
            <w:r w:rsidR="00647CD8">
              <w:rPr>
                <w:noProof/>
                <w:webHidden/>
              </w:rPr>
              <w:tab/>
            </w:r>
            <w:r w:rsidR="00647CD8">
              <w:rPr>
                <w:noProof/>
                <w:webHidden/>
              </w:rPr>
              <w:fldChar w:fldCharType="begin"/>
            </w:r>
            <w:r w:rsidR="00647CD8">
              <w:rPr>
                <w:noProof/>
                <w:webHidden/>
              </w:rPr>
              <w:instrText xml:space="preserve"> PAGEREF _Toc517419548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4AE2A4F9" w14:textId="77777777" w:rsidR="00647CD8" w:rsidRDefault="004956DE">
          <w:pPr>
            <w:pStyle w:val="TOC3"/>
            <w:rPr>
              <w:rFonts w:asciiTheme="minorHAnsi" w:eastAsiaTheme="minorEastAsia" w:hAnsiTheme="minorHAnsi" w:cstheme="minorBidi"/>
              <w:noProof/>
              <w:lang w:eastAsia="en-GB"/>
            </w:rPr>
          </w:pPr>
          <w:hyperlink w:anchor="_Toc517419549" w:history="1">
            <w:r w:rsidR="00647CD8" w:rsidRPr="00687D6F">
              <w:rPr>
                <w:rStyle w:val="Hyperlink"/>
                <w:noProof/>
              </w:rPr>
              <w:t>1.4.3</w:t>
            </w:r>
            <w:r w:rsidR="00647CD8">
              <w:rPr>
                <w:rFonts w:asciiTheme="minorHAnsi" w:eastAsiaTheme="minorEastAsia" w:hAnsiTheme="minorHAnsi" w:cstheme="minorBidi"/>
                <w:noProof/>
                <w:lang w:eastAsia="en-GB"/>
              </w:rPr>
              <w:tab/>
            </w:r>
            <w:r w:rsidR="00647CD8" w:rsidRPr="00687D6F">
              <w:rPr>
                <w:rStyle w:val="Hyperlink"/>
                <w:noProof/>
              </w:rPr>
              <w:t>Energy Efficiency Directive (EED) and the 1500hours qualifying plant</w:t>
            </w:r>
            <w:r w:rsidR="00647CD8">
              <w:rPr>
                <w:noProof/>
                <w:webHidden/>
              </w:rPr>
              <w:tab/>
            </w:r>
            <w:r w:rsidR="00647CD8">
              <w:rPr>
                <w:noProof/>
                <w:webHidden/>
              </w:rPr>
              <w:fldChar w:fldCharType="begin"/>
            </w:r>
            <w:r w:rsidR="00647CD8">
              <w:rPr>
                <w:noProof/>
                <w:webHidden/>
              </w:rPr>
              <w:instrText xml:space="preserve"> PAGEREF _Toc517419549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3DFB035" w14:textId="77777777" w:rsidR="00647CD8" w:rsidRDefault="004956DE">
          <w:pPr>
            <w:pStyle w:val="TOC3"/>
            <w:rPr>
              <w:rFonts w:asciiTheme="minorHAnsi" w:eastAsiaTheme="minorEastAsia" w:hAnsiTheme="minorHAnsi" w:cstheme="minorBidi"/>
              <w:noProof/>
              <w:lang w:eastAsia="en-GB"/>
            </w:rPr>
          </w:pPr>
          <w:hyperlink w:anchor="_Toc517419550" w:history="1">
            <w:r w:rsidR="00647CD8" w:rsidRPr="00687D6F">
              <w:rPr>
                <w:rStyle w:val="Hyperlink"/>
                <w:noProof/>
              </w:rPr>
              <w:t>1.4.4</w:t>
            </w:r>
            <w:r w:rsidR="00647CD8">
              <w:rPr>
                <w:rFonts w:asciiTheme="minorHAnsi" w:eastAsiaTheme="minorEastAsia" w:hAnsiTheme="minorHAnsi" w:cstheme="minorBidi"/>
                <w:noProof/>
                <w:lang w:eastAsia="en-GB"/>
              </w:rPr>
              <w:tab/>
            </w:r>
            <w:r w:rsidR="00647CD8" w:rsidRPr="00687D6F">
              <w:rPr>
                <w:rStyle w:val="Hyperlink"/>
                <w:noProof/>
              </w:rPr>
              <w:t>MCPD and specified generators, 500 hours and ELVs</w:t>
            </w:r>
            <w:r w:rsidR="00647CD8">
              <w:rPr>
                <w:noProof/>
                <w:webHidden/>
              </w:rPr>
              <w:tab/>
            </w:r>
            <w:r w:rsidR="00647CD8">
              <w:rPr>
                <w:noProof/>
                <w:webHidden/>
              </w:rPr>
              <w:fldChar w:fldCharType="begin"/>
            </w:r>
            <w:r w:rsidR="00647CD8">
              <w:rPr>
                <w:noProof/>
                <w:webHidden/>
              </w:rPr>
              <w:instrText xml:space="preserve"> PAGEREF _Toc517419550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6777D398" w14:textId="77777777" w:rsidR="00647CD8" w:rsidRDefault="004956DE">
          <w:pPr>
            <w:pStyle w:val="TOC3"/>
            <w:rPr>
              <w:rFonts w:asciiTheme="minorHAnsi" w:eastAsiaTheme="minorEastAsia" w:hAnsiTheme="minorHAnsi" w:cstheme="minorBidi"/>
              <w:noProof/>
              <w:lang w:eastAsia="en-GB"/>
            </w:rPr>
          </w:pPr>
          <w:hyperlink w:anchor="_Toc517419551" w:history="1">
            <w:r w:rsidR="00647CD8" w:rsidRPr="00687D6F">
              <w:rPr>
                <w:rStyle w:val="Hyperlink"/>
                <w:noProof/>
              </w:rPr>
              <w:t>1.4.5</w:t>
            </w:r>
            <w:r w:rsidR="00647CD8">
              <w:rPr>
                <w:rFonts w:asciiTheme="minorHAnsi" w:eastAsiaTheme="minorEastAsia" w:hAnsiTheme="minorHAnsi" w:cstheme="minorBidi"/>
                <w:noProof/>
                <w:lang w:eastAsia="en-GB"/>
              </w:rPr>
              <w:tab/>
            </w:r>
            <w:r w:rsidR="00647CD8" w:rsidRPr="00687D6F">
              <w:rPr>
                <w:rStyle w:val="Hyperlink"/>
                <w:noProof/>
              </w:rPr>
              <w:t>Grid outage hours – Data centre operation hours limit?</w:t>
            </w:r>
            <w:r w:rsidR="00647CD8">
              <w:rPr>
                <w:noProof/>
                <w:webHidden/>
              </w:rPr>
              <w:tab/>
            </w:r>
            <w:r w:rsidR="00647CD8">
              <w:rPr>
                <w:noProof/>
                <w:webHidden/>
              </w:rPr>
              <w:fldChar w:fldCharType="begin"/>
            </w:r>
            <w:r w:rsidR="00647CD8">
              <w:rPr>
                <w:noProof/>
                <w:webHidden/>
              </w:rPr>
              <w:instrText xml:space="preserve"> PAGEREF _Toc517419551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AFD4F3F"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52" w:history="1">
            <w:r w:rsidR="00647CD8" w:rsidRPr="00687D6F">
              <w:rPr>
                <w:rStyle w:val="Hyperlink"/>
                <w:noProof/>
              </w:rPr>
              <w:t>1.5</w:t>
            </w:r>
            <w:r w:rsidR="00647CD8">
              <w:rPr>
                <w:rFonts w:asciiTheme="minorHAnsi" w:eastAsiaTheme="minorEastAsia" w:hAnsiTheme="minorHAnsi" w:cstheme="minorBidi"/>
                <w:noProof/>
                <w:lang w:eastAsia="en-GB"/>
              </w:rPr>
              <w:tab/>
            </w:r>
            <w:r w:rsidR="00647CD8" w:rsidRPr="00687D6F">
              <w:rPr>
                <w:rStyle w:val="Hyperlink"/>
                <w:noProof/>
              </w:rPr>
              <w:t>Maintenance, testing, grid outages</w:t>
            </w:r>
            <w:r w:rsidR="00647CD8">
              <w:rPr>
                <w:noProof/>
                <w:webHidden/>
              </w:rPr>
              <w:tab/>
            </w:r>
            <w:r w:rsidR="00647CD8">
              <w:rPr>
                <w:noProof/>
                <w:webHidden/>
              </w:rPr>
              <w:fldChar w:fldCharType="begin"/>
            </w:r>
            <w:r w:rsidR="00647CD8">
              <w:rPr>
                <w:noProof/>
                <w:webHidden/>
              </w:rPr>
              <w:instrText xml:space="preserve"> PAGEREF _Toc517419552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62D62CB4" w14:textId="77777777" w:rsidR="00647CD8" w:rsidRDefault="004956DE">
          <w:pPr>
            <w:pStyle w:val="TOC3"/>
            <w:rPr>
              <w:rFonts w:asciiTheme="minorHAnsi" w:eastAsiaTheme="minorEastAsia" w:hAnsiTheme="minorHAnsi" w:cstheme="minorBidi"/>
              <w:noProof/>
              <w:lang w:eastAsia="en-GB"/>
            </w:rPr>
          </w:pPr>
          <w:hyperlink w:anchor="_Toc517419553" w:history="1">
            <w:r w:rsidR="00647CD8" w:rsidRPr="00687D6F">
              <w:rPr>
                <w:rStyle w:val="Hyperlink"/>
                <w:noProof/>
              </w:rPr>
              <w:t>1.5.1</w:t>
            </w:r>
            <w:r w:rsidR="00647CD8">
              <w:rPr>
                <w:rFonts w:asciiTheme="minorHAnsi" w:eastAsiaTheme="minorEastAsia" w:hAnsiTheme="minorHAnsi" w:cstheme="minorBidi"/>
                <w:noProof/>
                <w:lang w:eastAsia="en-GB"/>
              </w:rPr>
              <w:tab/>
            </w:r>
            <w:r w:rsidR="00647CD8" w:rsidRPr="00687D6F">
              <w:rPr>
                <w:rStyle w:val="Hyperlink"/>
                <w:noProof/>
              </w:rPr>
              <w:t>Scheduling Plan for testing:</w:t>
            </w:r>
            <w:r w:rsidR="00647CD8">
              <w:rPr>
                <w:noProof/>
                <w:webHidden/>
              </w:rPr>
              <w:tab/>
            </w:r>
            <w:r w:rsidR="00647CD8">
              <w:rPr>
                <w:noProof/>
                <w:webHidden/>
              </w:rPr>
              <w:fldChar w:fldCharType="begin"/>
            </w:r>
            <w:r w:rsidR="00647CD8">
              <w:rPr>
                <w:noProof/>
                <w:webHidden/>
              </w:rPr>
              <w:instrText xml:space="preserve"> PAGEREF _Toc517419553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4D7DE94E"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54" w:history="1">
            <w:r w:rsidR="00647CD8" w:rsidRPr="00687D6F">
              <w:rPr>
                <w:rStyle w:val="Hyperlink"/>
                <w:noProof/>
              </w:rPr>
              <w:t>1.6</w:t>
            </w:r>
            <w:r w:rsidR="00647CD8">
              <w:rPr>
                <w:rFonts w:asciiTheme="minorHAnsi" w:eastAsiaTheme="minorEastAsia" w:hAnsiTheme="minorHAnsi" w:cstheme="minorBidi"/>
                <w:noProof/>
                <w:lang w:eastAsia="en-GB"/>
              </w:rPr>
              <w:tab/>
            </w:r>
            <w:r w:rsidR="00647CD8" w:rsidRPr="00687D6F">
              <w:rPr>
                <w:rStyle w:val="Hyperlink"/>
                <w:noProof/>
              </w:rPr>
              <w:t>F-Gas Legislation</w:t>
            </w:r>
            <w:r w:rsidR="00647CD8">
              <w:rPr>
                <w:noProof/>
                <w:webHidden/>
              </w:rPr>
              <w:tab/>
            </w:r>
            <w:r w:rsidR="00647CD8">
              <w:rPr>
                <w:noProof/>
                <w:webHidden/>
              </w:rPr>
              <w:fldChar w:fldCharType="begin"/>
            </w:r>
            <w:r w:rsidR="00647CD8">
              <w:rPr>
                <w:noProof/>
                <w:webHidden/>
              </w:rPr>
              <w:instrText xml:space="preserve"> PAGEREF _Toc517419554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26C2F19"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55" w:history="1">
            <w:r w:rsidR="00647CD8" w:rsidRPr="00687D6F">
              <w:rPr>
                <w:rStyle w:val="Hyperlink"/>
                <w:noProof/>
              </w:rPr>
              <w:t>1.7</w:t>
            </w:r>
            <w:r w:rsidR="00647CD8">
              <w:rPr>
                <w:rFonts w:asciiTheme="minorHAnsi" w:eastAsiaTheme="minorEastAsia" w:hAnsiTheme="minorHAnsi" w:cstheme="minorBidi"/>
                <w:noProof/>
                <w:lang w:eastAsia="en-GB"/>
              </w:rPr>
              <w:tab/>
            </w:r>
            <w:r w:rsidR="00647CD8" w:rsidRPr="00687D6F">
              <w:rPr>
                <w:rStyle w:val="Hyperlink"/>
                <w:noProof/>
              </w:rPr>
              <w:t>STOR, Triad, FFR, frequency response FCDM</w:t>
            </w:r>
            <w:r w:rsidR="00647CD8">
              <w:rPr>
                <w:noProof/>
                <w:webHidden/>
              </w:rPr>
              <w:tab/>
            </w:r>
            <w:r w:rsidR="00647CD8">
              <w:rPr>
                <w:noProof/>
                <w:webHidden/>
              </w:rPr>
              <w:fldChar w:fldCharType="begin"/>
            </w:r>
            <w:r w:rsidR="00647CD8">
              <w:rPr>
                <w:noProof/>
                <w:webHidden/>
              </w:rPr>
              <w:instrText xml:space="preserve"> PAGEREF _Toc517419555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B57C326" w14:textId="77777777" w:rsidR="00647CD8" w:rsidRDefault="004956DE">
          <w:pPr>
            <w:pStyle w:val="TOC3"/>
            <w:rPr>
              <w:rFonts w:asciiTheme="minorHAnsi" w:eastAsiaTheme="minorEastAsia" w:hAnsiTheme="minorHAnsi" w:cstheme="minorBidi"/>
              <w:noProof/>
              <w:lang w:eastAsia="en-GB"/>
            </w:rPr>
          </w:pPr>
          <w:hyperlink w:anchor="_Toc517419556" w:history="1">
            <w:r w:rsidR="00647CD8" w:rsidRPr="00687D6F">
              <w:rPr>
                <w:rStyle w:val="Hyperlink"/>
                <w:noProof/>
              </w:rPr>
              <w:t>1.7.1</w:t>
            </w:r>
            <w:r w:rsidR="00647CD8">
              <w:rPr>
                <w:rFonts w:asciiTheme="minorHAnsi" w:eastAsiaTheme="minorEastAsia" w:hAnsiTheme="minorHAnsi" w:cstheme="minorBidi"/>
                <w:noProof/>
                <w:lang w:eastAsia="en-GB"/>
              </w:rPr>
              <w:tab/>
            </w:r>
            <w:r w:rsidR="00647CD8" w:rsidRPr="00687D6F">
              <w:rPr>
                <w:rStyle w:val="Hyperlink"/>
                <w:noProof/>
                <w:lang w:val="en-US"/>
              </w:rPr>
              <w:t>Frequency Control by Demand Management (FCDM) &amp; FFR</w:t>
            </w:r>
            <w:r w:rsidR="00647CD8">
              <w:rPr>
                <w:noProof/>
                <w:webHidden/>
              </w:rPr>
              <w:tab/>
            </w:r>
            <w:r w:rsidR="00647CD8">
              <w:rPr>
                <w:noProof/>
                <w:webHidden/>
              </w:rPr>
              <w:fldChar w:fldCharType="begin"/>
            </w:r>
            <w:r w:rsidR="00647CD8">
              <w:rPr>
                <w:noProof/>
                <w:webHidden/>
              </w:rPr>
              <w:instrText xml:space="preserve"> PAGEREF _Toc517419556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0E66664"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57" w:history="1">
            <w:r w:rsidR="00647CD8" w:rsidRPr="00687D6F">
              <w:rPr>
                <w:rStyle w:val="Hyperlink"/>
                <w:noProof/>
              </w:rPr>
              <w:t>1.8</w:t>
            </w:r>
            <w:r w:rsidR="00647CD8">
              <w:rPr>
                <w:rFonts w:asciiTheme="minorHAnsi" w:eastAsiaTheme="minorEastAsia" w:hAnsiTheme="minorHAnsi" w:cstheme="minorBidi"/>
                <w:noProof/>
                <w:lang w:eastAsia="en-GB"/>
              </w:rPr>
              <w:tab/>
            </w:r>
            <w:r w:rsidR="00647CD8" w:rsidRPr="00687D6F">
              <w:rPr>
                <w:rStyle w:val="Hyperlink"/>
                <w:noProof/>
              </w:rPr>
              <w:t>Management Standards 9001, 14001, 18001 and 27001 etc</w:t>
            </w:r>
            <w:r w:rsidR="00647CD8">
              <w:rPr>
                <w:noProof/>
                <w:webHidden/>
              </w:rPr>
              <w:tab/>
            </w:r>
            <w:r w:rsidR="00647CD8">
              <w:rPr>
                <w:noProof/>
                <w:webHidden/>
              </w:rPr>
              <w:fldChar w:fldCharType="begin"/>
            </w:r>
            <w:r w:rsidR="00647CD8">
              <w:rPr>
                <w:noProof/>
                <w:webHidden/>
              </w:rPr>
              <w:instrText xml:space="preserve"> PAGEREF _Toc517419557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11F2DF26"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58" w:history="1">
            <w:r w:rsidR="00647CD8" w:rsidRPr="00687D6F">
              <w:rPr>
                <w:rStyle w:val="Hyperlink"/>
                <w:noProof/>
              </w:rPr>
              <w:t>1.9</w:t>
            </w:r>
            <w:r w:rsidR="00647CD8">
              <w:rPr>
                <w:rFonts w:asciiTheme="minorHAnsi" w:eastAsiaTheme="minorEastAsia" w:hAnsiTheme="minorHAnsi" w:cstheme="minorBidi"/>
                <w:noProof/>
                <w:lang w:eastAsia="en-GB"/>
              </w:rPr>
              <w:tab/>
            </w:r>
            <w:r w:rsidR="00647CD8" w:rsidRPr="00687D6F">
              <w:rPr>
                <w:rStyle w:val="Hyperlink"/>
                <w:noProof/>
              </w:rPr>
              <w:t>Engine Emission Standards</w:t>
            </w:r>
            <w:r w:rsidR="00647CD8">
              <w:rPr>
                <w:noProof/>
                <w:webHidden/>
              </w:rPr>
              <w:tab/>
            </w:r>
            <w:r w:rsidR="00647CD8">
              <w:rPr>
                <w:noProof/>
                <w:webHidden/>
              </w:rPr>
              <w:fldChar w:fldCharType="begin"/>
            </w:r>
            <w:r w:rsidR="00647CD8">
              <w:rPr>
                <w:noProof/>
                <w:webHidden/>
              </w:rPr>
              <w:instrText xml:space="preserve"> PAGEREF _Toc517419558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2D677FF6" w14:textId="77777777" w:rsidR="00647CD8" w:rsidRDefault="004956DE">
          <w:pPr>
            <w:pStyle w:val="TOC3"/>
            <w:rPr>
              <w:rFonts w:asciiTheme="minorHAnsi" w:eastAsiaTheme="minorEastAsia" w:hAnsiTheme="minorHAnsi" w:cstheme="minorBidi"/>
              <w:noProof/>
              <w:lang w:eastAsia="en-GB"/>
            </w:rPr>
          </w:pPr>
          <w:hyperlink w:anchor="_Toc517419559" w:history="1">
            <w:r w:rsidR="00647CD8" w:rsidRPr="00687D6F">
              <w:rPr>
                <w:rStyle w:val="Hyperlink"/>
                <w:noProof/>
              </w:rPr>
              <w:t>1.9.1</w:t>
            </w:r>
            <w:r w:rsidR="00647CD8">
              <w:rPr>
                <w:rFonts w:asciiTheme="minorHAnsi" w:eastAsiaTheme="minorEastAsia" w:hAnsiTheme="minorHAnsi" w:cstheme="minorBidi"/>
                <w:noProof/>
                <w:lang w:eastAsia="en-GB"/>
              </w:rPr>
              <w:tab/>
            </w:r>
            <w:r w:rsidR="00647CD8" w:rsidRPr="00687D6F">
              <w:rPr>
                <w:rStyle w:val="Hyperlink"/>
                <w:noProof/>
              </w:rPr>
              <w:t>Retrofitting abatement</w:t>
            </w:r>
            <w:r w:rsidR="00647CD8">
              <w:rPr>
                <w:noProof/>
                <w:webHidden/>
              </w:rPr>
              <w:tab/>
            </w:r>
            <w:r w:rsidR="00647CD8">
              <w:rPr>
                <w:noProof/>
                <w:webHidden/>
              </w:rPr>
              <w:fldChar w:fldCharType="begin"/>
            </w:r>
            <w:r w:rsidR="00647CD8">
              <w:rPr>
                <w:noProof/>
                <w:webHidden/>
              </w:rPr>
              <w:instrText xml:space="preserve"> PAGEREF _Toc517419559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6A4BAF5" w14:textId="77777777" w:rsidR="00647CD8" w:rsidRDefault="004956DE">
          <w:pPr>
            <w:pStyle w:val="TOC3"/>
            <w:rPr>
              <w:rFonts w:asciiTheme="minorHAnsi" w:eastAsiaTheme="minorEastAsia" w:hAnsiTheme="minorHAnsi" w:cstheme="minorBidi"/>
              <w:noProof/>
              <w:lang w:eastAsia="en-GB"/>
            </w:rPr>
          </w:pPr>
          <w:hyperlink w:anchor="_Toc517419560" w:history="1">
            <w:r w:rsidR="00647CD8" w:rsidRPr="00687D6F">
              <w:rPr>
                <w:rStyle w:val="Hyperlink"/>
                <w:noProof/>
              </w:rPr>
              <w:t>1.9.2</w:t>
            </w:r>
            <w:r w:rsidR="00647CD8">
              <w:rPr>
                <w:rFonts w:asciiTheme="minorHAnsi" w:eastAsiaTheme="minorEastAsia" w:hAnsiTheme="minorHAnsi" w:cstheme="minorBidi"/>
                <w:noProof/>
                <w:lang w:eastAsia="en-GB"/>
              </w:rPr>
              <w:tab/>
            </w:r>
            <w:r w:rsidR="00647CD8" w:rsidRPr="00687D6F">
              <w:rPr>
                <w:rStyle w:val="Hyperlink"/>
                <w:noProof/>
              </w:rPr>
              <w:t>Stacks</w:t>
            </w:r>
            <w:r w:rsidR="00647CD8">
              <w:rPr>
                <w:noProof/>
                <w:webHidden/>
              </w:rPr>
              <w:tab/>
            </w:r>
            <w:r w:rsidR="00647CD8">
              <w:rPr>
                <w:noProof/>
                <w:webHidden/>
              </w:rPr>
              <w:fldChar w:fldCharType="begin"/>
            </w:r>
            <w:r w:rsidR="00647CD8">
              <w:rPr>
                <w:noProof/>
                <w:webHidden/>
              </w:rPr>
              <w:instrText xml:space="preserve"> PAGEREF _Toc517419560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28A54ADB"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61" w:history="1">
            <w:r w:rsidR="00647CD8" w:rsidRPr="00687D6F">
              <w:rPr>
                <w:rStyle w:val="Hyperlink"/>
                <w:noProof/>
              </w:rPr>
              <w:t>1.10</w:t>
            </w:r>
            <w:r w:rsidR="00647CD8">
              <w:rPr>
                <w:rFonts w:asciiTheme="minorHAnsi" w:eastAsiaTheme="minorEastAsia" w:hAnsiTheme="minorHAnsi" w:cstheme="minorBidi"/>
                <w:noProof/>
                <w:lang w:eastAsia="en-GB"/>
              </w:rPr>
              <w:tab/>
            </w:r>
            <w:r w:rsidR="00647CD8" w:rsidRPr="00687D6F">
              <w:rPr>
                <w:rStyle w:val="Hyperlink"/>
                <w:noProof/>
              </w:rPr>
              <w:t>Other Issues</w:t>
            </w:r>
            <w:r w:rsidR="00647CD8">
              <w:rPr>
                <w:noProof/>
                <w:webHidden/>
              </w:rPr>
              <w:tab/>
            </w:r>
            <w:r w:rsidR="00647CD8">
              <w:rPr>
                <w:noProof/>
                <w:webHidden/>
              </w:rPr>
              <w:fldChar w:fldCharType="begin"/>
            </w:r>
            <w:r w:rsidR="00647CD8">
              <w:rPr>
                <w:noProof/>
                <w:webHidden/>
              </w:rPr>
              <w:instrText xml:space="preserve"> PAGEREF _Toc517419561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68358527" w14:textId="77777777" w:rsidR="00647CD8" w:rsidRDefault="004956DE">
          <w:pPr>
            <w:pStyle w:val="TOC3"/>
            <w:rPr>
              <w:rFonts w:asciiTheme="minorHAnsi" w:eastAsiaTheme="minorEastAsia" w:hAnsiTheme="minorHAnsi" w:cstheme="minorBidi"/>
              <w:noProof/>
              <w:lang w:eastAsia="en-GB"/>
            </w:rPr>
          </w:pPr>
          <w:hyperlink w:anchor="_Toc517419562" w:history="1">
            <w:r w:rsidR="00647CD8" w:rsidRPr="00687D6F">
              <w:rPr>
                <w:rStyle w:val="Hyperlink"/>
                <w:noProof/>
              </w:rPr>
              <w:t>1.10.1</w:t>
            </w:r>
            <w:r w:rsidR="00647CD8">
              <w:rPr>
                <w:rFonts w:asciiTheme="minorHAnsi" w:eastAsiaTheme="minorEastAsia" w:hAnsiTheme="minorHAnsi" w:cstheme="minorBidi"/>
                <w:noProof/>
                <w:lang w:eastAsia="en-GB"/>
              </w:rPr>
              <w:tab/>
            </w:r>
            <w:r w:rsidR="00647CD8" w:rsidRPr="00687D6F">
              <w:rPr>
                <w:rStyle w:val="Hyperlink"/>
                <w:noProof/>
              </w:rPr>
              <w:t>Commercial in Confidence (CinC) and National Security</w:t>
            </w:r>
            <w:r w:rsidR="00647CD8">
              <w:rPr>
                <w:noProof/>
                <w:webHidden/>
              </w:rPr>
              <w:tab/>
            </w:r>
            <w:r w:rsidR="00647CD8">
              <w:rPr>
                <w:noProof/>
                <w:webHidden/>
              </w:rPr>
              <w:fldChar w:fldCharType="begin"/>
            </w:r>
            <w:r w:rsidR="00647CD8">
              <w:rPr>
                <w:noProof/>
                <w:webHidden/>
              </w:rPr>
              <w:instrText xml:space="preserve"> PAGEREF _Toc517419562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684221F3" w14:textId="77777777" w:rsidR="00647CD8" w:rsidRDefault="004956DE">
          <w:pPr>
            <w:pStyle w:val="TOC4"/>
            <w:tabs>
              <w:tab w:val="left" w:pos="1760"/>
              <w:tab w:val="right" w:leader="dot" w:pos="9742"/>
            </w:tabs>
            <w:rPr>
              <w:rFonts w:asciiTheme="minorHAnsi" w:eastAsiaTheme="minorEastAsia" w:hAnsiTheme="minorHAnsi" w:cstheme="minorBidi"/>
              <w:noProof/>
              <w:lang w:eastAsia="en-GB"/>
            </w:rPr>
          </w:pPr>
          <w:hyperlink w:anchor="_Toc517419563" w:history="1">
            <w:r w:rsidR="00647CD8" w:rsidRPr="00687D6F">
              <w:rPr>
                <w:rStyle w:val="Hyperlink"/>
                <w:noProof/>
              </w:rPr>
              <w:t>1.10.1.1</w:t>
            </w:r>
            <w:r w:rsidR="00647CD8">
              <w:rPr>
                <w:rFonts w:asciiTheme="minorHAnsi" w:eastAsiaTheme="minorEastAsia" w:hAnsiTheme="minorHAnsi" w:cstheme="minorBidi"/>
                <w:noProof/>
                <w:lang w:eastAsia="en-GB"/>
              </w:rPr>
              <w:tab/>
            </w:r>
            <w:r w:rsidR="00647CD8" w:rsidRPr="00687D6F">
              <w:rPr>
                <w:rStyle w:val="Hyperlink"/>
                <w:noProof/>
              </w:rPr>
              <w:t>Freedom of Information</w:t>
            </w:r>
            <w:r w:rsidR="00647CD8">
              <w:rPr>
                <w:noProof/>
                <w:webHidden/>
              </w:rPr>
              <w:tab/>
            </w:r>
            <w:r w:rsidR="00647CD8">
              <w:rPr>
                <w:noProof/>
                <w:webHidden/>
              </w:rPr>
              <w:fldChar w:fldCharType="begin"/>
            </w:r>
            <w:r w:rsidR="00647CD8">
              <w:rPr>
                <w:noProof/>
                <w:webHidden/>
              </w:rPr>
              <w:instrText xml:space="preserve"> PAGEREF _Toc517419563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4C1D5FFD" w14:textId="77777777" w:rsidR="00647CD8" w:rsidRDefault="004956DE">
          <w:pPr>
            <w:pStyle w:val="TOC3"/>
            <w:rPr>
              <w:rFonts w:asciiTheme="minorHAnsi" w:eastAsiaTheme="minorEastAsia" w:hAnsiTheme="minorHAnsi" w:cstheme="minorBidi"/>
              <w:noProof/>
              <w:lang w:eastAsia="en-GB"/>
            </w:rPr>
          </w:pPr>
          <w:hyperlink w:anchor="_Toc517419564" w:history="1">
            <w:r w:rsidR="00647CD8" w:rsidRPr="00687D6F">
              <w:rPr>
                <w:rStyle w:val="Hyperlink"/>
                <w:noProof/>
              </w:rPr>
              <w:t>1.10.2</w:t>
            </w:r>
            <w:r w:rsidR="00647CD8">
              <w:rPr>
                <w:rFonts w:asciiTheme="minorHAnsi" w:eastAsiaTheme="minorEastAsia" w:hAnsiTheme="minorHAnsi" w:cstheme="minorBidi"/>
                <w:noProof/>
                <w:lang w:eastAsia="en-GB"/>
              </w:rPr>
              <w:tab/>
            </w:r>
            <w:r w:rsidR="00647CD8" w:rsidRPr="00687D6F">
              <w:rPr>
                <w:rStyle w:val="Hyperlink"/>
                <w:noProof/>
              </w:rPr>
              <w:t>Pollution Inventory Reporting</w:t>
            </w:r>
            <w:r w:rsidR="00647CD8">
              <w:rPr>
                <w:noProof/>
                <w:webHidden/>
              </w:rPr>
              <w:tab/>
            </w:r>
            <w:r w:rsidR="00647CD8">
              <w:rPr>
                <w:noProof/>
                <w:webHidden/>
              </w:rPr>
              <w:fldChar w:fldCharType="begin"/>
            </w:r>
            <w:r w:rsidR="00647CD8">
              <w:rPr>
                <w:noProof/>
                <w:webHidden/>
              </w:rPr>
              <w:instrText xml:space="preserve"> PAGEREF _Toc517419564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1DF8384A" w14:textId="77777777" w:rsidR="00647CD8" w:rsidRDefault="004956DE">
          <w:pPr>
            <w:pStyle w:val="TOC3"/>
            <w:rPr>
              <w:rFonts w:asciiTheme="minorHAnsi" w:eastAsiaTheme="minorEastAsia" w:hAnsiTheme="minorHAnsi" w:cstheme="minorBidi"/>
              <w:noProof/>
              <w:lang w:eastAsia="en-GB"/>
            </w:rPr>
          </w:pPr>
          <w:hyperlink w:anchor="_Toc517419565" w:history="1">
            <w:r w:rsidR="00647CD8" w:rsidRPr="00687D6F">
              <w:rPr>
                <w:rStyle w:val="Hyperlink"/>
                <w:noProof/>
              </w:rPr>
              <w:t>1.10.3</w:t>
            </w:r>
            <w:r w:rsidR="00647CD8">
              <w:rPr>
                <w:rFonts w:asciiTheme="minorHAnsi" w:eastAsiaTheme="minorEastAsia" w:hAnsiTheme="minorHAnsi" w:cstheme="minorBidi"/>
                <w:noProof/>
                <w:lang w:eastAsia="en-GB"/>
              </w:rPr>
              <w:tab/>
            </w:r>
            <w:r w:rsidR="00647CD8" w:rsidRPr="00687D6F">
              <w:rPr>
                <w:rStyle w:val="Hyperlink"/>
                <w:noProof/>
              </w:rPr>
              <w:t>Wastes</w:t>
            </w:r>
            <w:r w:rsidR="00647CD8">
              <w:rPr>
                <w:noProof/>
                <w:webHidden/>
              </w:rPr>
              <w:tab/>
            </w:r>
            <w:r w:rsidR="00647CD8">
              <w:rPr>
                <w:noProof/>
                <w:webHidden/>
              </w:rPr>
              <w:fldChar w:fldCharType="begin"/>
            </w:r>
            <w:r w:rsidR="00647CD8">
              <w:rPr>
                <w:noProof/>
                <w:webHidden/>
              </w:rPr>
              <w:instrText xml:space="preserve"> PAGEREF _Toc517419565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56943E61" w14:textId="77777777" w:rsidR="00647CD8" w:rsidRDefault="004956DE">
          <w:pPr>
            <w:pStyle w:val="TOC3"/>
            <w:rPr>
              <w:rFonts w:asciiTheme="minorHAnsi" w:eastAsiaTheme="minorEastAsia" w:hAnsiTheme="minorHAnsi" w:cstheme="minorBidi"/>
              <w:noProof/>
              <w:lang w:eastAsia="en-GB"/>
            </w:rPr>
          </w:pPr>
          <w:hyperlink w:anchor="_Toc517419566" w:history="1">
            <w:r w:rsidR="00647CD8" w:rsidRPr="00687D6F">
              <w:rPr>
                <w:rStyle w:val="Hyperlink"/>
                <w:noProof/>
              </w:rPr>
              <w:t>1.10.4</w:t>
            </w:r>
            <w:r w:rsidR="00647CD8">
              <w:rPr>
                <w:rFonts w:asciiTheme="minorHAnsi" w:eastAsiaTheme="minorEastAsia" w:hAnsiTheme="minorHAnsi" w:cstheme="minorBidi"/>
                <w:noProof/>
                <w:lang w:eastAsia="en-GB"/>
              </w:rPr>
              <w:tab/>
            </w:r>
            <w:r w:rsidR="00647CD8" w:rsidRPr="00687D6F">
              <w:rPr>
                <w:rStyle w:val="Hyperlink"/>
                <w:noProof/>
              </w:rPr>
              <w:t>Expanding the Data Centre’s on-site provision</w:t>
            </w:r>
            <w:r w:rsidR="00647CD8">
              <w:rPr>
                <w:noProof/>
                <w:webHidden/>
              </w:rPr>
              <w:tab/>
            </w:r>
            <w:r w:rsidR="00647CD8">
              <w:rPr>
                <w:noProof/>
                <w:webHidden/>
              </w:rPr>
              <w:fldChar w:fldCharType="begin"/>
            </w:r>
            <w:r w:rsidR="00647CD8">
              <w:rPr>
                <w:noProof/>
                <w:webHidden/>
              </w:rPr>
              <w:instrText xml:space="preserve"> PAGEREF _Toc517419566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102A04BB" w14:textId="77777777" w:rsidR="00647CD8" w:rsidRDefault="004956DE">
          <w:pPr>
            <w:pStyle w:val="TOC3"/>
            <w:rPr>
              <w:rFonts w:asciiTheme="minorHAnsi" w:eastAsiaTheme="minorEastAsia" w:hAnsiTheme="minorHAnsi" w:cstheme="minorBidi"/>
              <w:noProof/>
              <w:lang w:eastAsia="en-GB"/>
            </w:rPr>
          </w:pPr>
          <w:hyperlink w:anchor="_Toc517419567" w:history="1">
            <w:r w:rsidR="00647CD8" w:rsidRPr="00687D6F">
              <w:rPr>
                <w:rStyle w:val="Hyperlink"/>
                <w:noProof/>
              </w:rPr>
              <w:t>1.10.5</w:t>
            </w:r>
            <w:r w:rsidR="00647CD8">
              <w:rPr>
                <w:rFonts w:asciiTheme="minorHAnsi" w:eastAsiaTheme="minorEastAsia" w:hAnsiTheme="minorHAnsi" w:cstheme="minorBidi"/>
                <w:noProof/>
                <w:lang w:eastAsia="en-GB"/>
              </w:rPr>
              <w:tab/>
            </w:r>
            <w:r w:rsidR="00647CD8" w:rsidRPr="00687D6F">
              <w:rPr>
                <w:rStyle w:val="Hyperlink"/>
                <w:noProof/>
              </w:rPr>
              <w:t>Site Condition Report (SCR) and baseline monitoring for the ground</w:t>
            </w:r>
            <w:r w:rsidR="00647CD8">
              <w:rPr>
                <w:noProof/>
                <w:webHidden/>
              </w:rPr>
              <w:tab/>
            </w:r>
            <w:r w:rsidR="00647CD8">
              <w:rPr>
                <w:noProof/>
                <w:webHidden/>
              </w:rPr>
              <w:fldChar w:fldCharType="begin"/>
            </w:r>
            <w:r w:rsidR="00647CD8">
              <w:rPr>
                <w:noProof/>
                <w:webHidden/>
              </w:rPr>
              <w:instrText xml:space="preserve"> PAGEREF _Toc517419567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7042638" w14:textId="77777777" w:rsidR="00647CD8" w:rsidRDefault="004956DE">
          <w:pPr>
            <w:pStyle w:val="TOC3"/>
            <w:rPr>
              <w:rFonts w:asciiTheme="minorHAnsi" w:eastAsiaTheme="minorEastAsia" w:hAnsiTheme="minorHAnsi" w:cstheme="minorBidi"/>
              <w:noProof/>
              <w:lang w:eastAsia="en-GB"/>
            </w:rPr>
          </w:pPr>
          <w:hyperlink w:anchor="_Toc517419568" w:history="1">
            <w:r w:rsidR="00647CD8" w:rsidRPr="00687D6F">
              <w:rPr>
                <w:rStyle w:val="Hyperlink"/>
                <w:noProof/>
              </w:rPr>
              <w:t>1.10.6</w:t>
            </w:r>
            <w:r w:rsidR="00647CD8">
              <w:rPr>
                <w:rFonts w:asciiTheme="minorHAnsi" w:eastAsiaTheme="minorEastAsia" w:hAnsiTheme="minorHAnsi" w:cstheme="minorBidi"/>
                <w:noProof/>
                <w:lang w:eastAsia="en-GB"/>
              </w:rPr>
              <w:tab/>
            </w:r>
            <w:r w:rsidR="00647CD8" w:rsidRPr="00687D6F">
              <w:rPr>
                <w:rStyle w:val="Hyperlink"/>
                <w:noProof/>
              </w:rPr>
              <w:t>Noise</w:t>
            </w:r>
            <w:r w:rsidR="00647CD8">
              <w:rPr>
                <w:noProof/>
                <w:webHidden/>
              </w:rPr>
              <w:tab/>
            </w:r>
            <w:r w:rsidR="00647CD8">
              <w:rPr>
                <w:noProof/>
                <w:webHidden/>
              </w:rPr>
              <w:fldChar w:fldCharType="begin"/>
            </w:r>
            <w:r w:rsidR="00647CD8">
              <w:rPr>
                <w:noProof/>
                <w:webHidden/>
              </w:rPr>
              <w:instrText xml:space="preserve"> PAGEREF _Toc517419568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53AF33C"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69" w:history="1">
            <w:r w:rsidR="00647CD8" w:rsidRPr="00687D6F">
              <w:rPr>
                <w:rStyle w:val="Hyperlink"/>
                <w:noProof/>
              </w:rPr>
              <w:t>1.11</w:t>
            </w:r>
            <w:r w:rsidR="00647CD8">
              <w:rPr>
                <w:rFonts w:asciiTheme="minorHAnsi" w:eastAsiaTheme="minorEastAsia" w:hAnsiTheme="minorHAnsi" w:cstheme="minorBidi"/>
                <w:noProof/>
                <w:lang w:eastAsia="en-GB"/>
              </w:rPr>
              <w:tab/>
            </w:r>
            <w:r w:rsidR="00647CD8" w:rsidRPr="00687D6F">
              <w:rPr>
                <w:rStyle w:val="Hyperlink"/>
                <w:noProof/>
              </w:rPr>
              <w:t>Fuel Storage</w:t>
            </w:r>
            <w:r w:rsidR="00647CD8">
              <w:rPr>
                <w:noProof/>
                <w:webHidden/>
              </w:rPr>
              <w:tab/>
            </w:r>
            <w:r w:rsidR="00647CD8">
              <w:rPr>
                <w:noProof/>
                <w:webHidden/>
              </w:rPr>
              <w:fldChar w:fldCharType="begin"/>
            </w:r>
            <w:r w:rsidR="00647CD8">
              <w:rPr>
                <w:noProof/>
                <w:webHidden/>
              </w:rPr>
              <w:instrText xml:space="preserve"> PAGEREF _Toc517419569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19203D0" w14:textId="77777777" w:rsidR="00647CD8" w:rsidRDefault="004956DE">
          <w:pPr>
            <w:pStyle w:val="TOC3"/>
            <w:rPr>
              <w:rFonts w:asciiTheme="minorHAnsi" w:eastAsiaTheme="minorEastAsia" w:hAnsiTheme="minorHAnsi" w:cstheme="minorBidi"/>
              <w:noProof/>
              <w:lang w:eastAsia="en-GB"/>
            </w:rPr>
          </w:pPr>
          <w:hyperlink w:anchor="_Toc517419570" w:history="1">
            <w:r w:rsidR="00647CD8" w:rsidRPr="00687D6F">
              <w:rPr>
                <w:rStyle w:val="Hyperlink"/>
                <w:noProof/>
              </w:rPr>
              <w:t>1.11.1</w:t>
            </w:r>
            <w:r w:rsidR="00647CD8">
              <w:rPr>
                <w:rFonts w:asciiTheme="minorHAnsi" w:eastAsiaTheme="minorEastAsia" w:hAnsiTheme="minorHAnsi" w:cstheme="minorBidi"/>
                <w:noProof/>
                <w:lang w:eastAsia="en-GB"/>
              </w:rPr>
              <w:tab/>
            </w:r>
            <w:r w:rsidR="00647CD8" w:rsidRPr="00687D6F">
              <w:rPr>
                <w:rStyle w:val="Hyperlink"/>
                <w:noProof/>
              </w:rPr>
              <w:t>Above ground fuel storage</w:t>
            </w:r>
            <w:r w:rsidR="00647CD8">
              <w:rPr>
                <w:noProof/>
                <w:webHidden/>
              </w:rPr>
              <w:tab/>
            </w:r>
            <w:r w:rsidR="00647CD8">
              <w:rPr>
                <w:noProof/>
                <w:webHidden/>
              </w:rPr>
              <w:fldChar w:fldCharType="begin"/>
            </w:r>
            <w:r w:rsidR="00647CD8">
              <w:rPr>
                <w:noProof/>
                <w:webHidden/>
              </w:rPr>
              <w:instrText xml:space="preserve"> PAGEREF _Toc517419570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49A9132F" w14:textId="77777777" w:rsidR="00647CD8" w:rsidRDefault="004956DE">
          <w:pPr>
            <w:pStyle w:val="TOC3"/>
            <w:rPr>
              <w:rFonts w:asciiTheme="minorHAnsi" w:eastAsiaTheme="minorEastAsia" w:hAnsiTheme="minorHAnsi" w:cstheme="minorBidi"/>
              <w:noProof/>
              <w:lang w:eastAsia="en-GB"/>
            </w:rPr>
          </w:pPr>
          <w:hyperlink w:anchor="_Toc517419571" w:history="1">
            <w:r w:rsidR="00647CD8" w:rsidRPr="00687D6F">
              <w:rPr>
                <w:rStyle w:val="Hyperlink"/>
                <w:noProof/>
              </w:rPr>
              <w:t>1.11.2</w:t>
            </w:r>
            <w:r w:rsidR="00647CD8">
              <w:rPr>
                <w:rFonts w:asciiTheme="minorHAnsi" w:eastAsiaTheme="minorEastAsia" w:hAnsiTheme="minorHAnsi" w:cstheme="minorBidi"/>
                <w:noProof/>
                <w:lang w:eastAsia="en-GB"/>
              </w:rPr>
              <w:tab/>
            </w:r>
            <w:r w:rsidR="00647CD8" w:rsidRPr="00687D6F">
              <w:rPr>
                <w:rStyle w:val="Hyperlink"/>
                <w:noProof/>
              </w:rPr>
              <w:t>Below ground and in building (basement) fuel storage</w:t>
            </w:r>
            <w:r w:rsidR="00647CD8">
              <w:rPr>
                <w:noProof/>
                <w:webHidden/>
              </w:rPr>
              <w:tab/>
            </w:r>
            <w:r w:rsidR="00647CD8">
              <w:rPr>
                <w:noProof/>
                <w:webHidden/>
              </w:rPr>
              <w:fldChar w:fldCharType="begin"/>
            </w:r>
            <w:r w:rsidR="00647CD8">
              <w:rPr>
                <w:noProof/>
                <w:webHidden/>
              </w:rPr>
              <w:instrText xml:space="preserve"> PAGEREF _Toc517419571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651DCFE"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72" w:history="1">
            <w:r w:rsidR="00647CD8" w:rsidRPr="00687D6F">
              <w:rPr>
                <w:rStyle w:val="Hyperlink"/>
                <w:noProof/>
              </w:rPr>
              <w:t>1.12</w:t>
            </w:r>
            <w:r w:rsidR="00647CD8">
              <w:rPr>
                <w:rFonts w:asciiTheme="minorHAnsi" w:eastAsiaTheme="minorEastAsia" w:hAnsiTheme="minorHAnsi" w:cstheme="minorBidi"/>
                <w:noProof/>
                <w:lang w:eastAsia="en-GB"/>
              </w:rPr>
              <w:tab/>
            </w:r>
            <w:r w:rsidR="00647CD8" w:rsidRPr="00687D6F">
              <w:rPr>
                <w:rStyle w:val="Hyperlink"/>
                <w:noProof/>
              </w:rPr>
              <w:t>Air Impacts Modelling</w:t>
            </w:r>
            <w:r w:rsidR="00647CD8">
              <w:rPr>
                <w:noProof/>
                <w:webHidden/>
              </w:rPr>
              <w:tab/>
            </w:r>
            <w:r w:rsidR="00647CD8">
              <w:rPr>
                <w:noProof/>
                <w:webHidden/>
              </w:rPr>
              <w:fldChar w:fldCharType="begin"/>
            </w:r>
            <w:r w:rsidR="00647CD8">
              <w:rPr>
                <w:noProof/>
                <w:webHidden/>
              </w:rPr>
              <w:instrText xml:space="preserve"> PAGEREF _Toc517419572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D980432" w14:textId="77777777" w:rsidR="00647CD8" w:rsidRDefault="004956DE">
          <w:pPr>
            <w:pStyle w:val="TOC3"/>
            <w:rPr>
              <w:rFonts w:asciiTheme="minorHAnsi" w:eastAsiaTheme="minorEastAsia" w:hAnsiTheme="minorHAnsi" w:cstheme="minorBidi"/>
              <w:noProof/>
              <w:lang w:eastAsia="en-GB"/>
            </w:rPr>
          </w:pPr>
          <w:hyperlink w:anchor="_Toc517419573" w:history="1">
            <w:r w:rsidR="00647CD8" w:rsidRPr="00687D6F">
              <w:rPr>
                <w:rStyle w:val="Hyperlink"/>
                <w:noProof/>
              </w:rPr>
              <w:t>1.12.1</w:t>
            </w:r>
            <w:r w:rsidR="00647CD8">
              <w:rPr>
                <w:rFonts w:asciiTheme="minorHAnsi" w:eastAsiaTheme="minorEastAsia" w:hAnsiTheme="minorHAnsi" w:cstheme="minorBidi"/>
                <w:noProof/>
                <w:lang w:eastAsia="en-GB"/>
              </w:rPr>
              <w:tab/>
            </w:r>
            <w:r w:rsidR="00647CD8" w:rsidRPr="00687D6F">
              <w:rPr>
                <w:rStyle w:val="Hyperlink"/>
                <w:noProof/>
              </w:rPr>
              <w:t>Scenario modelling of the impacts of the emissions to air is largely split into:</w:t>
            </w:r>
            <w:r w:rsidR="00647CD8">
              <w:rPr>
                <w:noProof/>
                <w:webHidden/>
              </w:rPr>
              <w:tab/>
            </w:r>
            <w:r w:rsidR="00647CD8">
              <w:rPr>
                <w:noProof/>
                <w:webHidden/>
              </w:rPr>
              <w:fldChar w:fldCharType="begin"/>
            </w:r>
            <w:r w:rsidR="00647CD8">
              <w:rPr>
                <w:noProof/>
                <w:webHidden/>
              </w:rPr>
              <w:instrText xml:space="preserve"> PAGEREF _Toc517419573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0BE5B8D3" w14:textId="77777777" w:rsidR="00647CD8" w:rsidRDefault="004956DE">
          <w:pPr>
            <w:pStyle w:val="TOC3"/>
            <w:rPr>
              <w:rFonts w:asciiTheme="minorHAnsi" w:eastAsiaTheme="minorEastAsia" w:hAnsiTheme="minorHAnsi" w:cstheme="minorBidi"/>
              <w:noProof/>
              <w:lang w:eastAsia="en-GB"/>
            </w:rPr>
          </w:pPr>
          <w:hyperlink w:anchor="_Toc517419574" w:history="1">
            <w:r w:rsidR="00647CD8" w:rsidRPr="00687D6F">
              <w:rPr>
                <w:rStyle w:val="Hyperlink"/>
                <w:noProof/>
              </w:rPr>
              <w:t>1.12.2</w:t>
            </w:r>
            <w:r w:rsidR="00647CD8">
              <w:rPr>
                <w:rFonts w:asciiTheme="minorHAnsi" w:eastAsiaTheme="minorEastAsia" w:hAnsiTheme="minorHAnsi" w:cstheme="minorBidi"/>
                <w:noProof/>
                <w:lang w:eastAsia="en-GB"/>
              </w:rPr>
              <w:tab/>
            </w:r>
            <w:r w:rsidR="00647CD8" w:rsidRPr="00687D6F">
              <w:rPr>
                <w:rStyle w:val="Hyperlink"/>
                <w:noProof/>
              </w:rPr>
              <w:t>Maintenance Schedule Model</w:t>
            </w:r>
            <w:r w:rsidR="00647CD8">
              <w:rPr>
                <w:noProof/>
                <w:webHidden/>
              </w:rPr>
              <w:tab/>
            </w:r>
            <w:r w:rsidR="00647CD8">
              <w:rPr>
                <w:noProof/>
                <w:webHidden/>
              </w:rPr>
              <w:fldChar w:fldCharType="begin"/>
            </w:r>
            <w:r w:rsidR="00647CD8">
              <w:rPr>
                <w:noProof/>
                <w:webHidden/>
              </w:rPr>
              <w:instrText xml:space="preserve"> PAGEREF _Toc517419574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06F03525" w14:textId="77777777" w:rsidR="00647CD8" w:rsidRDefault="004956DE">
          <w:pPr>
            <w:pStyle w:val="TOC3"/>
            <w:rPr>
              <w:rFonts w:asciiTheme="minorHAnsi" w:eastAsiaTheme="minorEastAsia" w:hAnsiTheme="minorHAnsi" w:cstheme="minorBidi"/>
              <w:noProof/>
              <w:lang w:eastAsia="en-GB"/>
            </w:rPr>
          </w:pPr>
          <w:hyperlink w:anchor="_Toc517419575" w:history="1">
            <w:r w:rsidR="00647CD8" w:rsidRPr="00687D6F">
              <w:rPr>
                <w:rStyle w:val="Hyperlink"/>
                <w:noProof/>
              </w:rPr>
              <w:t>1.12.3</w:t>
            </w:r>
            <w:r w:rsidR="00647CD8">
              <w:rPr>
                <w:rFonts w:asciiTheme="minorHAnsi" w:eastAsiaTheme="minorEastAsia" w:hAnsiTheme="minorHAnsi" w:cstheme="minorBidi"/>
                <w:noProof/>
                <w:lang w:eastAsia="en-GB"/>
              </w:rPr>
              <w:tab/>
            </w:r>
            <w:r w:rsidR="00647CD8" w:rsidRPr="00687D6F">
              <w:rPr>
                <w:rStyle w:val="Hyperlink"/>
                <w:noProof/>
              </w:rPr>
              <w:t>Outage Model</w:t>
            </w:r>
            <w:r w:rsidR="00647CD8">
              <w:rPr>
                <w:noProof/>
                <w:webHidden/>
              </w:rPr>
              <w:tab/>
            </w:r>
            <w:r w:rsidR="00647CD8">
              <w:rPr>
                <w:noProof/>
                <w:webHidden/>
              </w:rPr>
              <w:fldChar w:fldCharType="begin"/>
            </w:r>
            <w:r w:rsidR="00647CD8">
              <w:rPr>
                <w:noProof/>
                <w:webHidden/>
              </w:rPr>
              <w:instrText xml:space="preserve"> PAGEREF _Toc517419575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483392A6" w14:textId="77777777" w:rsidR="00647CD8" w:rsidRDefault="004956DE">
          <w:pPr>
            <w:pStyle w:val="TOC3"/>
            <w:rPr>
              <w:rFonts w:asciiTheme="minorHAnsi" w:eastAsiaTheme="minorEastAsia" w:hAnsiTheme="minorHAnsi" w:cstheme="minorBidi"/>
              <w:noProof/>
              <w:lang w:eastAsia="en-GB"/>
            </w:rPr>
          </w:pPr>
          <w:hyperlink w:anchor="_Toc517419576" w:history="1">
            <w:r w:rsidR="00647CD8" w:rsidRPr="00687D6F">
              <w:rPr>
                <w:rStyle w:val="Hyperlink"/>
                <w:noProof/>
              </w:rPr>
              <w:t>1.12.4</w:t>
            </w:r>
            <w:r w:rsidR="00647CD8">
              <w:rPr>
                <w:rFonts w:asciiTheme="minorHAnsi" w:eastAsiaTheme="minorEastAsia" w:hAnsiTheme="minorHAnsi" w:cstheme="minorBidi"/>
                <w:noProof/>
                <w:lang w:eastAsia="en-GB"/>
              </w:rPr>
              <w:tab/>
            </w:r>
            <w:r w:rsidR="00647CD8" w:rsidRPr="00687D6F">
              <w:rPr>
                <w:rStyle w:val="Hyperlink"/>
                <w:noProof/>
              </w:rPr>
              <w:t>Non-emergency Elective power Model</w:t>
            </w:r>
            <w:r w:rsidR="00647CD8">
              <w:rPr>
                <w:noProof/>
                <w:webHidden/>
              </w:rPr>
              <w:tab/>
            </w:r>
            <w:r w:rsidR="00647CD8">
              <w:rPr>
                <w:noProof/>
                <w:webHidden/>
              </w:rPr>
              <w:fldChar w:fldCharType="begin"/>
            </w:r>
            <w:r w:rsidR="00647CD8">
              <w:rPr>
                <w:noProof/>
                <w:webHidden/>
              </w:rPr>
              <w:instrText xml:space="preserve"> PAGEREF _Toc517419576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7D8DCBB5"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77" w:history="1">
            <w:r w:rsidR="00647CD8" w:rsidRPr="00687D6F">
              <w:rPr>
                <w:rStyle w:val="Hyperlink"/>
                <w:noProof/>
              </w:rPr>
              <w:t>1.13</w:t>
            </w:r>
            <w:r w:rsidR="00647CD8">
              <w:rPr>
                <w:rFonts w:asciiTheme="minorHAnsi" w:eastAsiaTheme="minorEastAsia" w:hAnsiTheme="minorHAnsi" w:cstheme="minorBidi"/>
                <w:noProof/>
                <w:lang w:eastAsia="en-GB"/>
              </w:rPr>
              <w:tab/>
            </w:r>
            <w:r w:rsidR="00647CD8" w:rsidRPr="00687D6F">
              <w:rPr>
                <w:rStyle w:val="Hyperlink"/>
                <w:noProof/>
              </w:rPr>
              <w:t>Regulation and auditing of a Data Centre Permit</w:t>
            </w:r>
            <w:r w:rsidR="00647CD8">
              <w:rPr>
                <w:noProof/>
                <w:webHidden/>
              </w:rPr>
              <w:tab/>
            </w:r>
            <w:r w:rsidR="00647CD8">
              <w:rPr>
                <w:noProof/>
                <w:webHidden/>
              </w:rPr>
              <w:fldChar w:fldCharType="begin"/>
            </w:r>
            <w:r w:rsidR="00647CD8">
              <w:rPr>
                <w:noProof/>
                <w:webHidden/>
              </w:rPr>
              <w:instrText xml:space="preserve"> PAGEREF _Toc517419577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43CCE40D"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78" w:history="1">
            <w:r w:rsidR="00647CD8" w:rsidRPr="00687D6F">
              <w:rPr>
                <w:rStyle w:val="Hyperlink"/>
                <w:noProof/>
              </w:rPr>
              <w:t>1.14</w:t>
            </w:r>
            <w:r w:rsidR="00647CD8">
              <w:rPr>
                <w:rFonts w:asciiTheme="minorHAnsi" w:eastAsiaTheme="minorEastAsia" w:hAnsiTheme="minorHAnsi" w:cstheme="minorBidi"/>
                <w:noProof/>
                <w:lang w:eastAsia="en-GB"/>
              </w:rPr>
              <w:tab/>
            </w:r>
            <w:r w:rsidR="00647CD8" w:rsidRPr="00687D6F">
              <w:rPr>
                <w:rStyle w:val="Hyperlink"/>
                <w:noProof/>
              </w:rPr>
              <w:t>Annual reporting requirement in the permit:</w:t>
            </w:r>
            <w:r w:rsidR="00647CD8">
              <w:rPr>
                <w:noProof/>
                <w:webHidden/>
              </w:rPr>
              <w:tab/>
            </w:r>
            <w:r w:rsidR="00647CD8">
              <w:rPr>
                <w:noProof/>
                <w:webHidden/>
              </w:rPr>
              <w:fldChar w:fldCharType="begin"/>
            </w:r>
            <w:r w:rsidR="00647CD8">
              <w:rPr>
                <w:noProof/>
                <w:webHidden/>
              </w:rPr>
              <w:instrText xml:space="preserve"> PAGEREF _Toc517419578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2655A5F5" w14:textId="77777777" w:rsidR="00647CD8" w:rsidRDefault="004956DE">
          <w:pPr>
            <w:pStyle w:val="TOC3"/>
            <w:rPr>
              <w:rFonts w:asciiTheme="minorHAnsi" w:eastAsiaTheme="minorEastAsia" w:hAnsiTheme="minorHAnsi" w:cstheme="minorBidi"/>
              <w:noProof/>
              <w:lang w:eastAsia="en-GB"/>
            </w:rPr>
          </w:pPr>
          <w:hyperlink w:anchor="_Toc517419579" w:history="1">
            <w:r w:rsidR="00647CD8" w:rsidRPr="00687D6F">
              <w:rPr>
                <w:rStyle w:val="Hyperlink"/>
                <w:noProof/>
              </w:rPr>
              <w:t>1.14.1</w:t>
            </w:r>
            <w:r w:rsidR="00647CD8">
              <w:rPr>
                <w:rFonts w:asciiTheme="minorHAnsi" w:eastAsiaTheme="minorEastAsia" w:hAnsiTheme="minorHAnsi" w:cstheme="minorBidi"/>
                <w:noProof/>
                <w:lang w:eastAsia="en-GB"/>
              </w:rPr>
              <w:tab/>
            </w:r>
            <w:r w:rsidR="00647CD8" w:rsidRPr="00687D6F">
              <w:rPr>
                <w:rStyle w:val="Hyperlink"/>
                <w:noProof/>
              </w:rPr>
              <w:t>Permit conditions for 4-yearly reviews of 1.2.1 Energy Efficiency; 1.3.1 Efficient use of raw materials; 1.4.2 Avoidance, recovery and disposal of wastes produced by the activities</w:t>
            </w:r>
            <w:r w:rsidR="00647CD8">
              <w:rPr>
                <w:noProof/>
                <w:webHidden/>
              </w:rPr>
              <w:tab/>
            </w:r>
            <w:r w:rsidR="00647CD8">
              <w:rPr>
                <w:noProof/>
                <w:webHidden/>
              </w:rPr>
              <w:fldChar w:fldCharType="begin"/>
            </w:r>
            <w:r w:rsidR="00647CD8">
              <w:rPr>
                <w:noProof/>
                <w:webHidden/>
              </w:rPr>
              <w:instrText xml:space="preserve"> PAGEREF _Toc517419579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3ECC7CAC" w14:textId="77777777" w:rsidR="00647CD8" w:rsidRDefault="004956DE">
          <w:pPr>
            <w:pStyle w:val="TOC2"/>
            <w:tabs>
              <w:tab w:val="left" w:pos="880"/>
              <w:tab w:val="right" w:leader="dot" w:pos="9742"/>
            </w:tabs>
            <w:rPr>
              <w:rFonts w:asciiTheme="minorHAnsi" w:eastAsiaTheme="minorEastAsia" w:hAnsiTheme="minorHAnsi" w:cstheme="minorBidi"/>
              <w:noProof/>
              <w:lang w:eastAsia="en-GB"/>
            </w:rPr>
          </w:pPr>
          <w:hyperlink w:anchor="_Toc517419580" w:history="1">
            <w:r w:rsidR="00647CD8" w:rsidRPr="00687D6F">
              <w:rPr>
                <w:rStyle w:val="Hyperlink"/>
                <w:noProof/>
              </w:rPr>
              <w:t>1.15</w:t>
            </w:r>
            <w:r w:rsidR="00647CD8">
              <w:rPr>
                <w:rFonts w:asciiTheme="minorHAnsi" w:eastAsiaTheme="minorEastAsia" w:hAnsiTheme="minorHAnsi" w:cstheme="minorBidi"/>
                <w:noProof/>
                <w:lang w:eastAsia="en-GB"/>
              </w:rPr>
              <w:tab/>
            </w:r>
            <w:r w:rsidR="00647CD8" w:rsidRPr="00687D6F">
              <w:rPr>
                <w:rStyle w:val="Hyperlink"/>
                <w:noProof/>
              </w:rPr>
              <w:t>Air Quality Emergency Action Plan (for grid outages)</w:t>
            </w:r>
            <w:r w:rsidR="00647CD8">
              <w:rPr>
                <w:noProof/>
                <w:webHidden/>
              </w:rPr>
              <w:tab/>
            </w:r>
            <w:r w:rsidR="00647CD8">
              <w:rPr>
                <w:noProof/>
                <w:webHidden/>
              </w:rPr>
              <w:fldChar w:fldCharType="begin"/>
            </w:r>
            <w:r w:rsidR="00647CD8">
              <w:rPr>
                <w:noProof/>
                <w:webHidden/>
              </w:rPr>
              <w:instrText xml:space="preserve"> PAGEREF _Toc517419580 \h </w:instrText>
            </w:r>
            <w:r w:rsidR="00647CD8">
              <w:rPr>
                <w:noProof/>
                <w:webHidden/>
              </w:rPr>
            </w:r>
            <w:r w:rsidR="00647CD8">
              <w:rPr>
                <w:noProof/>
                <w:webHidden/>
              </w:rPr>
              <w:fldChar w:fldCharType="separate"/>
            </w:r>
            <w:r w:rsidR="00124B2D">
              <w:rPr>
                <w:noProof/>
                <w:webHidden/>
              </w:rPr>
              <w:t>2</w:t>
            </w:r>
            <w:r w:rsidR="00647CD8">
              <w:rPr>
                <w:noProof/>
                <w:webHidden/>
              </w:rPr>
              <w:fldChar w:fldCharType="end"/>
            </w:r>
          </w:hyperlink>
        </w:p>
        <w:p w14:paraId="4A0B8F07" w14:textId="77777777" w:rsidR="00903F3D" w:rsidRPr="00647CD8" w:rsidRDefault="007C3A6C" w:rsidP="00B542AB">
          <w:r w:rsidRPr="00647CD8">
            <w:fldChar w:fldCharType="end"/>
          </w:r>
        </w:p>
      </w:sdtContent>
    </w:sdt>
    <w:p w14:paraId="387ADB7B" w14:textId="77777777" w:rsidR="009340DE" w:rsidRPr="00647CD8" w:rsidRDefault="009340DE" w:rsidP="00B87C22">
      <w:pPr>
        <w:pStyle w:val="Heading2"/>
        <w:rPr>
          <w:color w:val="auto"/>
        </w:rPr>
      </w:pPr>
      <w:bookmarkStart w:id="1" w:name="_Toc517419535"/>
      <w:r w:rsidRPr="00647CD8">
        <w:rPr>
          <w:color w:val="auto"/>
        </w:rPr>
        <w:t>What is a Data Centre</w:t>
      </w:r>
      <w:r w:rsidR="00CC677A" w:rsidRPr="00647CD8">
        <w:rPr>
          <w:color w:val="auto"/>
        </w:rPr>
        <w:t>?</w:t>
      </w:r>
      <w:bookmarkEnd w:id="1"/>
    </w:p>
    <w:p w14:paraId="5C42D2A7" w14:textId="77777777" w:rsidR="009340DE" w:rsidRPr="00647CD8" w:rsidRDefault="009340DE" w:rsidP="009340DE">
      <w:pPr>
        <w:rPr>
          <w:lang w:eastAsia="en-GB"/>
        </w:rPr>
      </w:pPr>
    </w:p>
    <w:p w14:paraId="0A9829C3" w14:textId="77777777" w:rsidR="002774FE" w:rsidRPr="00647CD8" w:rsidRDefault="00F6780A" w:rsidP="00F6780A">
      <w:pPr>
        <w:rPr>
          <w:lang w:eastAsia="en-GB"/>
        </w:rPr>
      </w:pPr>
      <w:r w:rsidRPr="00647CD8">
        <w:rPr>
          <w:lang w:eastAsia="en-GB"/>
        </w:rPr>
        <w:t xml:space="preserve">Data centres are buildings </w:t>
      </w:r>
      <w:r w:rsidR="0075686B" w:rsidRPr="00647CD8">
        <w:rPr>
          <w:lang w:eastAsia="en-GB"/>
        </w:rPr>
        <w:t>and</w:t>
      </w:r>
      <w:r w:rsidR="001377BA" w:rsidRPr="00647CD8">
        <w:rPr>
          <w:lang w:eastAsia="en-GB"/>
        </w:rPr>
        <w:t xml:space="preserve"> associated</w:t>
      </w:r>
      <w:r w:rsidR="0075686B" w:rsidRPr="00647CD8">
        <w:rPr>
          <w:lang w:eastAsia="en-GB"/>
        </w:rPr>
        <w:t xml:space="preserve"> </w:t>
      </w:r>
      <w:r w:rsidR="008775CB" w:rsidRPr="00647CD8">
        <w:rPr>
          <w:lang w:eastAsia="en-GB"/>
        </w:rPr>
        <w:t>infrastructure</w:t>
      </w:r>
      <w:r w:rsidR="0075686B" w:rsidRPr="00647CD8">
        <w:rPr>
          <w:lang w:eastAsia="en-GB"/>
        </w:rPr>
        <w:t xml:space="preserve"> </w:t>
      </w:r>
      <w:r w:rsidRPr="00647CD8">
        <w:rPr>
          <w:lang w:eastAsia="en-GB"/>
        </w:rPr>
        <w:t xml:space="preserve">which </w:t>
      </w:r>
      <w:r w:rsidR="001377BA" w:rsidRPr="00647CD8">
        <w:rPr>
          <w:lang w:eastAsia="en-GB"/>
        </w:rPr>
        <w:t>provide security and</w:t>
      </w:r>
      <w:r w:rsidR="0075686B" w:rsidRPr="00647CD8">
        <w:rPr>
          <w:lang w:eastAsia="en-GB"/>
        </w:rPr>
        <w:t xml:space="preserve"> </w:t>
      </w:r>
      <w:r w:rsidR="00FE5792" w:rsidRPr="00647CD8">
        <w:rPr>
          <w:lang w:eastAsia="en-GB"/>
        </w:rPr>
        <w:t>reliability</w:t>
      </w:r>
      <w:r w:rsidR="00A51DF6" w:rsidRPr="00647CD8">
        <w:rPr>
          <w:lang w:eastAsia="en-GB"/>
        </w:rPr>
        <w:t xml:space="preserve"> </w:t>
      </w:r>
      <w:r w:rsidR="001377BA" w:rsidRPr="00647CD8">
        <w:rPr>
          <w:lang w:eastAsia="en-GB"/>
        </w:rPr>
        <w:t xml:space="preserve">in </w:t>
      </w:r>
      <w:r w:rsidRPr="00647CD8">
        <w:rPr>
          <w:lang w:eastAsia="en-GB"/>
        </w:rPr>
        <w:t>stor</w:t>
      </w:r>
      <w:r w:rsidR="001377BA" w:rsidRPr="00647CD8">
        <w:rPr>
          <w:lang w:eastAsia="en-GB"/>
        </w:rPr>
        <w:t>ing</w:t>
      </w:r>
      <w:r w:rsidRPr="00647CD8">
        <w:rPr>
          <w:lang w:eastAsia="en-GB"/>
        </w:rPr>
        <w:t xml:space="preserve"> digital data on servers. The operation </w:t>
      </w:r>
      <w:r w:rsidR="00A51DF6" w:rsidRPr="00647CD8">
        <w:rPr>
          <w:lang w:eastAsia="en-GB"/>
        </w:rPr>
        <w:t>include</w:t>
      </w:r>
      <w:r w:rsidRPr="00647CD8">
        <w:rPr>
          <w:lang w:eastAsia="en-GB"/>
        </w:rPr>
        <w:t xml:space="preserve">s: </w:t>
      </w:r>
      <w:r w:rsidR="008775CB" w:rsidRPr="00647CD8">
        <w:rPr>
          <w:lang w:eastAsia="en-GB"/>
        </w:rPr>
        <w:t>protected</w:t>
      </w:r>
      <w:r w:rsidR="00476858" w:rsidRPr="00647CD8">
        <w:rPr>
          <w:lang w:eastAsia="en-GB"/>
        </w:rPr>
        <w:t xml:space="preserve"> and </w:t>
      </w:r>
      <w:r w:rsidR="008775CB" w:rsidRPr="00647CD8">
        <w:rPr>
          <w:lang w:eastAsia="en-GB"/>
        </w:rPr>
        <w:t>anonymous</w:t>
      </w:r>
      <w:r w:rsidR="00476858" w:rsidRPr="00647CD8">
        <w:rPr>
          <w:lang w:eastAsia="en-GB"/>
        </w:rPr>
        <w:t xml:space="preserve"> manage</w:t>
      </w:r>
      <w:r w:rsidR="0075686B" w:rsidRPr="00647CD8">
        <w:rPr>
          <w:lang w:eastAsia="en-GB"/>
        </w:rPr>
        <w:t>d</w:t>
      </w:r>
      <w:r w:rsidR="00476858" w:rsidRPr="00647CD8">
        <w:rPr>
          <w:lang w:eastAsia="en-GB"/>
        </w:rPr>
        <w:t xml:space="preserve"> facility to a recognised standard (</w:t>
      </w:r>
      <w:r w:rsidR="00E30145" w:rsidRPr="00647CD8">
        <w:rPr>
          <w:lang w:eastAsia="en-GB"/>
        </w:rPr>
        <w:t xml:space="preserve">e.g. </w:t>
      </w:r>
      <w:r w:rsidR="00476858" w:rsidRPr="00647CD8">
        <w:rPr>
          <w:lang w:eastAsia="en-GB"/>
        </w:rPr>
        <w:t xml:space="preserve">ISO27001); </w:t>
      </w:r>
      <w:r w:rsidRPr="00647CD8">
        <w:rPr>
          <w:lang w:eastAsia="en-GB"/>
        </w:rPr>
        <w:t>conditioning and temperature control</w:t>
      </w:r>
      <w:r w:rsidR="00476858" w:rsidRPr="00647CD8">
        <w:rPr>
          <w:lang w:eastAsia="en-GB"/>
        </w:rPr>
        <w:t xml:space="preserve"> for server rooms</w:t>
      </w:r>
      <w:r w:rsidRPr="00647CD8">
        <w:rPr>
          <w:lang w:eastAsia="en-GB"/>
        </w:rPr>
        <w:t xml:space="preserve">; </w:t>
      </w:r>
      <w:r w:rsidR="001377BA" w:rsidRPr="00647CD8">
        <w:rPr>
          <w:lang w:eastAsia="en-GB"/>
        </w:rPr>
        <w:t>protection</w:t>
      </w:r>
      <w:r w:rsidRPr="00647CD8">
        <w:rPr>
          <w:lang w:eastAsia="en-GB"/>
        </w:rPr>
        <w:t xml:space="preserve"> for business </w:t>
      </w:r>
      <w:r w:rsidR="00476858" w:rsidRPr="00647CD8">
        <w:rPr>
          <w:lang w:eastAsia="en-GB"/>
        </w:rPr>
        <w:t>customer</w:t>
      </w:r>
      <w:r w:rsidR="0075686B" w:rsidRPr="00647CD8">
        <w:rPr>
          <w:lang w:eastAsia="en-GB"/>
        </w:rPr>
        <w:t>s</w:t>
      </w:r>
      <w:r w:rsidR="00476858" w:rsidRPr="00647CD8">
        <w:rPr>
          <w:lang w:eastAsia="en-GB"/>
        </w:rPr>
        <w:t xml:space="preserve"> </w:t>
      </w:r>
      <w:r w:rsidRPr="00647CD8">
        <w:rPr>
          <w:lang w:eastAsia="en-GB"/>
        </w:rPr>
        <w:t xml:space="preserve">against exterior risks (such as flooding, theft, climate and weather); </w:t>
      </w:r>
      <w:r w:rsidR="008775CB" w:rsidRPr="00647CD8">
        <w:rPr>
          <w:lang w:eastAsia="en-GB"/>
        </w:rPr>
        <w:t>continuity</w:t>
      </w:r>
      <w:r w:rsidRPr="00647CD8">
        <w:rPr>
          <w:lang w:eastAsia="en-GB"/>
        </w:rPr>
        <w:t xml:space="preserve"> for electrical power supply using </w:t>
      </w:r>
      <w:r w:rsidR="006A3179" w:rsidRPr="00647CD8">
        <w:rPr>
          <w:lang w:eastAsia="en-GB"/>
        </w:rPr>
        <w:t>multiple grid connections, uninterruptable power supplies (UPS e.g. batteries</w:t>
      </w:r>
      <w:r w:rsidR="00F630B1" w:rsidRPr="00647CD8">
        <w:rPr>
          <w:lang w:eastAsia="en-GB"/>
        </w:rPr>
        <w:t xml:space="preserve"> or </w:t>
      </w:r>
      <w:r w:rsidR="00E30145" w:rsidRPr="00647CD8">
        <w:rPr>
          <w:lang w:eastAsia="en-GB"/>
        </w:rPr>
        <w:t xml:space="preserve">Diesel rotatory </w:t>
      </w:r>
      <w:r w:rsidR="00F630B1" w:rsidRPr="00647CD8">
        <w:rPr>
          <w:lang w:eastAsia="en-GB"/>
        </w:rPr>
        <w:t>DR</w:t>
      </w:r>
      <w:r w:rsidR="00E30145" w:rsidRPr="00647CD8">
        <w:rPr>
          <w:lang w:eastAsia="en-GB"/>
        </w:rPr>
        <w:t>-</w:t>
      </w:r>
      <w:r w:rsidR="00F630B1" w:rsidRPr="00647CD8">
        <w:rPr>
          <w:lang w:eastAsia="en-GB"/>
        </w:rPr>
        <w:t>UPS</w:t>
      </w:r>
      <w:r w:rsidR="006A3179" w:rsidRPr="00647CD8">
        <w:rPr>
          <w:lang w:eastAsia="en-GB"/>
        </w:rPr>
        <w:t xml:space="preserve">) and </w:t>
      </w:r>
      <w:r w:rsidRPr="00647CD8">
        <w:rPr>
          <w:lang w:eastAsia="en-GB"/>
        </w:rPr>
        <w:t xml:space="preserve">fuel oil </w:t>
      </w:r>
      <w:r w:rsidR="00B43113" w:rsidRPr="00647CD8">
        <w:rPr>
          <w:lang w:eastAsia="en-GB"/>
        </w:rPr>
        <w:t xml:space="preserve">powered </w:t>
      </w:r>
      <w:r w:rsidRPr="00647CD8">
        <w:rPr>
          <w:lang w:eastAsia="en-GB"/>
        </w:rPr>
        <w:t>generator</w:t>
      </w:r>
      <w:r w:rsidR="001377BA" w:rsidRPr="00647CD8">
        <w:rPr>
          <w:lang w:eastAsia="en-GB"/>
        </w:rPr>
        <w:t>s as</w:t>
      </w:r>
      <w:r w:rsidRPr="00647CD8">
        <w:rPr>
          <w:lang w:eastAsia="en-GB"/>
        </w:rPr>
        <w:t xml:space="preserve"> standby plant. </w:t>
      </w:r>
      <w:r w:rsidR="00B43113" w:rsidRPr="00647CD8">
        <w:rPr>
          <w:lang w:eastAsia="en-GB"/>
        </w:rPr>
        <w:t xml:space="preserve">Data centres </w:t>
      </w:r>
      <w:r w:rsidRPr="00647CD8">
        <w:rPr>
          <w:lang w:eastAsia="en-GB"/>
        </w:rPr>
        <w:t xml:space="preserve">tend to be located on strategic </w:t>
      </w:r>
      <w:r w:rsidR="008775CB" w:rsidRPr="00647CD8">
        <w:rPr>
          <w:lang w:eastAsia="en-GB"/>
        </w:rPr>
        <w:t xml:space="preserve">data </w:t>
      </w:r>
      <w:r w:rsidRPr="00647CD8">
        <w:rPr>
          <w:lang w:eastAsia="en-GB"/>
        </w:rPr>
        <w:t>networks or business hubs.</w:t>
      </w:r>
      <w:r w:rsidR="0075686B" w:rsidRPr="00647CD8">
        <w:rPr>
          <w:lang w:eastAsia="en-GB"/>
        </w:rPr>
        <w:t xml:space="preserve"> Data centres can be independent companies within the data centre service market or ‘sole enterprises’ such as banks, which provide the service for themselves.</w:t>
      </w:r>
    </w:p>
    <w:p w14:paraId="0A86D032" w14:textId="77777777" w:rsidR="002774FE" w:rsidRPr="00647CD8" w:rsidRDefault="002774FE" w:rsidP="00F6780A">
      <w:pPr>
        <w:rPr>
          <w:i/>
          <w:sz w:val="20"/>
          <w:lang w:eastAsia="en-GB"/>
        </w:rPr>
      </w:pPr>
      <w:r w:rsidRPr="00647CD8">
        <w:rPr>
          <w:i/>
          <w:sz w:val="20"/>
          <w:lang w:eastAsia="en-GB"/>
        </w:rPr>
        <w:t xml:space="preserve">There are many resilience configurations of installed </w:t>
      </w:r>
      <w:r w:rsidR="00B43113" w:rsidRPr="00647CD8">
        <w:rPr>
          <w:i/>
          <w:sz w:val="20"/>
          <w:lang w:eastAsia="en-GB"/>
        </w:rPr>
        <w:t xml:space="preserve">standby </w:t>
      </w:r>
      <w:r w:rsidRPr="00647CD8">
        <w:rPr>
          <w:i/>
          <w:sz w:val="20"/>
          <w:lang w:eastAsia="en-GB"/>
        </w:rPr>
        <w:t xml:space="preserve">generators providing </w:t>
      </w:r>
      <w:r w:rsidR="00FF1A4C" w:rsidRPr="00647CD8">
        <w:rPr>
          <w:i/>
          <w:sz w:val="20"/>
          <w:lang w:eastAsia="en-GB"/>
        </w:rPr>
        <w:t xml:space="preserve">for </w:t>
      </w:r>
      <w:r w:rsidRPr="00647CD8">
        <w:rPr>
          <w:i/>
          <w:sz w:val="20"/>
          <w:lang w:eastAsia="en-GB"/>
        </w:rPr>
        <w:t xml:space="preserve">the </w:t>
      </w:r>
      <w:r w:rsidR="00C81738" w:rsidRPr="00647CD8">
        <w:rPr>
          <w:i/>
          <w:sz w:val="20"/>
          <w:lang w:eastAsia="en-GB"/>
        </w:rPr>
        <w:t xml:space="preserve">electrical </w:t>
      </w:r>
      <w:r w:rsidRPr="00647CD8">
        <w:rPr>
          <w:i/>
          <w:sz w:val="20"/>
          <w:lang w:eastAsia="en-GB"/>
        </w:rPr>
        <w:t>load demand of the site</w:t>
      </w:r>
      <w:r w:rsidR="00E30145" w:rsidRPr="00647CD8">
        <w:rPr>
          <w:i/>
          <w:sz w:val="20"/>
          <w:lang w:eastAsia="en-GB"/>
        </w:rPr>
        <w:t xml:space="preserve"> (building and IT)</w:t>
      </w:r>
      <w:r w:rsidRPr="00647CD8">
        <w:rPr>
          <w:i/>
          <w:sz w:val="20"/>
          <w:lang w:eastAsia="en-GB"/>
        </w:rPr>
        <w:t xml:space="preserve">. Usually this is referred to using ‘n’ where n is the specified </w:t>
      </w:r>
      <w:r w:rsidR="00E30145" w:rsidRPr="00647CD8">
        <w:rPr>
          <w:i/>
          <w:sz w:val="20"/>
          <w:lang w:eastAsia="en-GB"/>
        </w:rPr>
        <w:t xml:space="preserve">MWelec </w:t>
      </w:r>
      <w:r w:rsidRPr="00647CD8">
        <w:rPr>
          <w:i/>
          <w:sz w:val="20"/>
          <w:lang w:eastAsia="en-GB"/>
        </w:rPr>
        <w:t xml:space="preserve">rate </w:t>
      </w:r>
      <w:r w:rsidR="00E30145" w:rsidRPr="00647CD8">
        <w:rPr>
          <w:i/>
          <w:sz w:val="20"/>
          <w:lang w:eastAsia="en-GB"/>
        </w:rPr>
        <w:t xml:space="preserve">delivered by a generator unit </w:t>
      </w:r>
      <w:r w:rsidRPr="00647CD8">
        <w:rPr>
          <w:i/>
          <w:sz w:val="20"/>
          <w:lang w:eastAsia="en-GB"/>
        </w:rPr>
        <w:t>required by</w:t>
      </w:r>
      <w:r w:rsidR="00C81738" w:rsidRPr="00647CD8">
        <w:rPr>
          <w:i/>
          <w:sz w:val="20"/>
          <w:lang w:eastAsia="en-GB"/>
        </w:rPr>
        <w:t xml:space="preserve"> the customer or standard. C</w:t>
      </w:r>
      <w:r w:rsidRPr="00647CD8">
        <w:rPr>
          <w:i/>
          <w:sz w:val="20"/>
          <w:lang w:eastAsia="en-GB"/>
        </w:rPr>
        <w:t>onfigurations may be for example simply n</w:t>
      </w:r>
      <w:r w:rsidR="00E30145" w:rsidRPr="00647CD8">
        <w:rPr>
          <w:i/>
          <w:sz w:val="20"/>
          <w:lang w:eastAsia="en-GB"/>
        </w:rPr>
        <w:t xml:space="preserve"> (i.e. n generators no spare)</w:t>
      </w:r>
      <w:r w:rsidRPr="00647CD8">
        <w:rPr>
          <w:i/>
          <w:sz w:val="20"/>
          <w:lang w:eastAsia="en-GB"/>
        </w:rPr>
        <w:t>, n+1 (i.e. 1 spare generator), 2n (twice as ma</w:t>
      </w:r>
      <w:r w:rsidR="00C81738" w:rsidRPr="00647CD8">
        <w:rPr>
          <w:i/>
          <w:sz w:val="20"/>
          <w:lang w:eastAsia="en-GB"/>
        </w:rPr>
        <w:t xml:space="preserve">ny generators as load suggests), </w:t>
      </w:r>
      <w:r w:rsidRPr="00647CD8">
        <w:rPr>
          <w:i/>
          <w:sz w:val="20"/>
          <w:lang w:eastAsia="en-GB"/>
        </w:rPr>
        <w:t>2n + 1.</w:t>
      </w:r>
      <w:r w:rsidR="00C81738" w:rsidRPr="00647CD8">
        <w:rPr>
          <w:i/>
          <w:sz w:val="20"/>
          <w:lang w:eastAsia="en-GB"/>
        </w:rPr>
        <w:t xml:space="preserve"> It is also noted that often </w:t>
      </w:r>
      <w:r w:rsidR="00E30145" w:rsidRPr="00647CD8">
        <w:rPr>
          <w:i/>
          <w:sz w:val="20"/>
          <w:lang w:eastAsia="en-GB"/>
        </w:rPr>
        <w:t xml:space="preserve">IT </w:t>
      </w:r>
      <w:r w:rsidR="00C81738" w:rsidRPr="00647CD8">
        <w:rPr>
          <w:i/>
          <w:sz w:val="20"/>
          <w:lang w:eastAsia="en-GB"/>
        </w:rPr>
        <w:t xml:space="preserve">customers build resilience into the original n specified, that is n itself includes additional spare load headroom. In this text for illustrative purposes 2n is the exemplar. </w:t>
      </w:r>
    </w:p>
    <w:p w14:paraId="70EDC409" w14:textId="77777777" w:rsidR="00B87C22" w:rsidRPr="00647CD8" w:rsidRDefault="00B87C22" w:rsidP="00B87C22">
      <w:pPr>
        <w:pStyle w:val="Heading2"/>
        <w:rPr>
          <w:color w:val="auto"/>
        </w:rPr>
      </w:pPr>
      <w:bookmarkStart w:id="2" w:name="_Toc517419536"/>
      <w:r w:rsidRPr="00647CD8">
        <w:rPr>
          <w:color w:val="auto"/>
        </w:rPr>
        <w:t xml:space="preserve">Bullet point key aspects of data centre </w:t>
      </w:r>
      <w:r w:rsidR="007C34EB" w:rsidRPr="00647CD8">
        <w:rPr>
          <w:color w:val="auto"/>
        </w:rPr>
        <w:t>permitting</w:t>
      </w:r>
      <w:bookmarkEnd w:id="2"/>
    </w:p>
    <w:p w14:paraId="6C867E1C" w14:textId="77777777" w:rsidR="00BB78B7" w:rsidRPr="00647CD8" w:rsidRDefault="00BB78B7" w:rsidP="00B87C22">
      <w:pPr>
        <w:rPr>
          <w:lang w:eastAsia="en-GB"/>
        </w:rPr>
      </w:pPr>
    </w:p>
    <w:p w14:paraId="7EA0E749" w14:textId="77777777" w:rsidR="00E81AC6" w:rsidRPr="00647CD8" w:rsidRDefault="00E81AC6" w:rsidP="00E81AC6">
      <w:pPr>
        <w:rPr>
          <w:lang w:eastAsia="en-GB"/>
        </w:rPr>
      </w:pPr>
      <w:r w:rsidRPr="00647CD8">
        <w:rPr>
          <w:lang w:eastAsia="en-GB"/>
        </w:rPr>
        <w:lastRenderedPageBreak/>
        <w:t>We are permitting the combustion activity not the Data Centre operation itself .</w:t>
      </w:r>
      <w:r w:rsidR="000A13DB" w:rsidRPr="00647CD8">
        <w:rPr>
          <w:lang w:eastAsia="en-GB"/>
        </w:rPr>
        <w:t xml:space="preserve">The summary headlines for the standby plant in a data centre </w:t>
      </w:r>
      <w:r w:rsidR="00BB78B7" w:rsidRPr="00647CD8">
        <w:rPr>
          <w:lang w:eastAsia="en-GB"/>
        </w:rPr>
        <w:t>role (</w:t>
      </w:r>
      <w:r w:rsidR="000A13DB" w:rsidRPr="00647CD8">
        <w:rPr>
          <w:lang w:eastAsia="en-GB"/>
        </w:rPr>
        <w:t xml:space="preserve">i.e. </w:t>
      </w:r>
      <w:r w:rsidR="001377BA" w:rsidRPr="00647CD8">
        <w:rPr>
          <w:lang w:eastAsia="en-GB"/>
        </w:rPr>
        <w:t xml:space="preserve">any </w:t>
      </w:r>
      <w:r w:rsidR="000A13DB" w:rsidRPr="00647CD8">
        <w:rPr>
          <w:lang w:eastAsia="en-GB"/>
        </w:rPr>
        <w:t xml:space="preserve">boilers </w:t>
      </w:r>
      <w:r w:rsidR="001377BA" w:rsidRPr="00647CD8">
        <w:rPr>
          <w:lang w:eastAsia="en-GB"/>
        </w:rPr>
        <w:t xml:space="preserve">used by sole enterprises </w:t>
      </w:r>
      <w:r w:rsidR="00BB78B7" w:rsidRPr="00647CD8">
        <w:rPr>
          <w:lang w:eastAsia="en-GB"/>
        </w:rPr>
        <w:t xml:space="preserve">are obviously treated as </w:t>
      </w:r>
      <w:r w:rsidR="001377BA" w:rsidRPr="00647CD8">
        <w:rPr>
          <w:lang w:eastAsia="en-GB"/>
        </w:rPr>
        <w:t>normal</w:t>
      </w:r>
      <w:r w:rsidR="00CC677A" w:rsidRPr="00647CD8">
        <w:rPr>
          <w:lang w:eastAsia="en-GB"/>
        </w:rPr>
        <w:t xml:space="preserve"> under EPR</w:t>
      </w:r>
      <w:r w:rsidR="001377BA" w:rsidRPr="00647CD8">
        <w:rPr>
          <w:lang w:eastAsia="en-GB"/>
        </w:rPr>
        <w:t xml:space="preserve"> if &gt;1MWth</w:t>
      </w:r>
      <w:r w:rsidR="00BB78B7" w:rsidRPr="00647CD8">
        <w:rPr>
          <w:lang w:eastAsia="en-GB"/>
        </w:rPr>
        <w:t>)</w:t>
      </w:r>
      <w:r w:rsidR="000A13DB" w:rsidRPr="00647CD8">
        <w:rPr>
          <w:lang w:eastAsia="en-GB"/>
        </w:rPr>
        <w:t xml:space="preserve"> </w:t>
      </w:r>
      <w:r w:rsidR="000C0E96" w:rsidRPr="00647CD8">
        <w:rPr>
          <w:lang w:eastAsia="en-GB"/>
        </w:rPr>
        <w:t>are</w:t>
      </w:r>
      <w:r w:rsidR="00B87C22" w:rsidRPr="00647CD8">
        <w:rPr>
          <w:lang w:eastAsia="en-GB"/>
        </w:rPr>
        <w:t>:</w:t>
      </w:r>
    </w:p>
    <w:p w14:paraId="7DD5EA1B" w14:textId="77777777" w:rsidR="008775CB" w:rsidRPr="00647CD8" w:rsidRDefault="006D1A88" w:rsidP="00CB57C9">
      <w:pPr>
        <w:pStyle w:val="ListParagraph"/>
        <w:numPr>
          <w:ilvl w:val="0"/>
          <w:numId w:val="8"/>
        </w:numPr>
        <w:tabs>
          <w:tab w:val="clear" w:pos="1168"/>
        </w:tabs>
        <w:ind w:left="1560" w:hanging="851"/>
        <w:jc w:val="both"/>
        <w:rPr>
          <w:lang w:eastAsia="en-GB"/>
        </w:rPr>
      </w:pPr>
      <w:r w:rsidRPr="00647CD8">
        <w:rPr>
          <w:lang w:eastAsia="en-GB"/>
        </w:rPr>
        <w:t xml:space="preserve">We accept that </w:t>
      </w:r>
      <w:r w:rsidR="00CC677A" w:rsidRPr="00647CD8">
        <w:rPr>
          <w:lang w:eastAsia="en-GB"/>
        </w:rPr>
        <w:t xml:space="preserve">oil fired </w:t>
      </w:r>
      <w:r w:rsidRPr="00647CD8">
        <w:rPr>
          <w:lang w:eastAsia="en-GB"/>
        </w:rPr>
        <w:t xml:space="preserve">diesel generators are </w:t>
      </w:r>
      <w:r w:rsidR="00B43113" w:rsidRPr="00647CD8">
        <w:rPr>
          <w:lang w:eastAsia="en-GB"/>
        </w:rPr>
        <w:t xml:space="preserve">presently </w:t>
      </w:r>
      <w:r w:rsidRPr="00647CD8">
        <w:rPr>
          <w:lang w:eastAsia="en-GB"/>
        </w:rPr>
        <w:t>the default technology for standby generators in data centres</w:t>
      </w:r>
      <w:r w:rsidR="003A1E76" w:rsidRPr="00647CD8">
        <w:rPr>
          <w:lang w:eastAsia="en-GB"/>
        </w:rPr>
        <w:t>.</w:t>
      </w:r>
      <w:r w:rsidR="005B60A4" w:rsidRPr="00647CD8">
        <w:rPr>
          <w:lang w:eastAsia="en-GB"/>
        </w:rPr>
        <w:t xml:space="preserve"> However the permit application still requires a BAT discussion detailing the choice of engine, the particular configuration and plant sizing meeting the standby arrangement (e.g. 2n).</w:t>
      </w:r>
      <w:r w:rsidR="008775CB" w:rsidRPr="00647CD8">
        <w:rPr>
          <w:lang w:eastAsia="en-GB"/>
        </w:rPr>
        <w:t xml:space="preserve"> </w:t>
      </w:r>
    </w:p>
    <w:p w14:paraId="12830120" w14:textId="77777777" w:rsidR="000A13DB" w:rsidRPr="00647CD8" w:rsidRDefault="008775CB" w:rsidP="00CB57C9">
      <w:pPr>
        <w:pStyle w:val="ListParagraph"/>
        <w:numPr>
          <w:ilvl w:val="0"/>
          <w:numId w:val="8"/>
        </w:numPr>
        <w:tabs>
          <w:tab w:val="clear" w:pos="1168"/>
        </w:tabs>
        <w:ind w:left="1560" w:hanging="851"/>
        <w:jc w:val="both"/>
        <w:rPr>
          <w:lang w:eastAsia="en-GB"/>
        </w:rPr>
      </w:pPr>
      <w:r w:rsidRPr="00647CD8">
        <w:rPr>
          <w:lang w:eastAsia="en-GB"/>
        </w:rPr>
        <w:t>Standby engine capacities are added together in MWthermal input at the quoted standby rating, being usually 110% of the continuous rating (if &gt;=50MWth the</w:t>
      </w:r>
      <w:r w:rsidR="00B43113" w:rsidRPr="00647CD8">
        <w:rPr>
          <w:lang w:eastAsia="en-GB"/>
        </w:rPr>
        <w:t xml:space="preserve"> site then </w:t>
      </w:r>
      <w:r w:rsidRPr="00647CD8">
        <w:rPr>
          <w:lang w:eastAsia="en-GB"/>
        </w:rPr>
        <w:t>need</w:t>
      </w:r>
      <w:r w:rsidR="00B43113" w:rsidRPr="00647CD8">
        <w:rPr>
          <w:lang w:eastAsia="en-GB"/>
        </w:rPr>
        <w:t>s</w:t>
      </w:r>
      <w:r w:rsidRPr="00647CD8">
        <w:rPr>
          <w:lang w:eastAsia="en-GB"/>
        </w:rPr>
        <w:t xml:space="preserve"> an EA 1.1A </w:t>
      </w:r>
      <w:r w:rsidR="00B43113" w:rsidRPr="00647CD8">
        <w:rPr>
          <w:lang w:eastAsia="en-GB"/>
        </w:rPr>
        <w:t xml:space="preserve">Combustion Activity </w:t>
      </w:r>
      <w:r w:rsidRPr="00647CD8">
        <w:rPr>
          <w:lang w:eastAsia="en-GB"/>
        </w:rPr>
        <w:t>EPR permit)</w:t>
      </w:r>
    </w:p>
    <w:p w14:paraId="46CEF115" w14:textId="77777777" w:rsidR="001308BC" w:rsidRPr="00647CD8" w:rsidRDefault="0075686B" w:rsidP="00CB57C9">
      <w:pPr>
        <w:pStyle w:val="ListParagraph"/>
        <w:numPr>
          <w:ilvl w:val="0"/>
          <w:numId w:val="8"/>
        </w:numPr>
        <w:tabs>
          <w:tab w:val="clear" w:pos="1168"/>
        </w:tabs>
        <w:ind w:left="1560" w:hanging="851"/>
        <w:jc w:val="both"/>
        <w:rPr>
          <w:lang w:eastAsia="en-GB"/>
        </w:rPr>
      </w:pPr>
      <w:r w:rsidRPr="00647CD8">
        <w:rPr>
          <w:lang w:eastAsia="en-GB"/>
        </w:rPr>
        <w:t xml:space="preserve">If precise </w:t>
      </w:r>
      <w:r w:rsidR="00B43113" w:rsidRPr="00647CD8">
        <w:rPr>
          <w:lang w:eastAsia="en-GB"/>
        </w:rPr>
        <w:t xml:space="preserve">MWth </w:t>
      </w:r>
      <w:r w:rsidRPr="00647CD8">
        <w:rPr>
          <w:lang w:eastAsia="en-GB"/>
        </w:rPr>
        <w:t>figures are unavailable</w:t>
      </w:r>
      <w:r w:rsidR="00B43113" w:rsidRPr="00647CD8">
        <w:rPr>
          <w:lang w:eastAsia="en-GB"/>
        </w:rPr>
        <w:t xml:space="preserve"> and spec sheets or face-plates are unclear</w:t>
      </w:r>
      <w:r w:rsidR="001E4F3F" w:rsidRPr="00647CD8">
        <w:rPr>
          <w:lang w:eastAsia="en-GB"/>
        </w:rPr>
        <w:t>,</w:t>
      </w:r>
      <w:r w:rsidR="001308BC" w:rsidRPr="00647CD8">
        <w:rPr>
          <w:lang w:eastAsia="en-GB"/>
        </w:rPr>
        <w:t xml:space="preserve"> the calculation for MWth </w:t>
      </w:r>
      <w:r w:rsidRPr="00647CD8">
        <w:rPr>
          <w:lang w:eastAsia="en-GB"/>
        </w:rPr>
        <w:t xml:space="preserve">derived </w:t>
      </w:r>
      <w:r w:rsidR="001308BC" w:rsidRPr="00647CD8">
        <w:rPr>
          <w:lang w:eastAsia="en-GB"/>
        </w:rPr>
        <w:t xml:space="preserve">from MVA </w:t>
      </w:r>
      <w:r w:rsidR="008775CB" w:rsidRPr="00647CD8">
        <w:rPr>
          <w:lang w:eastAsia="en-GB"/>
        </w:rPr>
        <w:t xml:space="preserve">output </w:t>
      </w:r>
      <w:r w:rsidR="001308BC" w:rsidRPr="00647CD8">
        <w:rPr>
          <w:lang w:eastAsia="en-GB"/>
        </w:rPr>
        <w:t>is</w:t>
      </w:r>
      <w:r w:rsidR="00A51DF6" w:rsidRPr="00647CD8">
        <w:rPr>
          <w:lang w:eastAsia="en-GB"/>
        </w:rPr>
        <w:t xml:space="preserve"> based on</w:t>
      </w:r>
      <w:r w:rsidRPr="00647CD8">
        <w:rPr>
          <w:lang w:eastAsia="en-GB"/>
        </w:rPr>
        <w:t>: power factor 0.8 and a</w:t>
      </w:r>
      <w:r w:rsidR="00057647" w:rsidRPr="00647CD8">
        <w:rPr>
          <w:lang w:eastAsia="en-GB"/>
        </w:rPr>
        <w:t>n assumed poor</w:t>
      </w:r>
      <w:r w:rsidRPr="00647CD8">
        <w:rPr>
          <w:lang w:eastAsia="en-GB"/>
        </w:rPr>
        <w:t xml:space="preserve"> conversion</w:t>
      </w:r>
      <w:r w:rsidR="001308BC" w:rsidRPr="00647CD8">
        <w:rPr>
          <w:lang w:eastAsia="en-GB"/>
        </w:rPr>
        <w:t xml:space="preserve"> efficiency of 0.35</w:t>
      </w:r>
      <w:r w:rsidRPr="00647CD8">
        <w:rPr>
          <w:lang w:eastAsia="en-GB"/>
        </w:rPr>
        <w:t xml:space="preserve"> for</w:t>
      </w:r>
      <w:r w:rsidR="001308BC" w:rsidRPr="00647CD8">
        <w:rPr>
          <w:lang w:eastAsia="en-GB"/>
        </w:rPr>
        <w:t xml:space="preserve"> MWth to MWelec e.g. 3MVA = (3*0.8)/0.35 = 6.86MWth</w:t>
      </w:r>
      <w:r w:rsidRPr="00647CD8">
        <w:rPr>
          <w:lang w:eastAsia="en-GB"/>
        </w:rPr>
        <w:t>.</w:t>
      </w:r>
    </w:p>
    <w:p w14:paraId="0C037EE9" w14:textId="77777777" w:rsidR="0098123C" w:rsidRPr="00647CD8" w:rsidRDefault="000A13DB" w:rsidP="00CB57C9">
      <w:pPr>
        <w:pStyle w:val="ListParagraph"/>
        <w:numPr>
          <w:ilvl w:val="0"/>
          <w:numId w:val="8"/>
        </w:numPr>
        <w:tabs>
          <w:tab w:val="clear" w:pos="1168"/>
        </w:tabs>
        <w:ind w:left="1560" w:hanging="851"/>
        <w:jc w:val="both"/>
        <w:rPr>
          <w:lang w:eastAsia="en-GB"/>
        </w:rPr>
      </w:pPr>
      <w:r w:rsidRPr="00647CD8">
        <w:rPr>
          <w:lang w:eastAsia="en-GB"/>
        </w:rPr>
        <w:t xml:space="preserve">The </w:t>
      </w:r>
      <w:r w:rsidR="00A51DF6" w:rsidRPr="00647CD8">
        <w:rPr>
          <w:lang w:eastAsia="en-GB"/>
        </w:rPr>
        <w:t xml:space="preserve">sum of generator plant capacities </w:t>
      </w:r>
      <w:r w:rsidRPr="00647CD8">
        <w:rPr>
          <w:lang w:eastAsia="en-GB"/>
        </w:rPr>
        <w:t xml:space="preserve">is </w:t>
      </w:r>
      <w:r w:rsidR="001E4F3F" w:rsidRPr="00647CD8">
        <w:rPr>
          <w:lang w:eastAsia="en-GB"/>
        </w:rPr>
        <w:t xml:space="preserve">based </w:t>
      </w:r>
      <w:r w:rsidRPr="00647CD8">
        <w:rPr>
          <w:lang w:eastAsia="en-GB"/>
        </w:rPr>
        <w:t>only on MWth</w:t>
      </w:r>
      <w:r w:rsidR="008E3488" w:rsidRPr="00647CD8">
        <w:rPr>
          <w:lang w:eastAsia="en-GB"/>
        </w:rPr>
        <w:t>ermal</w:t>
      </w:r>
      <w:r w:rsidRPr="00647CD8">
        <w:rPr>
          <w:lang w:eastAsia="en-GB"/>
        </w:rPr>
        <w:t xml:space="preserve"> </w:t>
      </w:r>
      <w:r w:rsidRPr="00647CD8">
        <w:rPr>
          <w:u w:val="single"/>
          <w:lang w:eastAsia="en-GB"/>
        </w:rPr>
        <w:t>inputs</w:t>
      </w:r>
      <w:r w:rsidRPr="00647CD8">
        <w:rPr>
          <w:lang w:eastAsia="en-GB"/>
        </w:rPr>
        <w:t xml:space="preserve"> </w:t>
      </w:r>
      <w:r w:rsidR="001E4F3F" w:rsidRPr="00647CD8">
        <w:rPr>
          <w:lang w:eastAsia="en-GB"/>
        </w:rPr>
        <w:t xml:space="preserve">of all plant regardless of </w:t>
      </w:r>
      <w:r w:rsidR="00A51DF6" w:rsidRPr="00647CD8">
        <w:rPr>
          <w:lang w:eastAsia="en-GB"/>
        </w:rPr>
        <w:t xml:space="preserve">the standby </w:t>
      </w:r>
      <w:r w:rsidR="001E4F3F" w:rsidRPr="00647CD8">
        <w:rPr>
          <w:lang w:eastAsia="en-GB"/>
        </w:rPr>
        <w:t xml:space="preserve">configuration. </w:t>
      </w:r>
      <w:r w:rsidR="004F0719" w:rsidRPr="00647CD8">
        <w:rPr>
          <w:lang w:eastAsia="en-GB"/>
        </w:rPr>
        <w:t>MWelec output constraints such a</w:t>
      </w:r>
      <w:r w:rsidR="001E4F3F" w:rsidRPr="00647CD8">
        <w:rPr>
          <w:lang w:eastAsia="en-GB"/>
        </w:rPr>
        <w:t>s</w:t>
      </w:r>
      <w:r w:rsidR="004F0719" w:rsidRPr="00647CD8">
        <w:rPr>
          <w:lang w:eastAsia="en-GB"/>
        </w:rPr>
        <w:t xml:space="preserve"> realistic customer load or other practical output limiting factors do not constitute a limit to the MWth input as defined in </w:t>
      </w:r>
      <w:r w:rsidR="00FE5792" w:rsidRPr="00647CD8">
        <w:rPr>
          <w:lang w:eastAsia="en-GB"/>
        </w:rPr>
        <w:t xml:space="preserve">the EA’s guide </w:t>
      </w:r>
      <w:r w:rsidR="004F0719" w:rsidRPr="00647CD8">
        <w:rPr>
          <w:lang w:eastAsia="en-GB"/>
        </w:rPr>
        <w:t>RGN02</w:t>
      </w:r>
      <w:r w:rsidRPr="00647CD8">
        <w:rPr>
          <w:lang w:eastAsia="en-GB"/>
        </w:rPr>
        <w:t>.</w:t>
      </w:r>
      <w:r w:rsidR="0098123C" w:rsidRPr="00647CD8">
        <w:rPr>
          <w:lang w:eastAsia="en-GB"/>
        </w:rPr>
        <w:t xml:space="preserve"> </w:t>
      </w:r>
    </w:p>
    <w:p w14:paraId="7D2860AC" w14:textId="77777777" w:rsidR="0098123C" w:rsidRPr="00647CD8" w:rsidRDefault="00B43113" w:rsidP="00CB57C9">
      <w:pPr>
        <w:pStyle w:val="ListParagraph"/>
        <w:numPr>
          <w:ilvl w:val="0"/>
          <w:numId w:val="8"/>
        </w:numPr>
        <w:tabs>
          <w:tab w:val="clear" w:pos="1168"/>
        </w:tabs>
        <w:ind w:left="1560" w:hanging="851"/>
        <w:jc w:val="both"/>
        <w:rPr>
          <w:lang w:eastAsia="en-GB"/>
        </w:rPr>
      </w:pPr>
      <w:r w:rsidRPr="00647CD8">
        <w:t>Proximity of data centres with a c</w:t>
      </w:r>
      <w:r w:rsidR="005B60A4" w:rsidRPr="00647CD8">
        <w:t>ompany campus, adjacent</w:t>
      </w:r>
      <w:r w:rsidR="001E4F3F" w:rsidRPr="00647CD8">
        <w:t>, neighbouring</w:t>
      </w:r>
      <w:r w:rsidR="005B60A4" w:rsidRPr="00647CD8">
        <w:t xml:space="preserve"> or close-by buildings in urban locations (e.g. within a common trading estate but only separated by a road width</w:t>
      </w:r>
      <w:r w:rsidRPr="00647CD8">
        <w:t xml:space="preserve"> or notional distance</w:t>
      </w:r>
      <w:r w:rsidR="005B60A4" w:rsidRPr="00647CD8">
        <w:t xml:space="preserve">) </w:t>
      </w:r>
      <w:r w:rsidRPr="00647CD8">
        <w:t xml:space="preserve">may constitute </w:t>
      </w:r>
      <w:r w:rsidR="005B60A4" w:rsidRPr="00647CD8">
        <w:t>a single site</w:t>
      </w:r>
      <w:r w:rsidR="0098123C" w:rsidRPr="00647CD8">
        <w:rPr>
          <w:lang w:eastAsia="en-GB"/>
        </w:rPr>
        <w:t xml:space="preserve"> for </w:t>
      </w:r>
      <w:r w:rsidR="008E3488" w:rsidRPr="00647CD8">
        <w:rPr>
          <w:lang w:eastAsia="en-GB"/>
        </w:rPr>
        <w:t>determining the boundary of the installation</w:t>
      </w:r>
      <w:r w:rsidR="0098123C" w:rsidRPr="00647CD8">
        <w:rPr>
          <w:lang w:eastAsia="en-GB"/>
        </w:rPr>
        <w:t xml:space="preserve"> as ‘same site – same operator’ </w:t>
      </w:r>
      <w:r w:rsidR="004C353F" w:rsidRPr="00647CD8">
        <w:rPr>
          <w:lang w:eastAsia="en-GB"/>
        </w:rPr>
        <w:t>as per</w:t>
      </w:r>
      <w:r w:rsidR="0098123C" w:rsidRPr="00647CD8">
        <w:rPr>
          <w:lang w:eastAsia="en-GB"/>
        </w:rPr>
        <w:t xml:space="preserve"> RGN02</w:t>
      </w:r>
      <w:r w:rsidRPr="00647CD8">
        <w:rPr>
          <w:lang w:eastAsia="en-GB"/>
        </w:rPr>
        <w:t xml:space="preserve"> – see the details in the text</w:t>
      </w:r>
    </w:p>
    <w:p w14:paraId="111190E3" w14:textId="77777777" w:rsidR="00D7055F" w:rsidRPr="00647CD8" w:rsidRDefault="000A13DB" w:rsidP="00CB57C9">
      <w:pPr>
        <w:pStyle w:val="ListParagraph"/>
        <w:numPr>
          <w:ilvl w:val="0"/>
          <w:numId w:val="8"/>
        </w:numPr>
        <w:tabs>
          <w:tab w:val="clear" w:pos="1168"/>
        </w:tabs>
        <w:ind w:left="1560" w:hanging="851"/>
        <w:jc w:val="both"/>
        <w:rPr>
          <w:lang w:eastAsia="en-GB"/>
        </w:rPr>
      </w:pPr>
      <w:r w:rsidRPr="00647CD8">
        <w:rPr>
          <w:lang w:eastAsia="en-GB"/>
        </w:rPr>
        <w:t>Permit</w:t>
      </w:r>
      <w:r w:rsidR="00E05C41" w:rsidRPr="00647CD8">
        <w:rPr>
          <w:lang w:eastAsia="en-GB"/>
        </w:rPr>
        <w:t>s</w:t>
      </w:r>
      <w:r w:rsidRPr="00647CD8">
        <w:rPr>
          <w:lang w:eastAsia="en-GB"/>
        </w:rPr>
        <w:t xml:space="preserve"> will </w:t>
      </w:r>
      <w:r w:rsidR="004F0719" w:rsidRPr="00647CD8">
        <w:rPr>
          <w:lang w:eastAsia="en-GB"/>
        </w:rPr>
        <w:t>include</w:t>
      </w:r>
      <w:r w:rsidRPr="00647CD8">
        <w:rPr>
          <w:lang w:eastAsia="en-GB"/>
        </w:rPr>
        <w:t xml:space="preserve"> a </w:t>
      </w:r>
      <w:r w:rsidR="005B60A4" w:rsidRPr="00647CD8">
        <w:rPr>
          <w:lang w:eastAsia="en-GB"/>
        </w:rPr>
        <w:t xml:space="preserve">maximum </w:t>
      </w:r>
      <w:r w:rsidRPr="00647CD8">
        <w:rPr>
          <w:lang w:eastAsia="en-GB"/>
        </w:rPr>
        <w:t>500 hour ‘emergency/standby operational limit</w:t>
      </w:r>
      <w:r w:rsidR="00A67F3D" w:rsidRPr="00647CD8">
        <w:rPr>
          <w:lang w:eastAsia="en-GB"/>
        </w:rPr>
        <w:t>’</w:t>
      </w:r>
      <w:r w:rsidRPr="00647CD8">
        <w:rPr>
          <w:lang w:eastAsia="en-GB"/>
        </w:rPr>
        <w:t xml:space="preserve"> </w:t>
      </w:r>
      <w:r w:rsidR="001E4F3F" w:rsidRPr="00647CD8">
        <w:rPr>
          <w:lang w:eastAsia="en-GB"/>
        </w:rPr>
        <w:t xml:space="preserve">for </w:t>
      </w:r>
      <w:r w:rsidR="00FD4CA5" w:rsidRPr="00647CD8">
        <w:rPr>
          <w:lang w:eastAsia="en-GB"/>
        </w:rPr>
        <w:t>any or all the plant</w:t>
      </w:r>
      <w:r w:rsidR="001E4F3F" w:rsidRPr="00647CD8">
        <w:rPr>
          <w:lang w:eastAsia="en-GB"/>
        </w:rPr>
        <w:t xml:space="preserve"> </w:t>
      </w:r>
      <w:r w:rsidR="0055422A" w:rsidRPr="00647CD8">
        <w:rPr>
          <w:lang w:eastAsia="en-GB"/>
        </w:rPr>
        <w:t>producing on</w:t>
      </w:r>
      <w:r w:rsidR="00FE5792" w:rsidRPr="00647CD8">
        <w:rPr>
          <w:lang w:eastAsia="en-GB"/>
        </w:rPr>
        <w:t>-</w:t>
      </w:r>
      <w:r w:rsidR="0055422A" w:rsidRPr="00647CD8">
        <w:rPr>
          <w:lang w:eastAsia="en-GB"/>
        </w:rPr>
        <w:t xml:space="preserve">site power </w:t>
      </w:r>
      <w:r w:rsidR="008775CB" w:rsidRPr="00647CD8">
        <w:rPr>
          <w:lang w:eastAsia="en-GB"/>
        </w:rPr>
        <w:t xml:space="preserve">under the limits of </w:t>
      </w:r>
      <w:r w:rsidR="00FE5792" w:rsidRPr="00647CD8">
        <w:rPr>
          <w:lang w:eastAsia="en-GB"/>
        </w:rPr>
        <w:t xml:space="preserve">the combustion </w:t>
      </w:r>
      <w:r w:rsidR="008775CB" w:rsidRPr="00647CD8">
        <w:rPr>
          <w:lang w:eastAsia="en-GB"/>
        </w:rPr>
        <w:t xml:space="preserve">activity; </w:t>
      </w:r>
      <w:r w:rsidRPr="00647CD8">
        <w:rPr>
          <w:lang w:eastAsia="en-GB"/>
        </w:rPr>
        <w:t xml:space="preserve">and </w:t>
      </w:r>
      <w:r w:rsidR="008775CB" w:rsidRPr="00647CD8">
        <w:rPr>
          <w:lang w:eastAsia="en-GB"/>
        </w:rPr>
        <w:t>thereby</w:t>
      </w:r>
      <w:r w:rsidRPr="00647CD8">
        <w:rPr>
          <w:lang w:eastAsia="en-GB"/>
        </w:rPr>
        <w:t xml:space="preserve"> </w:t>
      </w:r>
      <w:r w:rsidR="0075686B" w:rsidRPr="00647CD8">
        <w:rPr>
          <w:lang w:eastAsia="en-GB"/>
        </w:rPr>
        <w:t xml:space="preserve">emission limit values </w:t>
      </w:r>
      <w:r w:rsidRPr="00647CD8">
        <w:rPr>
          <w:lang w:eastAsia="en-GB"/>
        </w:rPr>
        <w:t xml:space="preserve">ELVs </w:t>
      </w:r>
      <w:r w:rsidR="0075686B" w:rsidRPr="00647CD8">
        <w:rPr>
          <w:lang w:eastAsia="en-GB"/>
        </w:rPr>
        <w:t xml:space="preserve">to air </w:t>
      </w:r>
      <w:r w:rsidR="00FE5792" w:rsidRPr="00647CD8">
        <w:rPr>
          <w:lang w:eastAsia="en-GB"/>
        </w:rPr>
        <w:t xml:space="preserve">(and thus engine emissions monitoring) </w:t>
      </w:r>
      <w:r w:rsidRPr="00647CD8">
        <w:rPr>
          <w:lang w:eastAsia="en-GB"/>
        </w:rPr>
        <w:t xml:space="preserve">are not </w:t>
      </w:r>
      <w:r w:rsidR="008E3488" w:rsidRPr="00647CD8">
        <w:rPr>
          <w:lang w:eastAsia="en-GB"/>
        </w:rPr>
        <w:t>required within</w:t>
      </w:r>
      <w:r w:rsidRPr="00647CD8">
        <w:rPr>
          <w:lang w:eastAsia="en-GB"/>
        </w:rPr>
        <w:t xml:space="preserve"> the permit.</w:t>
      </w:r>
      <w:r w:rsidR="005B60A4" w:rsidRPr="00647CD8">
        <w:rPr>
          <w:lang w:eastAsia="en-GB"/>
        </w:rPr>
        <w:t xml:space="preserve"> </w:t>
      </w:r>
    </w:p>
    <w:p w14:paraId="69F0053E" w14:textId="77777777" w:rsidR="000A13DB" w:rsidRPr="00647CD8" w:rsidRDefault="005544C8" w:rsidP="00CB57C9">
      <w:pPr>
        <w:pStyle w:val="ListParagraph"/>
        <w:numPr>
          <w:ilvl w:val="0"/>
          <w:numId w:val="8"/>
        </w:numPr>
        <w:tabs>
          <w:tab w:val="clear" w:pos="1168"/>
        </w:tabs>
        <w:ind w:left="1560" w:hanging="851"/>
        <w:jc w:val="both"/>
        <w:rPr>
          <w:lang w:eastAsia="en-GB"/>
        </w:rPr>
      </w:pPr>
      <w:r w:rsidRPr="00647CD8">
        <w:rPr>
          <w:lang w:eastAsia="en-GB"/>
        </w:rPr>
        <w:t>Emergency hours’</w:t>
      </w:r>
      <w:r w:rsidR="00FE5792" w:rsidRPr="00647CD8">
        <w:rPr>
          <w:lang w:eastAsia="en-GB"/>
        </w:rPr>
        <w:t xml:space="preserve"> operation i</w:t>
      </w:r>
      <w:r w:rsidR="004C353F" w:rsidRPr="00647CD8">
        <w:rPr>
          <w:lang w:eastAsia="en-GB"/>
        </w:rPr>
        <w:t xml:space="preserve">ncludes those </w:t>
      </w:r>
      <w:r w:rsidR="00D7055F" w:rsidRPr="00647CD8">
        <w:rPr>
          <w:lang w:eastAsia="en-GB"/>
        </w:rPr>
        <w:t xml:space="preserve">unplanned </w:t>
      </w:r>
      <w:r w:rsidR="004C353F" w:rsidRPr="00647CD8">
        <w:rPr>
          <w:lang w:eastAsia="en-GB"/>
        </w:rPr>
        <w:t>hours required to</w:t>
      </w:r>
      <w:r w:rsidR="00D7055F" w:rsidRPr="00647CD8">
        <w:rPr>
          <w:lang w:eastAsia="en-GB"/>
        </w:rPr>
        <w:t xml:space="preserve"> com</w:t>
      </w:r>
      <w:r w:rsidR="008775CB" w:rsidRPr="00647CD8">
        <w:rPr>
          <w:lang w:eastAsia="en-GB"/>
        </w:rPr>
        <w:t>e off</w:t>
      </w:r>
      <w:r w:rsidR="00D7055F" w:rsidRPr="00647CD8">
        <w:rPr>
          <w:lang w:eastAsia="en-GB"/>
        </w:rPr>
        <w:t xml:space="preserve"> grid to </w:t>
      </w:r>
      <w:r w:rsidR="008775CB" w:rsidRPr="00647CD8">
        <w:rPr>
          <w:lang w:eastAsia="en-GB"/>
        </w:rPr>
        <w:t xml:space="preserve">make emergency </w:t>
      </w:r>
      <w:r w:rsidR="004C353F" w:rsidRPr="00647CD8">
        <w:rPr>
          <w:lang w:eastAsia="en-GB"/>
        </w:rPr>
        <w:t xml:space="preserve">repair </w:t>
      </w:r>
      <w:r w:rsidR="008775CB" w:rsidRPr="00647CD8">
        <w:rPr>
          <w:lang w:eastAsia="en-GB"/>
        </w:rPr>
        <w:t xml:space="preserve">of </w:t>
      </w:r>
      <w:r w:rsidR="004C353F" w:rsidRPr="00647CD8">
        <w:rPr>
          <w:lang w:eastAsia="en-GB"/>
        </w:rPr>
        <w:t xml:space="preserve">electrical infrastructure associated </w:t>
      </w:r>
      <w:r w:rsidR="00F630B1" w:rsidRPr="00647CD8">
        <w:rPr>
          <w:lang w:eastAsia="en-GB"/>
        </w:rPr>
        <w:t xml:space="preserve">but </w:t>
      </w:r>
      <w:r w:rsidR="001377BA" w:rsidRPr="00647CD8">
        <w:rPr>
          <w:lang w:eastAsia="en-GB"/>
        </w:rPr>
        <w:t xml:space="preserve">occurring </w:t>
      </w:r>
      <w:r w:rsidR="00D7055F" w:rsidRPr="00647CD8">
        <w:rPr>
          <w:lang w:eastAsia="en-GB"/>
        </w:rPr>
        <w:t xml:space="preserve">only </w:t>
      </w:r>
      <w:r w:rsidR="004C353F" w:rsidRPr="00647CD8">
        <w:rPr>
          <w:lang w:eastAsia="en-GB"/>
        </w:rPr>
        <w:t>with</w:t>
      </w:r>
      <w:r w:rsidR="008775CB" w:rsidRPr="00647CD8">
        <w:rPr>
          <w:lang w:eastAsia="en-GB"/>
        </w:rPr>
        <w:t>in</w:t>
      </w:r>
      <w:r w:rsidR="004C353F" w:rsidRPr="00647CD8">
        <w:rPr>
          <w:lang w:eastAsia="en-GB"/>
        </w:rPr>
        <w:t xml:space="preserve"> the data centre</w:t>
      </w:r>
      <w:r w:rsidR="00D7055F" w:rsidRPr="00647CD8">
        <w:rPr>
          <w:lang w:eastAsia="en-GB"/>
        </w:rPr>
        <w:t xml:space="preserve"> itself</w:t>
      </w:r>
      <w:r w:rsidR="004C353F" w:rsidRPr="00647CD8">
        <w:rPr>
          <w:lang w:eastAsia="en-GB"/>
        </w:rPr>
        <w:t>.</w:t>
      </w:r>
    </w:p>
    <w:p w14:paraId="3805FEE1" w14:textId="77777777" w:rsidR="00CB5F30" w:rsidRPr="00647CD8" w:rsidRDefault="007D7B36" w:rsidP="00CB57C9">
      <w:pPr>
        <w:pStyle w:val="ListParagraph"/>
        <w:numPr>
          <w:ilvl w:val="0"/>
          <w:numId w:val="8"/>
        </w:numPr>
        <w:tabs>
          <w:tab w:val="clear" w:pos="1168"/>
        </w:tabs>
        <w:ind w:left="1560" w:hanging="851"/>
        <w:jc w:val="both"/>
        <w:rPr>
          <w:lang w:eastAsia="en-GB"/>
        </w:rPr>
      </w:pPr>
      <w:r w:rsidRPr="00647CD8">
        <w:rPr>
          <w:lang w:eastAsia="en-GB"/>
        </w:rPr>
        <w:t>Each individual generator</w:t>
      </w:r>
      <w:r w:rsidR="0054331B" w:rsidRPr="00647CD8">
        <w:rPr>
          <w:lang w:eastAsia="en-GB"/>
        </w:rPr>
        <w:t xml:space="preserve"> with its own discharge stack, can </w:t>
      </w:r>
      <w:r w:rsidR="00A51DF6" w:rsidRPr="00647CD8">
        <w:rPr>
          <w:lang w:eastAsia="en-GB"/>
        </w:rPr>
        <w:t>be maintained</w:t>
      </w:r>
      <w:r w:rsidR="00D7055F" w:rsidRPr="00647CD8">
        <w:rPr>
          <w:lang w:eastAsia="en-GB"/>
        </w:rPr>
        <w:t xml:space="preserve">, </w:t>
      </w:r>
      <w:r w:rsidR="00A51DF6" w:rsidRPr="00647CD8">
        <w:rPr>
          <w:lang w:eastAsia="en-GB"/>
        </w:rPr>
        <w:t xml:space="preserve">tested </w:t>
      </w:r>
      <w:r w:rsidR="00D7055F" w:rsidRPr="00647CD8">
        <w:rPr>
          <w:lang w:eastAsia="en-GB"/>
        </w:rPr>
        <w:t xml:space="preserve">and used in a planned way </w:t>
      </w:r>
      <w:r w:rsidRPr="00647CD8">
        <w:rPr>
          <w:lang w:eastAsia="en-GB"/>
        </w:rPr>
        <w:t xml:space="preserve">for up to 500 hours </w:t>
      </w:r>
      <w:r w:rsidR="0054331B" w:rsidRPr="00647CD8">
        <w:rPr>
          <w:lang w:eastAsia="en-GB"/>
        </w:rPr>
        <w:t xml:space="preserve">per </w:t>
      </w:r>
      <w:r w:rsidR="005F61CC" w:rsidRPr="00647CD8">
        <w:rPr>
          <w:lang w:eastAsia="en-GB"/>
        </w:rPr>
        <w:t xml:space="preserve">calendar </w:t>
      </w:r>
      <w:r w:rsidR="0054331B" w:rsidRPr="00647CD8">
        <w:rPr>
          <w:lang w:eastAsia="en-GB"/>
        </w:rPr>
        <w:t xml:space="preserve">year </w:t>
      </w:r>
      <w:r w:rsidRPr="00647CD8">
        <w:rPr>
          <w:lang w:eastAsia="en-GB"/>
        </w:rPr>
        <w:t>each without ELVs</w:t>
      </w:r>
      <w:r w:rsidR="00CB5F30" w:rsidRPr="00647CD8">
        <w:rPr>
          <w:lang w:eastAsia="en-GB"/>
        </w:rPr>
        <w:t xml:space="preserve"> </w:t>
      </w:r>
      <w:r w:rsidR="00A51DF6" w:rsidRPr="00647CD8">
        <w:rPr>
          <w:lang w:eastAsia="en-GB"/>
        </w:rPr>
        <w:t xml:space="preserve">(and hence </w:t>
      </w:r>
      <w:r w:rsidR="00FD4CA5" w:rsidRPr="00647CD8">
        <w:rPr>
          <w:lang w:eastAsia="en-GB"/>
        </w:rPr>
        <w:t xml:space="preserve">no </w:t>
      </w:r>
      <w:r w:rsidR="00A51DF6" w:rsidRPr="00647CD8">
        <w:rPr>
          <w:lang w:eastAsia="en-GB"/>
        </w:rPr>
        <w:t xml:space="preserve">monitoring) </w:t>
      </w:r>
      <w:r w:rsidR="00CB5F30" w:rsidRPr="00647CD8">
        <w:rPr>
          <w:lang w:eastAsia="en-GB"/>
        </w:rPr>
        <w:t>under IED/MCPD</w:t>
      </w:r>
      <w:r w:rsidRPr="00647CD8">
        <w:rPr>
          <w:lang w:eastAsia="en-GB"/>
        </w:rPr>
        <w:t xml:space="preserve">. </w:t>
      </w:r>
      <w:r w:rsidR="00F630B1" w:rsidRPr="00647CD8">
        <w:rPr>
          <w:lang w:eastAsia="en-GB"/>
        </w:rPr>
        <w:t>Though clearly the EA expects planned testing and generator operations to be organised to minimise occasions and durations (subject to client requirements</w:t>
      </w:r>
      <w:r w:rsidR="004C15AB" w:rsidRPr="00647CD8">
        <w:rPr>
          <w:lang w:eastAsia="en-GB"/>
        </w:rPr>
        <w:t xml:space="preserve">). </w:t>
      </w:r>
      <w:r w:rsidR="004C15AB" w:rsidRPr="00647CD8">
        <w:rPr>
          <w:rFonts w:cs="Calibri"/>
        </w:rPr>
        <w:t>Ideally a target should seek to keep individual generator test</w:t>
      </w:r>
      <w:r w:rsidR="00FE5792" w:rsidRPr="00647CD8">
        <w:rPr>
          <w:rFonts w:cs="Calibri"/>
        </w:rPr>
        <w:t>ing to below 50 hours/annum each</w:t>
      </w:r>
      <w:r w:rsidR="00D923D9" w:rsidRPr="00647CD8">
        <w:rPr>
          <w:rFonts w:cs="Calibri"/>
        </w:rPr>
        <w:t xml:space="preserve"> as required for MCPD specified generator exclusion</w:t>
      </w:r>
      <w:r w:rsidR="00FE5792" w:rsidRPr="00647CD8">
        <w:rPr>
          <w:rFonts w:cs="Calibri"/>
        </w:rPr>
        <w:t>.</w:t>
      </w:r>
    </w:p>
    <w:p w14:paraId="590FD208" w14:textId="77777777" w:rsidR="005E001B" w:rsidRPr="00647CD8" w:rsidRDefault="005E001B" w:rsidP="00CB57C9">
      <w:pPr>
        <w:pStyle w:val="ListParagraph"/>
        <w:numPr>
          <w:ilvl w:val="0"/>
          <w:numId w:val="8"/>
        </w:numPr>
        <w:tabs>
          <w:tab w:val="clear" w:pos="1168"/>
        </w:tabs>
        <w:ind w:left="1560" w:hanging="851"/>
        <w:jc w:val="both"/>
        <w:rPr>
          <w:lang w:eastAsia="en-GB"/>
        </w:rPr>
      </w:pPr>
      <w:r w:rsidRPr="00647CD8">
        <w:rPr>
          <w:lang w:eastAsia="en-GB"/>
        </w:rPr>
        <w:t xml:space="preserve">In summary </w:t>
      </w:r>
      <w:r w:rsidR="0055422A" w:rsidRPr="00647CD8">
        <w:rPr>
          <w:lang w:eastAsia="en-GB"/>
        </w:rPr>
        <w:t>7</w:t>
      </w:r>
      <w:r w:rsidR="008775CB" w:rsidRPr="00647CD8">
        <w:rPr>
          <w:lang w:eastAsia="en-GB"/>
        </w:rPr>
        <w:t xml:space="preserve">, &amp; </w:t>
      </w:r>
      <w:r w:rsidR="00895877" w:rsidRPr="00647CD8">
        <w:rPr>
          <w:lang w:eastAsia="en-GB"/>
        </w:rPr>
        <w:t>8</w:t>
      </w:r>
      <w:r w:rsidR="0055422A" w:rsidRPr="00647CD8">
        <w:rPr>
          <w:lang w:eastAsia="en-GB"/>
        </w:rPr>
        <w:t xml:space="preserve"> means the whole or part site </w:t>
      </w:r>
      <w:r w:rsidRPr="00647CD8">
        <w:rPr>
          <w:lang w:eastAsia="en-GB"/>
        </w:rPr>
        <w:t>can only operate as emergency plant up to 500 hours as an absolute limit</w:t>
      </w:r>
      <w:r w:rsidR="0055422A" w:rsidRPr="00647CD8">
        <w:rPr>
          <w:lang w:eastAsia="en-GB"/>
        </w:rPr>
        <w:t xml:space="preserve"> for grid </w:t>
      </w:r>
      <w:r w:rsidR="004C353F" w:rsidRPr="00647CD8">
        <w:rPr>
          <w:lang w:eastAsia="en-GB"/>
        </w:rPr>
        <w:t>backup</w:t>
      </w:r>
      <w:r w:rsidR="0055422A" w:rsidRPr="00647CD8">
        <w:rPr>
          <w:lang w:eastAsia="en-GB"/>
        </w:rPr>
        <w:t xml:space="preserve"> issues</w:t>
      </w:r>
      <w:r w:rsidR="008775CB" w:rsidRPr="00647CD8">
        <w:rPr>
          <w:lang w:eastAsia="en-GB"/>
        </w:rPr>
        <w:t>;</w:t>
      </w:r>
      <w:r w:rsidRPr="00647CD8">
        <w:rPr>
          <w:lang w:eastAsia="en-GB"/>
        </w:rPr>
        <w:t xml:space="preserve"> but that individual plant </w:t>
      </w:r>
      <w:r w:rsidR="0055422A" w:rsidRPr="00647CD8">
        <w:rPr>
          <w:lang w:eastAsia="en-GB"/>
        </w:rPr>
        <w:t xml:space="preserve">(at any load) </w:t>
      </w:r>
      <w:r w:rsidRPr="00647CD8">
        <w:rPr>
          <w:lang w:eastAsia="en-GB"/>
        </w:rPr>
        <w:t>with its own stack</w:t>
      </w:r>
      <w:r w:rsidR="005F61CC" w:rsidRPr="00647CD8">
        <w:rPr>
          <w:lang w:eastAsia="en-GB"/>
        </w:rPr>
        <w:t xml:space="preserve"> (or a stack with multiple plant)</w:t>
      </w:r>
      <w:r w:rsidRPr="00647CD8">
        <w:rPr>
          <w:lang w:eastAsia="en-GB"/>
        </w:rPr>
        <w:t xml:space="preserve"> </w:t>
      </w:r>
      <w:r w:rsidR="000300F4" w:rsidRPr="00647CD8">
        <w:rPr>
          <w:u w:val="single"/>
          <w:lang w:eastAsia="en-GB"/>
        </w:rPr>
        <w:t>with justification</w:t>
      </w:r>
      <w:r w:rsidR="000300F4" w:rsidRPr="00647CD8">
        <w:rPr>
          <w:lang w:eastAsia="en-GB"/>
        </w:rPr>
        <w:t xml:space="preserve"> </w:t>
      </w:r>
      <w:r w:rsidRPr="00647CD8">
        <w:rPr>
          <w:lang w:eastAsia="en-GB"/>
        </w:rPr>
        <w:t xml:space="preserve">can be operated for up to 500 hours </w:t>
      </w:r>
      <w:r w:rsidR="000300F4" w:rsidRPr="00647CD8">
        <w:rPr>
          <w:lang w:eastAsia="en-GB"/>
        </w:rPr>
        <w:t xml:space="preserve">(ideally &lt;50) </w:t>
      </w:r>
      <w:r w:rsidRPr="00647CD8">
        <w:rPr>
          <w:lang w:eastAsia="en-GB"/>
        </w:rPr>
        <w:t>each</w:t>
      </w:r>
      <w:r w:rsidR="008775CB" w:rsidRPr="00647CD8">
        <w:rPr>
          <w:lang w:eastAsia="en-GB"/>
        </w:rPr>
        <w:t xml:space="preserve"> as part of its </w:t>
      </w:r>
      <w:r w:rsidR="008904EA" w:rsidRPr="00647CD8">
        <w:rPr>
          <w:lang w:eastAsia="en-GB"/>
        </w:rPr>
        <w:t>non-emergency role</w:t>
      </w:r>
      <w:r w:rsidR="001377BA" w:rsidRPr="00647CD8">
        <w:rPr>
          <w:lang w:eastAsia="en-GB"/>
        </w:rPr>
        <w:t xml:space="preserve"> under maintenance and testing</w:t>
      </w:r>
      <w:r w:rsidRPr="00647CD8">
        <w:rPr>
          <w:lang w:eastAsia="en-GB"/>
        </w:rPr>
        <w:t>.</w:t>
      </w:r>
      <w:r w:rsidR="005F61CC" w:rsidRPr="00647CD8">
        <w:rPr>
          <w:lang w:eastAsia="en-GB"/>
        </w:rPr>
        <w:t xml:space="preserve">  </w:t>
      </w:r>
    </w:p>
    <w:p w14:paraId="4EF96402" w14:textId="77777777" w:rsidR="00E05C41" w:rsidRPr="00647CD8" w:rsidRDefault="00E05C41" w:rsidP="00CB57C9">
      <w:pPr>
        <w:pStyle w:val="ListParagraph"/>
        <w:numPr>
          <w:ilvl w:val="0"/>
          <w:numId w:val="8"/>
        </w:numPr>
        <w:tabs>
          <w:tab w:val="clear" w:pos="1168"/>
        </w:tabs>
        <w:ind w:left="1560" w:hanging="851"/>
        <w:jc w:val="both"/>
        <w:rPr>
          <w:lang w:eastAsia="en-GB"/>
        </w:rPr>
      </w:pPr>
      <w:r w:rsidRPr="00647CD8">
        <w:rPr>
          <w:lang w:eastAsia="en-GB"/>
        </w:rPr>
        <w:t xml:space="preserve">For the purposes of determining operating hours, data centre diesel generators are regarded as having a </w:t>
      </w:r>
      <w:r w:rsidR="00CC677A" w:rsidRPr="00647CD8">
        <w:rPr>
          <w:lang w:eastAsia="en-GB"/>
        </w:rPr>
        <w:t xml:space="preserve">minimal </w:t>
      </w:r>
      <w:r w:rsidRPr="00647CD8">
        <w:rPr>
          <w:lang w:eastAsia="en-GB"/>
        </w:rPr>
        <w:t>start-up or shut-down time</w:t>
      </w:r>
      <w:r w:rsidR="00CC677A" w:rsidRPr="00647CD8">
        <w:rPr>
          <w:lang w:eastAsia="en-GB"/>
        </w:rPr>
        <w:t>s</w:t>
      </w:r>
      <w:r w:rsidRPr="00647CD8">
        <w:rPr>
          <w:lang w:eastAsia="en-GB"/>
        </w:rPr>
        <w:t>.</w:t>
      </w:r>
      <w:r w:rsidR="00ED6823" w:rsidRPr="00647CD8">
        <w:rPr>
          <w:lang w:eastAsia="en-GB"/>
        </w:rPr>
        <w:t xml:space="preserve"> </w:t>
      </w:r>
      <w:r w:rsidR="00CC677A" w:rsidRPr="00647CD8">
        <w:rPr>
          <w:lang w:eastAsia="en-GB"/>
        </w:rPr>
        <w:t xml:space="preserve">Operational hours start on the first fuel ignition. </w:t>
      </w:r>
    </w:p>
    <w:p w14:paraId="507E782B" w14:textId="77777777" w:rsidR="000A13DB" w:rsidRPr="00647CD8" w:rsidRDefault="006D1A88" w:rsidP="00CB57C9">
      <w:pPr>
        <w:pStyle w:val="ListParagraph"/>
        <w:numPr>
          <w:ilvl w:val="0"/>
          <w:numId w:val="8"/>
        </w:numPr>
        <w:tabs>
          <w:tab w:val="clear" w:pos="1168"/>
        </w:tabs>
        <w:ind w:left="1560" w:hanging="851"/>
        <w:jc w:val="both"/>
        <w:rPr>
          <w:lang w:eastAsia="en-GB"/>
        </w:rPr>
      </w:pPr>
      <w:r w:rsidRPr="00647CD8">
        <w:rPr>
          <w:lang w:eastAsia="en-GB"/>
        </w:rPr>
        <w:t>Data Centre p</w:t>
      </w:r>
      <w:r w:rsidR="000A13DB" w:rsidRPr="00647CD8">
        <w:rPr>
          <w:lang w:eastAsia="en-GB"/>
        </w:rPr>
        <w:t>ermit</w:t>
      </w:r>
      <w:r w:rsidRPr="00647CD8">
        <w:rPr>
          <w:lang w:eastAsia="en-GB"/>
        </w:rPr>
        <w:t>s</w:t>
      </w:r>
      <w:r w:rsidR="000A13DB" w:rsidRPr="00647CD8">
        <w:rPr>
          <w:lang w:eastAsia="en-GB"/>
        </w:rPr>
        <w:t xml:space="preserve"> </w:t>
      </w:r>
      <w:r w:rsidR="000300F4" w:rsidRPr="00647CD8">
        <w:rPr>
          <w:lang w:eastAsia="en-GB"/>
        </w:rPr>
        <w:t xml:space="preserve">(unless they apply and justify it in a permit application) </w:t>
      </w:r>
      <w:r w:rsidR="000A13DB" w:rsidRPr="00647CD8">
        <w:rPr>
          <w:lang w:eastAsia="en-GB"/>
        </w:rPr>
        <w:t>wil</w:t>
      </w:r>
      <w:r w:rsidR="00D01C44" w:rsidRPr="00647CD8">
        <w:rPr>
          <w:lang w:eastAsia="en-GB"/>
        </w:rPr>
        <w:t xml:space="preserve">l expressly </w:t>
      </w:r>
      <w:r w:rsidR="008E3488" w:rsidRPr="00647CD8">
        <w:rPr>
          <w:lang w:eastAsia="en-GB"/>
        </w:rPr>
        <w:t>have a limit on the activity to exclude</w:t>
      </w:r>
      <w:r w:rsidR="00D01C44" w:rsidRPr="00647CD8">
        <w:rPr>
          <w:lang w:eastAsia="en-GB"/>
        </w:rPr>
        <w:t xml:space="preserve"> </w:t>
      </w:r>
      <w:r w:rsidR="008E3488" w:rsidRPr="00647CD8">
        <w:rPr>
          <w:lang w:eastAsia="en-GB"/>
        </w:rPr>
        <w:t>voluntary ‘</w:t>
      </w:r>
      <w:r w:rsidR="00D01C44" w:rsidRPr="00647CD8">
        <w:rPr>
          <w:lang w:eastAsia="en-GB"/>
        </w:rPr>
        <w:t>elective</w:t>
      </w:r>
      <w:r w:rsidR="000A13DB" w:rsidRPr="00647CD8">
        <w:rPr>
          <w:lang w:eastAsia="en-GB"/>
        </w:rPr>
        <w:t xml:space="preserve"> power operation</w:t>
      </w:r>
      <w:r w:rsidR="004F0719" w:rsidRPr="00647CD8">
        <w:rPr>
          <w:lang w:eastAsia="en-GB"/>
        </w:rPr>
        <w:t>’</w:t>
      </w:r>
      <w:r w:rsidR="000A13DB" w:rsidRPr="00647CD8">
        <w:rPr>
          <w:lang w:eastAsia="en-GB"/>
        </w:rPr>
        <w:t xml:space="preserve"> </w:t>
      </w:r>
      <w:r w:rsidR="008E3488" w:rsidRPr="00647CD8">
        <w:rPr>
          <w:lang w:eastAsia="en-GB"/>
        </w:rPr>
        <w:t xml:space="preserve">such </w:t>
      </w:r>
      <w:r w:rsidR="000A13DB" w:rsidRPr="00647CD8">
        <w:rPr>
          <w:lang w:eastAsia="en-GB"/>
        </w:rPr>
        <w:t xml:space="preserve">as </w:t>
      </w:r>
      <w:r w:rsidR="008E3488" w:rsidRPr="00647CD8">
        <w:rPr>
          <w:lang w:eastAsia="en-GB"/>
        </w:rPr>
        <w:t>d</w:t>
      </w:r>
      <w:r w:rsidR="000A13DB" w:rsidRPr="00647CD8">
        <w:rPr>
          <w:lang w:eastAsia="en-GB"/>
        </w:rPr>
        <w:t xml:space="preserve">emand side response </w:t>
      </w:r>
      <w:r w:rsidR="007C48E9" w:rsidRPr="00647CD8">
        <w:rPr>
          <w:lang w:eastAsia="en-GB"/>
        </w:rPr>
        <w:t>(</w:t>
      </w:r>
      <w:r w:rsidR="00E05C41" w:rsidRPr="00647CD8">
        <w:rPr>
          <w:lang w:eastAsia="en-GB"/>
        </w:rPr>
        <w:t xml:space="preserve">i.e. </w:t>
      </w:r>
      <w:r w:rsidR="007C48E9" w:rsidRPr="00647CD8">
        <w:rPr>
          <w:lang w:eastAsia="en-GB"/>
        </w:rPr>
        <w:t xml:space="preserve">on-site use) </w:t>
      </w:r>
      <w:r w:rsidR="000A13DB" w:rsidRPr="00647CD8">
        <w:rPr>
          <w:lang w:eastAsia="en-GB"/>
        </w:rPr>
        <w:t>or grid operating reserve (STOR)</w:t>
      </w:r>
      <w:r w:rsidR="001E4F3F" w:rsidRPr="00647CD8">
        <w:rPr>
          <w:lang w:eastAsia="en-GB"/>
        </w:rPr>
        <w:t xml:space="preserve"> (i.e. off-site export of e</w:t>
      </w:r>
      <w:r w:rsidR="007C48E9" w:rsidRPr="00647CD8">
        <w:rPr>
          <w:lang w:eastAsia="en-GB"/>
        </w:rPr>
        <w:t>lectricity)</w:t>
      </w:r>
      <w:r w:rsidR="00F630B1" w:rsidRPr="00647CD8">
        <w:rPr>
          <w:lang w:eastAsia="en-GB"/>
        </w:rPr>
        <w:t xml:space="preserve"> and </w:t>
      </w:r>
      <w:r w:rsidR="00F630B1" w:rsidRPr="00647CD8">
        <w:t>Frequency Control by Demand Management (FCDM) for grid support</w:t>
      </w:r>
      <w:r w:rsidR="008E3488" w:rsidRPr="00647CD8">
        <w:rPr>
          <w:lang w:eastAsia="en-GB"/>
        </w:rPr>
        <w:t>.</w:t>
      </w:r>
      <w:r w:rsidR="000A13DB" w:rsidRPr="00647CD8">
        <w:rPr>
          <w:lang w:eastAsia="en-GB"/>
        </w:rPr>
        <w:t xml:space="preserve"> </w:t>
      </w:r>
      <w:r w:rsidR="008E3488" w:rsidRPr="00647CD8">
        <w:rPr>
          <w:lang w:eastAsia="en-GB"/>
        </w:rPr>
        <w:t xml:space="preserve">This is </w:t>
      </w:r>
      <w:r w:rsidR="008E3488" w:rsidRPr="00647CD8">
        <w:rPr>
          <w:lang w:eastAsia="en-GB"/>
        </w:rPr>
        <w:lastRenderedPageBreak/>
        <w:t>primarily to differentiate data centres from ‘diesel arrays</w:t>
      </w:r>
      <w:r w:rsidR="00F14DAF" w:rsidRPr="00647CD8">
        <w:rPr>
          <w:lang w:eastAsia="en-GB"/>
        </w:rPr>
        <w:t xml:space="preserve"> or MCPD specified generators</w:t>
      </w:r>
      <w:r w:rsidR="008E3488" w:rsidRPr="00647CD8">
        <w:rPr>
          <w:lang w:eastAsia="en-GB"/>
        </w:rPr>
        <w:t>’</w:t>
      </w:r>
      <w:r w:rsidR="001E4F3F" w:rsidRPr="00647CD8">
        <w:rPr>
          <w:lang w:eastAsia="en-GB"/>
        </w:rPr>
        <w:t xml:space="preserve"> </w:t>
      </w:r>
      <w:r w:rsidR="00057647" w:rsidRPr="00647CD8">
        <w:rPr>
          <w:lang w:eastAsia="en-GB"/>
        </w:rPr>
        <w:t xml:space="preserve">that </w:t>
      </w:r>
      <w:r w:rsidR="00B21311" w:rsidRPr="00647CD8">
        <w:rPr>
          <w:lang w:eastAsia="en-GB"/>
        </w:rPr>
        <w:t xml:space="preserve">voluntarily </w:t>
      </w:r>
      <w:r w:rsidR="00D7055F" w:rsidRPr="00647CD8">
        <w:rPr>
          <w:lang w:eastAsia="en-GB"/>
        </w:rPr>
        <w:t>operat</w:t>
      </w:r>
      <w:r w:rsidR="00057647" w:rsidRPr="00647CD8">
        <w:rPr>
          <w:lang w:eastAsia="en-GB"/>
        </w:rPr>
        <w:t>e</w:t>
      </w:r>
      <w:r w:rsidR="001E4F3F" w:rsidRPr="00647CD8">
        <w:rPr>
          <w:lang w:eastAsia="en-GB"/>
        </w:rPr>
        <w:t xml:space="preserve"> within the balancing market</w:t>
      </w:r>
      <w:r w:rsidR="00F630B1" w:rsidRPr="00647CD8">
        <w:t xml:space="preserve">, and </w:t>
      </w:r>
      <w:r w:rsidR="000300F4" w:rsidRPr="00647CD8">
        <w:t xml:space="preserve">importantly </w:t>
      </w:r>
      <w:r w:rsidR="00F630B1" w:rsidRPr="00647CD8">
        <w:t>a clear way to demonstrate minimisation of emissions to air</w:t>
      </w:r>
      <w:r w:rsidR="00FE5792" w:rsidRPr="00647CD8">
        <w:t xml:space="preserve"> as ‘Emergency plant’</w:t>
      </w:r>
      <w:r w:rsidR="000300F4" w:rsidRPr="00647CD8">
        <w:t>.</w:t>
      </w:r>
    </w:p>
    <w:p w14:paraId="1ED4E27D" w14:textId="77777777" w:rsidR="00D01C44" w:rsidRPr="00647CD8" w:rsidRDefault="00B87C22" w:rsidP="00CB57C9">
      <w:pPr>
        <w:pStyle w:val="ListParagraph"/>
        <w:numPr>
          <w:ilvl w:val="0"/>
          <w:numId w:val="8"/>
        </w:numPr>
        <w:tabs>
          <w:tab w:val="clear" w:pos="1168"/>
        </w:tabs>
        <w:ind w:left="1560" w:hanging="851"/>
        <w:jc w:val="both"/>
        <w:rPr>
          <w:lang w:eastAsia="en-GB"/>
        </w:rPr>
      </w:pPr>
      <w:r w:rsidRPr="00647CD8">
        <w:rPr>
          <w:lang w:eastAsia="en-GB"/>
        </w:rPr>
        <w:t xml:space="preserve">The </w:t>
      </w:r>
      <w:r w:rsidR="00F67833" w:rsidRPr="00647CD8">
        <w:rPr>
          <w:lang w:eastAsia="en-GB"/>
        </w:rPr>
        <w:t xml:space="preserve">default </w:t>
      </w:r>
      <w:r w:rsidRPr="00647CD8">
        <w:rPr>
          <w:lang w:eastAsia="en-GB"/>
        </w:rPr>
        <w:t>engine</w:t>
      </w:r>
      <w:r w:rsidR="0098123C" w:rsidRPr="00647CD8">
        <w:rPr>
          <w:lang w:eastAsia="en-GB"/>
        </w:rPr>
        <w:t xml:space="preserve"> specification</w:t>
      </w:r>
      <w:r w:rsidRPr="00647CD8">
        <w:rPr>
          <w:lang w:eastAsia="en-GB"/>
        </w:rPr>
        <w:t xml:space="preserve"> </w:t>
      </w:r>
      <w:r w:rsidR="003A4BF4" w:rsidRPr="00647CD8">
        <w:rPr>
          <w:lang w:eastAsia="en-GB"/>
        </w:rPr>
        <w:t xml:space="preserve">as a minimum </w:t>
      </w:r>
      <w:r w:rsidR="00F67833" w:rsidRPr="00647CD8">
        <w:rPr>
          <w:lang w:eastAsia="en-GB"/>
        </w:rPr>
        <w:t xml:space="preserve">for new plant </w:t>
      </w:r>
      <w:r w:rsidRPr="00647CD8">
        <w:rPr>
          <w:lang w:eastAsia="en-GB"/>
        </w:rPr>
        <w:t xml:space="preserve">to minimise </w:t>
      </w:r>
      <w:r w:rsidR="00ED6823" w:rsidRPr="00647CD8">
        <w:rPr>
          <w:lang w:eastAsia="en-GB"/>
        </w:rPr>
        <w:t xml:space="preserve">the impacts of </w:t>
      </w:r>
      <w:r w:rsidRPr="00647CD8">
        <w:rPr>
          <w:lang w:eastAsia="en-GB"/>
        </w:rPr>
        <w:t xml:space="preserve">emissions to air (NOx) </w:t>
      </w:r>
      <w:r w:rsidR="006D1A88" w:rsidRPr="00647CD8">
        <w:rPr>
          <w:lang w:eastAsia="en-GB"/>
        </w:rPr>
        <w:t>is</w:t>
      </w:r>
      <w:r w:rsidRPr="00647CD8">
        <w:rPr>
          <w:lang w:eastAsia="en-GB"/>
        </w:rPr>
        <w:t xml:space="preserve"> 2g TA-Luft</w:t>
      </w:r>
      <w:r w:rsidR="00ED6823" w:rsidRPr="00647CD8">
        <w:rPr>
          <w:lang w:eastAsia="en-GB"/>
        </w:rPr>
        <w:t xml:space="preserve"> (or equivalent standard)</w:t>
      </w:r>
      <w:r w:rsidR="00BB78B7" w:rsidRPr="00647CD8">
        <w:rPr>
          <w:lang w:eastAsia="en-GB"/>
        </w:rPr>
        <w:t xml:space="preserve">. </w:t>
      </w:r>
      <w:r w:rsidR="006D1A88" w:rsidRPr="00647CD8">
        <w:rPr>
          <w:lang w:eastAsia="en-GB"/>
        </w:rPr>
        <w:t xml:space="preserve"> </w:t>
      </w:r>
      <w:r w:rsidR="00BB78B7" w:rsidRPr="00647CD8">
        <w:rPr>
          <w:lang w:eastAsia="en-GB"/>
        </w:rPr>
        <w:t>A detailed cost</w:t>
      </w:r>
      <w:r w:rsidR="00F67833" w:rsidRPr="00647CD8">
        <w:rPr>
          <w:lang w:eastAsia="en-GB"/>
        </w:rPr>
        <w:t xml:space="preserve"> benefit analysis (</w:t>
      </w:r>
      <w:r w:rsidR="000C0E96" w:rsidRPr="00647CD8">
        <w:rPr>
          <w:lang w:eastAsia="en-GB"/>
        </w:rPr>
        <w:t>CBA</w:t>
      </w:r>
      <w:r w:rsidR="00F67833" w:rsidRPr="00647CD8">
        <w:rPr>
          <w:lang w:eastAsia="en-GB"/>
        </w:rPr>
        <w:t>)</w:t>
      </w:r>
      <w:r w:rsidR="000C0E96" w:rsidRPr="00647CD8">
        <w:rPr>
          <w:lang w:eastAsia="en-GB"/>
        </w:rPr>
        <w:t xml:space="preserve"> is </w:t>
      </w:r>
      <w:r w:rsidR="0098123C" w:rsidRPr="00647CD8">
        <w:rPr>
          <w:lang w:eastAsia="en-GB"/>
        </w:rPr>
        <w:t xml:space="preserve">otherwise </w:t>
      </w:r>
      <w:r w:rsidR="00BB78B7" w:rsidRPr="00647CD8">
        <w:rPr>
          <w:lang w:eastAsia="en-GB"/>
        </w:rPr>
        <w:t>needed</w:t>
      </w:r>
      <w:r w:rsidR="00F67833" w:rsidRPr="00647CD8">
        <w:rPr>
          <w:lang w:eastAsia="en-GB"/>
        </w:rPr>
        <w:t xml:space="preserve"> justifying worse </w:t>
      </w:r>
      <w:r w:rsidR="00ED6823" w:rsidRPr="00647CD8">
        <w:rPr>
          <w:lang w:eastAsia="en-GB"/>
        </w:rPr>
        <w:t xml:space="preserve">emission </w:t>
      </w:r>
      <w:r w:rsidR="004F0719" w:rsidRPr="00647CD8">
        <w:rPr>
          <w:lang w:eastAsia="en-GB"/>
        </w:rPr>
        <w:t>such as</w:t>
      </w:r>
      <w:r w:rsidR="00F67833" w:rsidRPr="00647CD8">
        <w:rPr>
          <w:lang w:eastAsia="en-GB"/>
        </w:rPr>
        <w:t xml:space="preserve"> </w:t>
      </w:r>
      <w:r w:rsidR="004F0719" w:rsidRPr="00647CD8">
        <w:rPr>
          <w:lang w:eastAsia="en-GB"/>
        </w:rPr>
        <w:t>4g TA-Luft plant</w:t>
      </w:r>
      <w:r w:rsidR="00F846D9" w:rsidRPr="00647CD8">
        <w:rPr>
          <w:lang w:eastAsia="en-GB"/>
        </w:rPr>
        <w:t xml:space="preserve"> </w:t>
      </w:r>
      <w:r w:rsidR="00F846D9" w:rsidRPr="00647CD8">
        <w:t>or for example a justification under FCDM.</w:t>
      </w:r>
    </w:p>
    <w:p w14:paraId="68019938" w14:textId="77777777" w:rsidR="00532A78" w:rsidRPr="00647CD8" w:rsidRDefault="00D01C44" w:rsidP="00CB57C9">
      <w:pPr>
        <w:pStyle w:val="ListParagraph"/>
        <w:numPr>
          <w:ilvl w:val="0"/>
          <w:numId w:val="8"/>
        </w:numPr>
        <w:tabs>
          <w:tab w:val="clear" w:pos="1168"/>
        </w:tabs>
        <w:ind w:left="1560" w:hanging="851"/>
        <w:jc w:val="both"/>
        <w:rPr>
          <w:lang w:eastAsia="en-GB"/>
        </w:rPr>
      </w:pPr>
      <w:r w:rsidRPr="00647CD8">
        <w:rPr>
          <w:lang w:eastAsia="en-GB"/>
        </w:rPr>
        <w:t xml:space="preserve">CBA for improved </w:t>
      </w:r>
      <w:r w:rsidR="00FC4F5A" w:rsidRPr="00647CD8">
        <w:rPr>
          <w:lang w:eastAsia="en-GB"/>
        </w:rPr>
        <w:t xml:space="preserve">exhaust </w:t>
      </w:r>
      <w:r w:rsidRPr="00647CD8">
        <w:rPr>
          <w:lang w:eastAsia="en-GB"/>
        </w:rPr>
        <w:t>emission</w:t>
      </w:r>
      <w:r w:rsidR="00BB78B7" w:rsidRPr="00647CD8">
        <w:rPr>
          <w:lang w:eastAsia="en-GB"/>
        </w:rPr>
        <w:t>s</w:t>
      </w:r>
      <w:r w:rsidR="00895845" w:rsidRPr="00647CD8">
        <w:rPr>
          <w:lang w:eastAsia="en-GB"/>
        </w:rPr>
        <w:t>, dispersion</w:t>
      </w:r>
      <w:r w:rsidRPr="00647CD8">
        <w:rPr>
          <w:lang w:eastAsia="en-GB"/>
        </w:rPr>
        <w:t xml:space="preserve"> </w:t>
      </w:r>
      <w:r w:rsidR="00895845" w:rsidRPr="00647CD8">
        <w:rPr>
          <w:lang w:eastAsia="en-GB"/>
        </w:rPr>
        <w:t xml:space="preserve">and </w:t>
      </w:r>
      <w:r w:rsidR="00532A78" w:rsidRPr="00647CD8">
        <w:rPr>
          <w:lang w:eastAsia="en-GB"/>
        </w:rPr>
        <w:t xml:space="preserve">mitigations </w:t>
      </w:r>
      <w:r w:rsidR="00F90167" w:rsidRPr="00647CD8">
        <w:rPr>
          <w:lang w:eastAsia="en-GB"/>
        </w:rPr>
        <w:t xml:space="preserve">from the plant </w:t>
      </w:r>
      <w:r w:rsidRPr="00647CD8">
        <w:rPr>
          <w:lang w:eastAsia="en-GB"/>
        </w:rPr>
        <w:t>is expected</w:t>
      </w:r>
      <w:r w:rsidR="00FC4F5A" w:rsidRPr="00647CD8">
        <w:rPr>
          <w:lang w:eastAsia="en-GB"/>
        </w:rPr>
        <w:t xml:space="preserve"> for the maintenance/</w:t>
      </w:r>
      <w:r w:rsidR="00895845" w:rsidRPr="00647CD8">
        <w:rPr>
          <w:lang w:eastAsia="en-GB"/>
        </w:rPr>
        <w:t xml:space="preserve">testing and the emergency standby roles. </w:t>
      </w:r>
      <w:r w:rsidR="00FC4F5A" w:rsidRPr="00647CD8">
        <w:rPr>
          <w:lang w:eastAsia="en-GB"/>
        </w:rPr>
        <w:t>We would be looking for improvements particularly i</w:t>
      </w:r>
      <w:r w:rsidRPr="00647CD8">
        <w:rPr>
          <w:lang w:eastAsia="en-GB"/>
        </w:rPr>
        <w:t>f L</w:t>
      </w:r>
      <w:r w:rsidR="00FE5792" w:rsidRPr="00647CD8">
        <w:rPr>
          <w:lang w:eastAsia="en-GB"/>
        </w:rPr>
        <w:t>ocal Air Quality (LAQ)</w:t>
      </w:r>
      <w:r w:rsidRPr="00647CD8">
        <w:rPr>
          <w:lang w:eastAsia="en-GB"/>
        </w:rPr>
        <w:t xml:space="preserve"> </w:t>
      </w:r>
      <w:r w:rsidR="00895845" w:rsidRPr="00647CD8">
        <w:rPr>
          <w:lang w:eastAsia="en-GB"/>
        </w:rPr>
        <w:t>modelling (under H1) indicates anything other than an insignificant</w:t>
      </w:r>
      <w:r w:rsidRPr="00647CD8">
        <w:rPr>
          <w:lang w:eastAsia="en-GB"/>
        </w:rPr>
        <w:t xml:space="preserve"> </w:t>
      </w:r>
      <w:r w:rsidR="00895845" w:rsidRPr="00647CD8">
        <w:rPr>
          <w:lang w:eastAsia="en-GB"/>
        </w:rPr>
        <w:t xml:space="preserve">contribution </w:t>
      </w:r>
      <w:r w:rsidR="003A4BF4" w:rsidRPr="00647CD8">
        <w:rPr>
          <w:lang w:eastAsia="en-GB"/>
        </w:rPr>
        <w:t xml:space="preserve">to </w:t>
      </w:r>
      <w:r w:rsidR="003A4BF4" w:rsidRPr="00647CD8">
        <w:rPr>
          <w:u w:val="single"/>
          <w:lang w:eastAsia="en-GB"/>
        </w:rPr>
        <w:t xml:space="preserve">short term local air quality </w:t>
      </w:r>
      <w:r w:rsidRPr="00647CD8">
        <w:rPr>
          <w:u w:val="single"/>
          <w:lang w:eastAsia="en-GB"/>
        </w:rPr>
        <w:t xml:space="preserve">for the ‘planned’ </w:t>
      </w:r>
      <w:r w:rsidR="00ED6823" w:rsidRPr="00647CD8">
        <w:rPr>
          <w:u w:val="single"/>
          <w:lang w:eastAsia="en-GB"/>
        </w:rPr>
        <w:t>maintenance</w:t>
      </w:r>
      <w:r w:rsidR="00ED6823" w:rsidRPr="00647CD8">
        <w:rPr>
          <w:lang w:eastAsia="en-GB"/>
        </w:rPr>
        <w:t xml:space="preserve"> </w:t>
      </w:r>
      <w:r w:rsidRPr="00647CD8">
        <w:rPr>
          <w:lang w:eastAsia="en-GB"/>
        </w:rPr>
        <w:t>emissions of the plant</w:t>
      </w:r>
      <w:r w:rsidR="00FC4F5A" w:rsidRPr="00647CD8">
        <w:rPr>
          <w:lang w:eastAsia="en-GB"/>
        </w:rPr>
        <w:t>.</w:t>
      </w:r>
    </w:p>
    <w:p w14:paraId="205FE1F2" w14:textId="77777777" w:rsidR="00D01C44" w:rsidRPr="00647CD8" w:rsidRDefault="00532A78" w:rsidP="00CB57C9">
      <w:pPr>
        <w:pStyle w:val="ListParagraph"/>
        <w:numPr>
          <w:ilvl w:val="0"/>
          <w:numId w:val="8"/>
        </w:numPr>
        <w:tabs>
          <w:tab w:val="clear" w:pos="1168"/>
        </w:tabs>
        <w:ind w:left="1560" w:hanging="851"/>
        <w:jc w:val="both"/>
        <w:rPr>
          <w:lang w:eastAsia="en-GB"/>
        </w:rPr>
      </w:pPr>
      <w:r w:rsidRPr="00647CD8">
        <w:rPr>
          <w:lang w:eastAsia="en-GB"/>
        </w:rPr>
        <w:t xml:space="preserve">Retrofit abatement techniques </w:t>
      </w:r>
      <w:r w:rsidR="003A4BF4" w:rsidRPr="00647CD8">
        <w:t xml:space="preserve">for existing installations </w:t>
      </w:r>
      <w:r w:rsidR="006D1A88" w:rsidRPr="00647CD8">
        <w:rPr>
          <w:lang w:eastAsia="en-GB"/>
        </w:rPr>
        <w:t xml:space="preserve">for engine emissions such as selective </w:t>
      </w:r>
      <w:r w:rsidR="00B51780" w:rsidRPr="00647CD8">
        <w:rPr>
          <w:lang w:eastAsia="en-GB"/>
        </w:rPr>
        <w:t>non-</w:t>
      </w:r>
      <w:r w:rsidR="006D1A88" w:rsidRPr="00647CD8">
        <w:rPr>
          <w:lang w:eastAsia="en-GB"/>
        </w:rPr>
        <w:t xml:space="preserve">catalytic </w:t>
      </w:r>
      <w:r w:rsidR="00B51780" w:rsidRPr="00647CD8">
        <w:rPr>
          <w:lang w:eastAsia="en-GB"/>
        </w:rPr>
        <w:t xml:space="preserve">or </w:t>
      </w:r>
      <w:r w:rsidR="00E95AF6" w:rsidRPr="00647CD8">
        <w:rPr>
          <w:lang w:eastAsia="en-GB"/>
        </w:rPr>
        <w:t>catalytic</w:t>
      </w:r>
      <w:r w:rsidR="00B51780" w:rsidRPr="00647CD8">
        <w:rPr>
          <w:lang w:eastAsia="en-GB"/>
        </w:rPr>
        <w:t xml:space="preserve"> </w:t>
      </w:r>
      <w:r w:rsidR="00ED6823" w:rsidRPr="00647CD8">
        <w:rPr>
          <w:lang w:eastAsia="en-GB"/>
        </w:rPr>
        <w:t>reduction</w:t>
      </w:r>
      <w:r w:rsidR="006D1A88" w:rsidRPr="00647CD8">
        <w:rPr>
          <w:lang w:eastAsia="en-GB"/>
        </w:rPr>
        <w:t xml:space="preserve"> (</w:t>
      </w:r>
      <w:r w:rsidR="003A4BF4" w:rsidRPr="00647CD8">
        <w:rPr>
          <w:lang w:eastAsia="en-GB"/>
        </w:rPr>
        <w:t>SN</w:t>
      </w:r>
      <w:r w:rsidR="006D1A88" w:rsidRPr="00647CD8">
        <w:rPr>
          <w:lang w:eastAsia="en-GB"/>
        </w:rPr>
        <w:t>CR</w:t>
      </w:r>
      <w:r w:rsidR="00B51780" w:rsidRPr="00647CD8">
        <w:rPr>
          <w:lang w:eastAsia="en-GB"/>
        </w:rPr>
        <w:t xml:space="preserve"> or SCR</w:t>
      </w:r>
      <w:r w:rsidR="006D1A88" w:rsidRPr="00647CD8">
        <w:rPr>
          <w:lang w:eastAsia="en-GB"/>
        </w:rPr>
        <w:t xml:space="preserve">) would not </w:t>
      </w:r>
      <w:r w:rsidR="00F67833" w:rsidRPr="00647CD8">
        <w:rPr>
          <w:lang w:eastAsia="en-GB"/>
        </w:rPr>
        <w:t xml:space="preserve">normally </w:t>
      </w:r>
      <w:r w:rsidR="006D1A88" w:rsidRPr="00647CD8">
        <w:rPr>
          <w:lang w:eastAsia="en-GB"/>
        </w:rPr>
        <w:t>be expected for standby plant</w:t>
      </w:r>
      <w:r w:rsidRPr="00647CD8">
        <w:rPr>
          <w:lang w:eastAsia="en-GB"/>
        </w:rPr>
        <w:t xml:space="preserve"> to mitigate the </w:t>
      </w:r>
      <w:r w:rsidR="00F90167" w:rsidRPr="00647CD8">
        <w:rPr>
          <w:lang w:eastAsia="en-GB"/>
        </w:rPr>
        <w:t>emissions for standby/</w:t>
      </w:r>
      <w:r w:rsidRPr="00647CD8">
        <w:rPr>
          <w:lang w:eastAsia="en-GB"/>
        </w:rPr>
        <w:t>emergency operation</w:t>
      </w:r>
      <w:r w:rsidR="00F67833" w:rsidRPr="00647CD8">
        <w:rPr>
          <w:lang w:eastAsia="en-GB"/>
        </w:rPr>
        <w:t>.</w:t>
      </w:r>
      <w:r w:rsidR="00FC4F5A" w:rsidRPr="00647CD8">
        <w:rPr>
          <w:lang w:eastAsia="en-GB"/>
        </w:rPr>
        <w:t xml:space="preserve"> BAT might include improved flue gas dispersion (e.g. stack modifications, increased height) or improved low NOx engine management controls</w:t>
      </w:r>
      <w:r w:rsidR="00F846D9" w:rsidRPr="00647CD8">
        <w:rPr>
          <w:lang w:eastAsia="en-GB"/>
        </w:rPr>
        <w:t xml:space="preserve"> </w:t>
      </w:r>
      <w:r w:rsidR="00FE5792" w:rsidRPr="00647CD8">
        <w:t>or possibly</w:t>
      </w:r>
      <w:r w:rsidR="00F846D9" w:rsidRPr="00647CD8">
        <w:t xml:space="preserve"> fuel choice</w:t>
      </w:r>
      <w:r w:rsidR="00FC4F5A" w:rsidRPr="00647CD8">
        <w:t>.</w:t>
      </w:r>
    </w:p>
    <w:p w14:paraId="196BCA46" w14:textId="77777777" w:rsidR="00B87C22" w:rsidRPr="00647CD8" w:rsidRDefault="00B51780" w:rsidP="00CB57C9">
      <w:pPr>
        <w:pStyle w:val="ListParagraph"/>
        <w:numPr>
          <w:ilvl w:val="0"/>
          <w:numId w:val="8"/>
        </w:numPr>
        <w:tabs>
          <w:tab w:val="clear" w:pos="1168"/>
        </w:tabs>
        <w:ind w:left="1560" w:hanging="851"/>
        <w:jc w:val="both"/>
        <w:rPr>
          <w:lang w:eastAsia="en-GB"/>
        </w:rPr>
      </w:pPr>
      <w:r w:rsidRPr="00647CD8">
        <w:rPr>
          <w:lang w:eastAsia="en-GB"/>
        </w:rPr>
        <w:t xml:space="preserve">Operations </w:t>
      </w:r>
      <w:r w:rsidR="00E95AF6" w:rsidRPr="00647CD8">
        <w:rPr>
          <w:lang w:eastAsia="en-GB"/>
        </w:rPr>
        <w:t xml:space="preserve">and management procedures </w:t>
      </w:r>
      <w:r w:rsidRPr="00647CD8">
        <w:rPr>
          <w:lang w:eastAsia="en-GB"/>
        </w:rPr>
        <w:t>should reflect the outcomes of the air quality modelling by m</w:t>
      </w:r>
      <w:r w:rsidR="00D01C44" w:rsidRPr="00647CD8">
        <w:rPr>
          <w:lang w:eastAsia="en-GB"/>
        </w:rPr>
        <w:t xml:space="preserve">inimising </w:t>
      </w:r>
      <w:r w:rsidR="004F0719" w:rsidRPr="00647CD8">
        <w:rPr>
          <w:lang w:eastAsia="en-GB"/>
        </w:rPr>
        <w:t>th</w:t>
      </w:r>
      <w:r w:rsidR="00CB5F30" w:rsidRPr="00647CD8">
        <w:rPr>
          <w:lang w:eastAsia="en-GB"/>
        </w:rPr>
        <w:t>e duration of testing, phasing</w:t>
      </w:r>
      <w:r w:rsidRPr="00647CD8">
        <w:rPr>
          <w:lang w:eastAsia="en-GB"/>
        </w:rPr>
        <w:t xml:space="preserve"> engines into subgroups, avoid</w:t>
      </w:r>
      <w:r w:rsidR="00E95AF6" w:rsidRPr="00647CD8">
        <w:rPr>
          <w:lang w:eastAsia="en-GB"/>
        </w:rPr>
        <w:t>ing</w:t>
      </w:r>
      <w:r w:rsidRPr="00647CD8">
        <w:rPr>
          <w:lang w:eastAsia="en-GB"/>
        </w:rPr>
        <w:t xml:space="preserve"> whole site tests </w:t>
      </w:r>
      <w:r w:rsidR="00D01C44" w:rsidRPr="00647CD8">
        <w:rPr>
          <w:lang w:eastAsia="en-GB"/>
        </w:rPr>
        <w:t>and planning</w:t>
      </w:r>
      <w:r w:rsidR="00E95AF6" w:rsidRPr="00647CD8">
        <w:rPr>
          <w:lang w:eastAsia="en-GB"/>
        </w:rPr>
        <w:t xml:space="preserve"> </w:t>
      </w:r>
      <w:r w:rsidR="00F90167" w:rsidRPr="00647CD8">
        <w:rPr>
          <w:lang w:eastAsia="en-GB"/>
        </w:rPr>
        <w:t xml:space="preserve">off-grid maintenance </w:t>
      </w:r>
      <w:r w:rsidR="00E95AF6" w:rsidRPr="00647CD8">
        <w:rPr>
          <w:lang w:eastAsia="en-GB"/>
        </w:rPr>
        <w:t>days and</w:t>
      </w:r>
      <w:r w:rsidR="00B31F50" w:rsidRPr="00647CD8">
        <w:rPr>
          <w:lang w:eastAsia="en-GB"/>
        </w:rPr>
        <w:t xml:space="preserve"> most</w:t>
      </w:r>
      <w:r w:rsidR="00E95AF6" w:rsidRPr="00647CD8">
        <w:rPr>
          <w:lang w:eastAsia="en-GB"/>
        </w:rPr>
        <w:t xml:space="preserve"> </w:t>
      </w:r>
      <w:r w:rsidR="00B31F50" w:rsidRPr="00647CD8">
        <w:rPr>
          <w:lang w:eastAsia="en-GB"/>
        </w:rPr>
        <w:t xml:space="preserve">importantly </w:t>
      </w:r>
      <w:r w:rsidR="00B87C22" w:rsidRPr="00647CD8">
        <w:rPr>
          <w:lang w:eastAsia="en-GB"/>
        </w:rPr>
        <w:t>times</w:t>
      </w:r>
      <w:r w:rsidR="00B31F50" w:rsidRPr="00647CD8">
        <w:rPr>
          <w:lang w:eastAsia="en-GB"/>
        </w:rPr>
        <w:t>/days</w:t>
      </w:r>
      <w:r w:rsidR="00B87C22" w:rsidRPr="00647CD8">
        <w:rPr>
          <w:lang w:eastAsia="en-GB"/>
        </w:rPr>
        <w:t xml:space="preserve"> to avoid adding to </w:t>
      </w:r>
      <w:r w:rsidR="00E95AF6" w:rsidRPr="00647CD8">
        <w:rPr>
          <w:lang w:eastAsia="en-GB"/>
        </w:rPr>
        <w:t>“</w:t>
      </w:r>
      <w:r w:rsidR="00CB5F30" w:rsidRPr="00647CD8">
        <w:rPr>
          <w:lang w:eastAsia="en-GB"/>
        </w:rPr>
        <w:t>at risk</w:t>
      </w:r>
      <w:r w:rsidR="00E95AF6" w:rsidRPr="00647CD8">
        <w:rPr>
          <w:lang w:eastAsia="en-GB"/>
        </w:rPr>
        <w:t>”</w:t>
      </w:r>
      <w:r w:rsidR="00CB5F30" w:rsidRPr="00647CD8">
        <w:rPr>
          <w:lang w:eastAsia="en-GB"/>
        </w:rPr>
        <w:t xml:space="preserve"> </w:t>
      </w:r>
      <w:r w:rsidR="00B87C22" w:rsidRPr="00647CD8">
        <w:rPr>
          <w:lang w:eastAsia="en-GB"/>
        </w:rPr>
        <w:t>high ambient pollutant background levels</w:t>
      </w:r>
      <w:r w:rsidR="00D01C44" w:rsidRPr="00647CD8">
        <w:rPr>
          <w:lang w:eastAsia="en-GB"/>
        </w:rPr>
        <w:t>.</w:t>
      </w:r>
    </w:p>
    <w:p w14:paraId="573B8C3C" w14:textId="77777777" w:rsidR="00AE15F2" w:rsidRPr="00647CD8" w:rsidRDefault="00AE15F2" w:rsidP="00CB57C9">
      <w:pPr>
        <w:pStyle w:val="ListParagraph"/>
        <w:numPr>
          <w:ilvl w:val="0"/>
          <w:numId w:val="8"/>
        </w:numPr>
        <w:tabs>
          <w:tab w:val="clear" w:pos="1168"/>
        </w:tabs>
        <w:ind w:left="1560" w:hanging="851"/>
        <w:jc w:val="both"/>
        <w:rPr>
          <w:lang w:eastAsia="en-GB"/>
        </w:rPr>
      </w:pPr>
      <w:r w:rsidRPr="00647CD8">
        <w:rPr>
          <w:lang w:eastAsia="en-GB"/>
        </w:rPr>
        <w:t xml:space="preserve">When </w:t>
      </w:r>
      <w:r w:rsidR="00626FA2" w:rsidRPr="00647CD8">
        <w:rPr>
          <w:lang w:eastAsia="en-GB"/>
        </w:rPr>
        <w:t xml:space="preserve">AQ </w:t>
      </w:r>
      <w:r w:rsidRPr="00647CD8">
        <w:rPr>
          <w:lang w:eastAsia="en-GB"/>
        </w:rPr>
        <w:t>modelling the emissions from the engines</w:t>
      </w:r>
      <w:r w:rsidR="005424B6" w:rsidRPr="00647CD8">
        <w:rPr>
          <w:lang w:eastAsia="en-GB"/>
        </w:rPr>
        <w:t>,</w:t>
      </w:r>
      <w:r w:rsidRPr="00647CD8">
        <w:rPr>
          <w:lang w:eastAsia="en-GB"/>
        </w:rPr>
        <w:t xml:space="preserve"> the certified technical standard </w:t>
      </w:r>
      <w:r w:rsidR="005424B6" w:rsidRPr="00647CD8">
        <w:rPr>
          <w:lang w:eastAsia="en-GB"/>
        </w:rPr>
        <w:t xml:space="preserve">provided by the manufacturer should be used </w:t>
      </w:r>
      <w:r w:rsidRPr="00647CD8">
        <w:rPr>
          <w:lang w:eastAsia="en-GB"/>
        </w:rPr>
        <w:t xml:space="preserve">(i.e. </w:t>
      </w:r>
      <w:r w:rsidR="008904EA" w:rsidRPr="00647CD8">
        <w:rPr>
          <w:lang w:eastAsia="en-GB"/>
        </w:rPr>
        <w:t xml:space="preserve">likely </w:t>
      </w:r>
      <w:r w:rsidRPr="00647CD8">
        <w:rPr>
          <w:lang w:eastAsia="en-GB"/>
        </w:rPr>
        <w:t xml:space="preserve">worst case emissions). However any </w:t>
      </w:r>
      <w:r w:rsidR="00CB5F30" w:rsidRPr="00647CD8">
        <w:rPr>
          <w:lang w:eastAsia="en-GB"/>
        </w:rPr>
        <w:t>‘</w:t>
      </w:r>
      <w:r w:rsidRPr="00647CD8">
        <w:rPr>
          <w:lang w:eastAsia="en-GB"/>
        </w:rPr>
        <w:t>fit for purpose</w:t>
      </w:r>
      <w:r w:rsidR="00CB5F30" w:rsidRPr="00647CD8">
        <w:rPr>
          <w:lang w:eastAsia="en-GB"/>
        </w:rPr>
        <w:t>’</w:t>
      </w:r>
      <w:r w:rsidRPr="00647CD8">
        <w:rPr>
          <w:lang w:eastAsia="en-GB"/>
        </w:rPr>
        <w:t xml:space="preserve"> monitoring of the actual emissions from installed plant will be considered as evidence of the likely real impacts</w:t>
      </w:r>
      <w:r w:rsidR="00626FA2" w:rsidRPr="00647CD8">
        <w:rPr>
          <w:lang w:eastAsia="en-GB"/>
        </w:rPr>
        <w:t xml:space="preserve"> as part of the permitting decision process.</w:t>
      </w:r>
    </w:p>
    <w:p w14:paraId="227FCB77" w14:textId="77777777" w:rsidR="00BB78B7" w:rsidRPr="00647CD8" w:rsidRDefault="00B87C22" w:rsidP="00CB57C9">
      <w:pPr>
        <w:pStyle w:val="ListParagraph"/>
        <w:numPr>
          <w:ilvl w:val="0"/>
          <w:numId w:val="8"/>
        </w:numPr>
        <w:tabs>
          <w:tab w:val="clear" w:pos="1168"/>
        </w:tabs>
        <w:ind w:left="1560" w:hanging="851"/>
        <w:jc w:val="both"/>
        <w:rPr>
          <w:lang w:eastAsia="en-GB"/>
        </w:rPr>
      </w:pPr>
      <w:r w:rsidRPr="00647CD8">
        <w:rPr>
          <w:lang w:eastAsia="en-GB"/>
        </w:rPr>
        <w:t xml:space="preserve">The </w:t>
      </w:r>
      <w:r w:rsidR="00A67F3D" w:rsidRPr="00647CD8">
        <w:rPr>
          <w:lang w:eastAsia="en-GB"/>
        </w:rPr>
        <w:t xml:space="preserve">groundwater </w:t>
      </w:r>
      <w:r w:rsidRPr="00647CD8">
        <w:rPr>
          <w:lang w:eastAsia="en-GB"/>
        </w:rPr>
        <w:t xml:space="preserve">monitoring </w:t>
      </w:r>
      <w:r w:rsidR="00E95AF6" w:rsidRPr="00647CD8">
        <w:rPr>
          <w:lang w:eastAsia="en-GB"/>
        </w:rPr>
        <w:t>of</w:t>
      </w:r>
      <w:r w:rsidRPr="00647CD8">
        <w:rPr>
          <w:lang w:eastAsia="en-GB"/>
        </w:rPr>
        <w:t xml:space="preserve"> fuel storage tanks </w:t>
      </w:r>
      <w:r w:rsidR="003F0C90" w:rsidRPr="00647CD8">
        <w:rPr>
          <w:lang w:eastAsia="en-GB"/>
        </w:rPr>
        <w:t xml:space="preserve">and distribution pipework </w:t>
      </w:r>
      <w:r w:rsidR="00D01C44" w:rsidRPr="00647CD8">
        <w:rPr>
          <w:lang w:eastAsia="en-GB"/>
        </w:rPr>
        <w:t xml:space="preserve">using </w:t>
      </w:r>
      <w:r w:rsidR="00A67F3D" w:rsidRPr="00647CD8">
        <w:rPr>
          <w:lang w:eastAsia="en-GB"/>
        </w:rPr>
        <w:t xml:space="preserve">GW </w:t>
      </w:r>
      <w:r w:rsidR="00D01C44" w:rsidRPr="00647CD8">
        <w:rPr>
          <w:lang w:eastAsia="en-GB"/>
        </w:rPr>
        <w:t xml:space="preserve">boreholes </w:t>
      </w:r>
      <w:r w:rsidR="000C0E96" w:rsidRPr="00647CD8">
        <w:rPr>
          <w:lang w:eastAsia="en-GB"/>
        </w:rPr>
        <w:t xml:space="preserve">is </w:t>
      </w:r>
      <w:r w:rsidR="00E95AF6" w:rsidRPr="00647CD8">
        <w:rPr>
          <w:lang w:eastAsia="en-GB"/>
        </w:rPr>
        <w:t>risk based</w:t>
      </w:r>
      <w:r w:rsidR="000C0E96" w:rsidRPr="00647CD8">
        <w:rPr>
          <w:lang w:eastAsia="en-GB"/>
        </w:rPr>
        <w:t xml:space="preserve"> for </w:t>
      </w:r>
      <w:r w:rsidR="00F67833" w:rsidRPr="00647CD8">
        <w:rPr>
          <w:lang w:eastAsia="en-GB"/>
        </w:rPr>
        <w:t>the site condition report (</w:t>
      </w:r>
      <w:r w:rsidR="000C0E96" w:rsidRPr="00647CD8">
        <w:rPr>
          <w:lang w:eastAsia="en-GB"/>
        </w:rPr>
        <w:t>SCR</w:t>
      </w:r>
      <w:r w:rsidR="00F67833" w:rsidRPr="00647CD8">
        <w:rPr>
          <w:lang w:eastAsia="en-GB"/>
        </w:rPr>
        <w:t>)</w:t>
      </w:r>
      <w:r w:rsidR="00BB78B7" w:rsidRPr="00647CD8">
        <w:rPr>
          <w:lang w:eastAsia="en-GB"/>
        </w:rPr>
        <w:t xml:space="preserve"> and IED 5-yearly monitoring</w:t>
      </w:r>
      <w:r w:rsidR="00D01C44" w:rsidRPr="00647CD8">
        <w:rPr>
          <w:lang w:eastAsia="en-GB"/>
        </w:rPr>
        <w:t xml:space="preserve">. </w:t>
      </w:r>
      <w:r w:rsidR="00E95AF6" w:rsidRPr="00647CD8">
        <w:rPr>
          <w:lang w:eastAsia="en-GB"/>
        </w:rPr>
        <w:t>Should GW monitoring be required for underground tanks</w:t>
      </w:r>
      <w:r w:rsidR="00DE7FD7" w:rsidRPr="00647CD8">
        <w:rPr>
          <w:lang w:eastAsia="en-GB"/>
        </w:rPr>
        <w:t xml:space="preserve"> and/or the SCR</w:t>
      </w:r>
      <w:r w:rsidR="00E95AF6" w:rsidRPr="00647CD8">
        <w:rPr>
          <w:lang w:eastAsia="en-GB"/>
        </w:rPr>
        <w:t>, t</w:t>
      </w:r>
      <w:r w:rsidR="003F0C90" w:rsidRPr="00647CD8">
        <w:rPr>
          <w:lang w:eastAsia="en-GB"/>
        </w:rPr>
        <w:t xml:space="preserve">he boreholes should be positioned for whole site surveillance </w:t>
      </w:r>
      <w:r w:rsidR="00057647" w:rsidRPr="00647CD8">
        <w:rPr>
          <w:lang w:eastAsia="en-GB"/>
        </w:rPr>
        <w:t xml:space="preserve">(for the SCR) </w:t>
      </w:r>
      <w:r w:rsidR="003F0C90" w:rsidRPr="00647CD8">
        <w:rPr>
          <w:lang w:eastAsia="en-GB"/>
        </w:rPr>
        <w:t xml:space="preserve">rather than as a very </w:t>
      </w:r>
      <w:r w:rsidR="00F67833" w:rsidRPr="00647CD8">
        <w:rPr>
          <w:lang w:eastAsia="en-GB"/>
        </w:rPr>
        <w:t>local control immediately around</w:t>
      </w:r>
      <w:r w:rsidR="003F0C90" w:rsidRPr="00647CD8">
        <w:rPr>
          <w:lang w:eastAsia="en-GB"/>
        </w:rPr>
        <w:t xml:space="preserve"> the </w:t>
      </w:r>
      <w:r w:rsidR="00E95AF6" w:rsidRPr="00647CD8">
        <w:rPr>
          <w:lang w:eastAsia="en-GB"/>
        </w:rPr>
        <w:t xml:space="preserve">buried </w:t>
      </w:r>
      <w:r w:rsidR="00A67F3D" w:rsidRPr="00647CD8">
        <w:rPr>
          <w:lang w:eastAsia="en-GB"/>
        </w:rPr>
        <w:t xml:space="preserve">fuel </w:t>
      </w:r>
      <w:r w:rsidR="003F0C90" w:rsidRPr="00647CD8">
        <w:rPr>
          <w:lang w:eastAsia="en-GB"/>
        </w:rPr>
        <w:t>oil tanks</w:t>
      </w:r>
      <w:r w:rsidR="00DE7FD7" w:rsidRPr="00647CD8">
        <w:rPr>
          <w:lang w:eastAsia="en-GB"/>
        </w:rPr>
        <w:t xml:space="preserve"> (i.e. not be just an addition</w:t>
      </w:r>
      <w:r w:rsidR="005424B6" w:rsidRPr="00647CD8">
        <w:rPr>
          <w:lang w:eastAsia="en-GB"/>
        </w:rPr>
        <w:t xml:space="preserve"> to double skinned tanks</w:t>
      </w:r>
      <w:r w:rsidR="00DE7FD7" w:rsidRPr="00647CD8">
        <w:rPr>
          <w:lang w:eastAsia="en-GB"/>
        </w:rPr>
        <w:t xml:space="preserve"> already protected by leak detection </w:t>
      </w:r>
      <w:r w:rsidR="00740B56" w:rsidRPr="00647CD8">
        <w:rPr>
          <w:lang w:eastAsia="en-GB"/>
        </w:rPr>
        <w:t>and hence ignoring distribution pipework etc</w:t>
      </w:r>
      <w:r w:rsidR="00057647" w:rsidRPr="00647CD8">
        <w:rPr>
          <w:lang w:eastAsia="en-GB"/>
        </w:rPr>
        <w:t>)</w:t>
      </w:r>
      <w:r w:rsidR="003F0C90" w:rsidRPr="00647CD8">
        <w:rPr>
          <w:lang w:eastAsia="en-GB"/>
        </w:rPr>
        <w:t>.</w:t>
      </w:r>
      <w:r w:rsidR="00BB78B7" w:rsidRPr="00647CD8">
        <w:rPr>
          <w:lang w:eastAsia="en-GB"/>
        </w:rPr>
        <w:t xml:space="preserve"> </w:t>
      </w:r>
    </w:p>
    <w:p w14:paraId="1BAD5CC3" w14:textId="77777777" w:rsidR="00B87C22" w:rsidRPr="00647CD8" w:rsidRDefault="00BB78B7" w:rsidP="00CB57C9">
      <w:pPr>
        <w:pStyle w:val="ListParagraph"/>
        <w:numPr>
          <w:ilvl w:val="0"/>
          <w:numId w:val="8"/>
        </w:numPr>
        <w:tabs>
          <w:tab w:val="clear" w:pos="1168"/>
        </w:tabs>
        <w:ind w:left="1560" w:hanging="851"/>
        <w:jc w:val="both"/>
        <w:rPr>
          <w:lang w:eastAsia="en-GB"/>
        </w:rPr>
      </w:pPr>
      <w:r w:rsidRPr="00647CD8">
        <w:rPr>
          <w:lang w:eastAsia="en-GB"/>
        </w:rPr>
        <w:t xml:space="preserve">10-yearly soil sampling under IED is </w:t>
      </w:r>
      <w:r w:rsidR="00B51780" w:rsidRPr="00647CD8">
        <w:rPr>
          <w:lang w:eastAsia="en-GB"/>
        </w:rPr>
        <w:t xml:space="preserve">normally </w:t>
      </w:r>
      <w:r w:rsidRPr="00647CD8">
        <w:rPr>
          <w:lang w:eastAsia="en-GB"/>
        </w:rPr>
        <w:t>not needed</w:t>
      </w:r>
      <w:r w:rsidR="000300F4" w:rsidRPr="00647CD8">
        <w:rPr>
          <w:lang w:eastAsia="en-GB"/>
        </w:rPr>
        <w:t xml:space="preserve"> but still needs some justification</w:t>
      </w:r>
      <w:r w:rsidRPr="00647CD8">
        <w:rPr>
          <w:lang w:eastAsia="en-GB"/>
        </w:rPr>
        <w:t>.</w:t>
      </w:r>
    </w:p>
    <w:p w14:paraId="64CC7815" w14:textId="77777777" w:rsidR="00F67833" w:rsidRPr="00647CD8" w:rsidRDefault="00F67833" w:rsidP="00CB57C9">
      <w:pPr>
        <w:pStyle w:val="ListParagraph"/>
        <w:numPr>
          <w:ilvl w:val="0"/>
          <w:numId w:val="8"/>
        </w:numPr>
        <w:tabs>
          <w:tab w:val="clear" w:pos="1168"/>
        </w:tabs>
        <w:ind w:left="1560" w:hanging="851"/>
        <w:jc w:val="both"/>
        <w:rPr>
          <w:lang w:eastAsia="en-GB"/>
        </w:rPr>
      </w:pPr>
      <w:r w:rsidRPr="00647CD8">
        <w:rPr>
          <w:lang w:eastAsia="en-GB"/>
        </w:rPr>
        <w:t xml:space="preserve">The permit application must </w:t>
      </w:r>
      <w:r w:rsidR="00B51780" w:rsidRPr="00647CD8">
        <w:rPr>
          <w:lang w:eastAsia="en-GB"/>
        </w:rPr>
        <w:t xml:space="preserve">assess and </w:t>
      </w:r>
      <w:r w:rsidRPr="00647CD8">
        <w:rPr>
          <w:lang w:eastAsia="en-GB"/>
        </w:rPr>
        <w:t xml:space="preserve">provide evidence </w:t>
      </w:r>
      <w:r w:rsidR="00CB5F30" w:rsidRPr="00647CD8">
        <w:rPr>
          <w:lang w:eastAsia="en-GB"/>
        </w:rPr>
        <w:t>of</w:t>
      </w:r>
      <w:r w:rsidRPr="00647CD8">
        <w:rPr>
          <w:lang w:eastAsia="en-GB"/>
        </w:rPr>
        <w:t xml:space="preserve"> actual reliability data for the local </w:t>
      </w:r>
      <w:r w:rsidR="007D7B36" w:rsidRPr="00647CD8">
        <w:rPr>
          <w:lang w:eastAsia="en-GB"/>
        </w:rPr>
        <w:t xml:space="preserve">electricity </w:t>
      </w:r>
      <w:r w:rsidRPr="00647CD8">
        <w:rPr>
          <w:lang w:eastAsia="en-GB"/>
        </w:rPr>
        <w:t xml:space="preserve">grid distribution (including data centre internal electrical design) for </w:t>
      </w:r>
      <w:r w:rsidR="000300F4" w:rsidRPr="00647CD8">
        <w:rPr>
          <w:lang w:eastAsia="en-GB"/>
        </w:rPr>
        <w:t xml:space="preserve">the EA </w:t>
      </w:r>
      <w:r w:rsidRPr="00647CD8">
        <w:rPr>
          <w:lang w:eastAsia="en-GB"/>
        </w:rPr>
        <w:t xml:space="preserve">to </w:t>
      </w:r>
      <w:r w:rsidR="00B51780" w:rsidRPr="00647CD8">
        <w:rPr>
          <w:lang w:eastAsia="en-GB"/>
        </w:rPr>
        <w:t>judge</w:t>
      </w:r>
      <w:r w:rsidRPr="00647CD8">
        <w:rPr>
          <w:lang w:eastAsia="en-GB"/>
        </w:rPr>
        <w:t xml:space="preserve"> the realistic likelihood of the plant needing to operate for prolonged periods in an eme</w:t>
      </w:r>
      <w:r w:rsidR="008904EA" w:rsidRPr="00647CD8">
        <w:rPr>
          <w:lang w:eastAsia="en-GB"/>
        </w:rPr>
        <w:t xml:space="preserve">rgency mode (especially if emissions model </w:t>
      </w:r>
      <w:r w:rsidR="00FC4F5A" w:rsidRPr="00647CD8">
        <w:rPr>
          <w:lang w:eastAsia="en-GB"/>
        </w:rPr>
        <w:t xml:space="preserve">so as </w:t>
      </w:r>
      <w:r w:rsidR="008904EA" w:rsidRPr="00647CD8">
        <w:rPr>
          <w:lang w:eastAsia="en-GB"/>
        </w:rPr>
        <w:t>to exceed short term air quality standards).</w:t>
      </w:r>
    </w:p>
    <w:p w14:paraId="1327B644" w14:textId="77777777" w:rsidR="00B87C22" w:rsidRPr="00647CD8" w:rsidRDefault="00B87C22" w:rsidP="00CB57C9">
      <w:pPr>
        <w:pStyle w:val="ListParagraph"/>
        <w:numPr>
          <w:ilvl w:val="0"/>
          <w:numId w:val="8"/>
        </w:numPr>
        <w:tabs>
          <w:tab w:val="clear" w:pos="1168"/>
        </w:tabs>
        <w:ind w:left="1560" w:hanging="851"/>
        <w:jc w:val="both"/>
        <w:rPr>
          <w:lang w:eastAsia="en-GB"/>
        </w:rPr>
      </w:pPr>
      <w:r w:rsidRPr="00647CD8">
        <w:rPr>
          <w:lang w:eastAsia="en-GB"/>
        </w:rPr>
        <w:t>Optimising grid reliability within the site</w:t>
      </w:r>
      <w:r w:rsidR="000C0E96" w:rsidRPr="00647CD8">
        <w:rPr>
          <w:lang w:eastAsia="en-GB"/>
        </w:rPr>
        <w:t xml:space="preserve"> as part of general BAT to minimise </w:t>
      </w:r>
      <w:r w:rsidR="007D7B36" w:rsidRPr="00647CD8">
        <w:rPr>
          <w:lang w:eastAsia="en-GB"/>
        </w:rPr>
        <w:t xml:space="preserve">emergency </w:t>
      </w:r>
      <w:r w:rsidR="00C3312B" w:rsidRPr="00647CD8">
        <w:rPr>
          <w:lang w:eastAsia="en-GB"/>
        </w:rPr>
        <w:t xml:space="preserve">operating hours is required – </w:t>
      </w:r>
      <w:r w:rsidR="00B51780" w:rsidRPr="00647CD8">
        <w:rPr>
          <w:lang w:eastAsia="en-GB"/>
        </w:rPr>
        <w:t>evaluation is need</w:t>
      </w:r>
      <w:r w:rsidR="004E5470" w:rsidRPr="00647CD8">
        <w:rPr>
          <w:lang w:eastAsia="en-GB"/>
        </w:rPr>
        <w:t>ed</w:t>
      </w:r>
      <w:r w:rsidR="00B51780" w:rsidRPr="00647CD8">
        <w:rPr>
          <w:lang w:eastAsia="en-GB"/>
        </w:rPr>
        <w:t xml:space="preserve"> with</w:t>
      </w:r>
      <w:r w:rsidR="00FC4F5A" w:rsidRPr="00647CD8">
        <w:rPr>
          <w:lang w:eastAsia="en-GB"/>
        </w:rPr>
        <w:t>in</w:t>
      </w:r>
      <w:r w:rsidR="00B51780" w:rsidRPr="00647CD8">
        <w:rPr>
          <w:lang w:eastAsia="en-GB"/>
        </w:rPr>
        <w:t xml:space="preserve"> the permit application </w:t>
      </w:r>
      <w:r w:rsidR="00C3312B" w:rsidRPr="00647CD8">
        <w:rPr>
          <w:lang w:eastAsia="en-GB"/>
        </w:rPr>
        <w:t xml:space="preserve">on the Tier </w:t>
      </w:r>
      <w:r w:rsidR="004F0719" w:rsidRPr="00647CD8">
        <w:rPr>
          <w:lang w:eastAsia="en-GB"/>
        </w:rPr>
        <w:t xml:space="preserve">reliability </w:t>
      </w:r>
      <w:r w:rsidR="00C3312B" w:rsidRPr="00647CD8">
        <w:rPr>
          <w:lang w:eastAsia="en-GB"/>
        </w:rPr>
        <w:t xml:space="preserve">standard </w:t>
      </w:r>
      <w:r w:rsidR="00F67833" w:rsidRPr="00647CD8">
        <w:rPr>
          <w:lang w:eastAsia="en-GB"/>
        </w:rPr>
        <w:t xml:space="preserve">under </w:t>
      </w:r>
      <w:r w:rsidR="00C3312B" w:rsidRPr="00647CD8">
        <w:rPr>
          <w:lang w:eastAsia="en-GB"/>
        </w:rPr>
        <w:t>ISO27001</w:t>
      </w:r>
      <w:r w:rsidR="00F67833" w:rsidRPr="00647CD8">
        <w:rPr>
          <w:lang w:eastAsia="en-GB"/>
        </w:rPr>
        <w:t xml:space="preserve"> and Uptime</w:t>
      </w:r>
      <w:r w:rsidR="00A67F3D" w:rsidRPr="00647CD8">
        <w:rPr>
          <w:lang w:eastAsia="en-GB"/>
        </w:rPr>
        <w:t>.</w:t>
      </w:r>
    </w:p>
    <w:p w14:paraId="7588131C" w14:textId="77777777" w:rsidR="00B87C22" w:rsidRPr="00647CD8" w:rsidRDefault="00B87C22" w:rsidP="00CB57C9">
      <w:pPr>
        <w:pStyle w:val="ListParagraph"/>
        <w:numPr>
          <w:ilvl w:val="0"/>
          <w:numId w:val="8"/>
        </w:numPr>
        <w:tabs>
          <w:tab w:val="clear" w:pos="1168"/>
        </w:tabs>
        <w:ind w:left="1560" w:hanging="851"/>
        <w:jc w:val="both"/>
        <w:rPr>
          <w:lang w:eastAsia="en-GB"/>
        </w:rPr>
      </w:pPr>
      <w:r w:rsidRPr="00647CD8">
        <w:rPr>
          <w:lang w:eastAsia="en-GB"/>
        </w:rPr>
        <w:t xml:space="preserve">Reporting of </w:t>
      </w:r>
      <w:r w:rsidR="008904EA" w:rsidRPr="00647CD8">
        <w:rPr>
          <w:lang w:eastAsia="en-GB"/>
        </w:rPr>
        <w:t xml:space="preserve">standby engine </w:t>
      </w:r>
      <w:r w:rsidRPr="00647CD8">
        <w:rPr>
          <w:lang w:eastAsia="en-GB"/>
        </w:rPr>
        <w:t xml:space="preserve">operational </w:t>
      </w:r>
      <w:r w:rsidR="00B31F50" w:rsidRPr="00647CD8">
        <w:rPr>
          <w:lang w:eastAsia="en-GB"/>
        </w:rPr>
        <w:t>run</w:t>
      </w:r>
      <w:r w:rsidR="000C0E96" w:rsidRPr="00647CD8">
        <w:rPr>
          <w:lang w:eastAsia="en-GB"/>
        </w:rPr>
        <w:t xml:space="preserve"> </w:t>
      </w:r>
      <w:r w:rsidRPr="00647CD8">
        <w:rPr>
          <w:lang w:eastAsia="en-GB"/>
        </w:rPr>
        <w:t xml:space="preserve">hours and </w:t>
      </w:r>
      <w:r w:rsidR="000C0E96" w:rsidRPr="00647CD8">
        <w:rPr>
          <w:lang w:eastAsia="en-GB"/>
        </w:rPr>
        <w:t xml:space="preserve">discussion </w:t>
      </w:r>
      <w:r w:rsidRPr="00647CD8">
        <w:rPr>
          <w:lang w:eastAsia="en-GB"/>
        </w:rPr>
        <w:t xml:space="preserve">of </w:t>
      </w:r>
      <w:r w:rsidR="000C0E96" w:rsidRPr="00647CD8">
        <w:rPr>
          <w:lang w:eastAsia="en-GB"/>
        </w:rPr>
        <w:t>any electrical</w:t>
      </w:r>
      <w:r w:rsidRPr="00647CD8">
        <w:rPr>
          <w:lang w:eastAsia="en-GB"/>
        </w:rPr>
        <w:t xml:space="preserve"> </w:t>
      </w:r>
      <w:r w:rsidR="000C0E96" w:rsidRPr="00647CD8">
        <w:rPr>
          <w:lang w:eastAsia="en-GB"/>
        </w:rPr>
        <w:t>outages (planned or grid failures regardless of duration) required annually</w:t>
      </w:r>
      <w:r w:rsidRPr="00647CD8">
        <w:rPr>
          <w:lang w:eastAsia="en-GB"/>
        </w:rPr>
        <w:t>.</w:t>
      </w:r>
    </w:p>
    <w:p w14:paraId="00521329" w14:textId="77777777" w:rsidR="008904EA" w:rsidRPr="00647CD8" w:rsidRDefault="00B51780" w:rsidP="00CB57C9">
      <w:pPr>
        <w:pStyle w:val="ListParagraph"/>
        <w:numPr>
          <w:ilvl w:val="0"/>
          <w:numId w:val="8"/>
        </w:numPr>
        <w:tabs>
          <w:tab w:val="clear" w:pos="1168"/>
        </w:tabs>
        <w:ind w:left="1560" w:hanging="851"/>
        <w:jc w:val="both"/>
        <w:rPr>
          <w:lang w:eastAsia="en-GB"/>
        </w:rPr>
      </w:pPr>
      <w:r w:rsidRPr="00647CD8">
        <w:rPr>
          <w:lang w:eastAsia="en-GB"/>
        </w:rPr>
        <w:t>Assuming AQ modelling</w:t>
      </w:r>
      <w:r w:rsidR="002D6DF3" w:rsidRPr="00647CD8">
        <w:rPr>
          <w:lang w:eastAsia="en-GB"/>
        </w:rPr>
        <w:t>,</w:t>
      </w:r>
      <w:r w:rsidRPr="00647CD8">
        <w:rPr>
          <w:lang w:eastAsia="en-GB"/>
        </w:rPr>
        <w:t xml:space="preserve"> </w:t>
      </w:r>
      <w:r w:rsidR="002D6DF3" w:rsidRPr="00647CD8">
        <w:rPr>
          <w:lang w:eastAsia="en-GB"/>
        </w:rPr>
        <w:t xml:space="preserve">based on operating scenarios, </w:t>
      </w:r>
      <w:r w:rsidRPr="00647CD8">
        <w:rPr>
          <w:lang w:eastAsia="en-GB"/>
        </w:rPr>
        <w:t xml:space="preserve">indicates a </w:t>
      </w:r>
      <w:r w:rsidR="00E937E3" w:rsidRPr="00647CD8">
        <w:rPr>
          <w:lang w:eastAsia="en-GB"/>
        </w:rPr>
        <w:t xml:space="preserve">local air quality </w:t>
      </w:r>
      <w:r w:rsidRPr="00647CD8">
        <w:rPr>
          <w:lang w:eastAsia="en-GB"/>
        </w:rPr>
        <w:t>risk then n</w:t>
      </w:r>
      <w:r w:rsidR="000C0E96" w:rsidRPr="00647CD8">
        <w:rPr>
          <w:lang w:eastAsia="en-GB"/>
        </w:rPr>
        <w:t xml:space="preserve">otification </w:t>
      </w:r>
      <w:r w:rsidR="00F90167" w:rsidRPr="00647CD8">
        <w:rPr>
          <w:lang w:eastAsia="en-GB"/>
        </w:rPr>
        <w:t xml:space="preserve">to the EA </w:t>
      </w:r>
      <w:r w:rsidR="000C0E96" w:rsidRPr="00647CD8">
        <w:rPr>
          <w:lang w:eastAsia="en-GB"/>
        </w:rPr>
        <w:t xml:space="preserve">of unplanned </w:t>
      </w:r>
      <w:r w:rsidR="00F90167" w:rsidRPr="00647CD8">
        <w:rPr>
          <w:lang w:eastAsia="en-GB"/>
        </w:rPr>
        <w:t>(</w:t>
      </w:r>
      <w:r w:rsidR="00A67F3D" w:rsidRPr="00647CD8">
        <w:rPr>
          <w:lang w:eastAsia="en-GB"/>
        </w:rPr>
        <w:t>and pre-notification of planned</w:t>
      </w:r>
      <w:r w:rsidR="00F90167" w:rsidRPr="00647CD8">
        <w:rPr>
          <w:lang w:eastAsia="en-GB"/>
        </w:rPr>
        <w:t>)</w:t>
      </w:r>
      <w:r w:rsidR="00A67F3D" w:rsidRPr="00647CD8">
        <w:rPr>
          <w:lang w:eastAsia="en-GB"/>
        </w:rPr>
        <w:t xml:space="preserve"> </w:t>
      </w:r>
      <w:r w:rsidR="000C0E96" w:rsidRPr="00647CD8">
        <w:rPr>
          <w:lang w:eastAsia="en-GB"/>
        </w:rPr>
        <w:t>continuous grid out</w:t>
      </w:r>
      <w:r w:rsidR="0098123C" w:rsidRPr="00647CD8">
        <w:rPr>
          <w:lang w:eastAsia="en-GB"/>
        </w:rPr>
        <w:t>age</w:t>
      </w:r>
      <w:r w:rsidR="000C0E96" w:rsidRPr="00647CD8">
        <w:rPr>
          <w:lang w:eastAsia="en-GB"/>
        </w:rPr>
        <w:t xml:space="preserve"> exceeding 18 hours LAQM </w:t>
      </w:r>
      <w:r w:rsidRPr="00647CD8">
        <w:rPr>
          <w:lang w:eastAsia="en-GB"/>
        </w:rPr>
        <w:t xml:space="preserve">(or the otherwise assessed </w:t>
      </w:r>
      <w:r w:rsidR="00E937E3" w:rsidRPr="00647CD8">
        <w:rPr>
          <w:lang w:eastAsia="en-GB"/>
        </w:rPr>
        <w:t xml:space="preserve">short term </w:t>
      </w:r>
      <w:r w:rsidRPr="00647CD8">
        <w:rPr>
          <w:lang w:eastAsia="en-GB"/>
        </w:rPr>
        <w:t xml:space="preserve">interval from modelling) is </w:t>
      </w:r>
      <w:r w:rsidR="002D6DF3" w:rsidRPr="00647CD8">
        <w:rPr>
          <w:lang w:eastAsia="en-GB"/>
        </w:rPr>
        <w:t xml:space="preserve">likely </w:t>
      </w:r>
      <w:r w:rsidRPr="00647CD8">
        <w:rPr>
          <w:lang w:eastAsia="en-GB"/>
        </w:rPr>
        <w:t xml:space="preserve">required under </w:t>
      </w:r>
      <w:r w:rsidR="00FE5792" w:rsidRPr="00647CD8">
        <w:rPr>
          <w:lang w:eastAsia="en-GB"/>
        </w:rPr>
        <w:t xml:space="preserve">a permit </w:t>
      </w:r>
      <w:r w:rsidRPr="00647CD8">
        <w:rPr>
          <w:lang w:eastAsia="en-GB"/>
        </w:rPr>
        <w:t>schedule 5</w:t>
      </w:r>
      <w:r w:rsidR="00FE5792" w:rsidRPr="00647CD8">
        <w:rPr>
          <w:lang w:eastAsia="en-GB"/>
        </w:rPr>
        <w:t xml:space="preserve"> notification</w:t>
      </w:r>
      <w:r w:rsidR="00CB5F30" w:rsidRPr="00647CD8">
        <w:rPr>
          <w:lang w:eastAsia="en-GB"/>
        </w:rPr>
        <w:t xml:space="preserve">. </w:t>
      </w:r>
    </w:p>
    <w:p w14:paraId="67B5B447" w14:textId="77777777" w:rsidR="00CB5F30" w:rsidRPr="00647CD8" w:rsidRDefault="00F90167" w:rsidP="00CB57C9">
      <w:pPr>
        <w:pStyle w:val="ListParagraph"/>
        <w:numPr>
          <w:ilvl w:val="0"/>
          <w:numId w:val="8"/>
        </w:numPr>
        <w:tabs>
          <w:tab w:val="clear" w:pos="1168"/>
        </w:tabs>
        <w:ind w:left="1560" w:hanging="851"/>
        <w:jc w:val="both"/>
        <w:rPr>
          <w:lang w:eastAsia="en-GB"/>
        </w:rPr>
      </w:pPr>
      <w:r w:rsidRPr="00647CD8">
        <w:rPr>
          <w:lang w:eastAsia="en-GB"/>
        </w:rPr>
        <w:lastRenderedPageBreak/>
        <w:t xml:space="preserve">The notification requirement </w:t>
      </w:r>
      <w:r w:rsidR="008904EA" w:rsidRPr="00647CD8">
        <w:rPr>
          <w:lang w:eastAsia="en-GB"/>
        </w:rPr>
        <w:t xml:space="preserve">stated </w:t>
      </w:r>
      <w:r w:rsidRPr="00647CD8">
        <w:rPr>
          <w:lang w:eastAsia="en-GB"/>
        </w:rPr>
        <w:t>in the permit should also indicate the actual number of generators that need to be operating</w:t>
      </w:r>
      <w:r w:rsidR="00E937E3" w:rsidRPr="00647CD8">
        <w:rPr>
          <w:lang w:eastAsia="en-GB"/>
        </w:rPr>
        <w:t xml:space="preserve"> above which the </w:t>
      </w:r>
      <w:r w:rsidR="008904EA" w:rsidRPr="00647CD8">
        <w:rPr>
          <w:lang w:eastAsia="en-GB"/>
        </w:rPr>
        <w:t>local air quality</w:t>
      </w:r>
      <w:r w:rsidR="00E937E3" w:rsidRPr="00647CD8">
        <w:rPr>
          <w:lang w:eastAsia="en-GB"/>
        </w:rPr>
        <w:t xml:space="preserve"> is at risk e.g. ‘notification of continuous emergency operation exceeding 18hours with 5 or more engines operating together is required’</w:t>
      </w:r>
      <w:r w:rsidRPr="00647CD8">
        <w:rPr>
          <w:lang w:eastAsia="en-GB"/>
        </w:rPr>
        <w:t xml:space="preserve"> </w:t>
      </w:r>
      <w:r w:rsidR="00E937E3" w:rsidRPr="00647CD8">
        <w:rPr>
          <w:lang w:eastAsia="en-GB"/>
        </w:rPr>
        <w:t xml:space="preserve">(i.e. </w:t>
      </w:r>
      <w:r w:rsidR="00FE5792" w:rsidRPr="00647CD8">
        <w:rPr>
          <w:lang w:eastAsia="en-GB"/>
        </w:rPr>
        <w:t xml:space="preserve">model </w:t>
      </w:r>
      <w:r w:rsidR="007C6BB2" w:rsidRPr="00647CD8">
        <w:rPr>
          <w:lang w:eastAsia="en-GB"/>
        </w:rPr>
        <w:t xml:space="preserve">shows </w:t>
      </w:r>
      <w:r w:rsidR="00E937E3" w:rsidRPr="00647CD8">
        <w:rPr>
          <w:lang w:eastAsia="en-GB"/>
        </w:rPr>
        <w:t>4 or less engin</w:t>
      </w:r>
      <w:r w:rsidR="008904EA" w:rsidRPr="00647CD8">
        <w:rPr>
          <w:lang w:eastAsia="en-GB"/>
        </w:rPr>
        <w:t>es unlikely to breach LAQ</w:t>
      </w:r>
      <w:r w:rsidR="00E937E3" w:rsidRPr="00647CD8">
        <w:rPr>
          <w:lang w:eastAsia="en-GB"/>
        </w:rPr>
        <w:t>)</w:t>
      </w:r>
    </w:p>
    <w:p w14:paraId="40D20453" w14:textId="77777777" w:rsidR="00023DB9" w:rsidRPr="00647CD8" w:rsidRDefault="002D6DF3" w:rsidP="00CB57C9">
      <w:pPr>
        <w:pStyle w:val="ListParagraph"/>
        <w:numPr>
          <w:ilvl w:val="0"/>
          <w:numId w:val="8"/>
        </w:numPr>
        <w:tabs>
          <w:tab w:val="clear" w:pos="1168"/>
        </w:tabs>
        <w:spacing w:after="0" w:line="240" w:lineRule="auto"/>
        <w:ind w:left="1560" w:hanging="851"/>
        <w:jc w:val="both"/>
        <w:rPr>
          <w:lang w:eastAsia="en-GB"/>
        </w:rPr>
      </w:pPr>
      <w:r w:rsidRPr="00647CD8">
        <w:rPr>
          <w:lang w:eastAsia="en-GB"/>
        </w:rPr>
        <w:t xml:space="preserve">Assuming AQ modelling, based on </w:t>
      </w:r>
      <w:r w:rsidR="00740B56" w:rsidRPr="00647CD8">
        <w:rPr>
          <w:lang w:eastAsia="en-GB"/>
        </w:rPr>
        <w:t xml:space="preserve">emergency </w:t>
      </w:r>
      <w:r w:rsidRPr="00647CD8">
        <w:rPr>
          <w:lang w:eastAsia="en-GB"/>
        </w:rPr>
        <w:t xml:space="preserve">outage operating scenarios, indicates a </w:t>
      </w:r>
      <w:r w:rsidR="00740B56" w:rsidRPr="00647CD8">
        <w:rPr>
          <w:lang w:eastAsia="en-GB"/>
        </w:rPr>
        <w:t xml:space="preserve">very </w:t>
      </w:r>
      <w:r w:rsidRPr="00647CD8">
        <w:rPr>
          <w:lang w:eastAsia="en-GB"/>
        </w:rPr>
        <w:t xml:space="preserve">significant risk to local air quality </w:t>
      </w:r>
      <w:r w:rsidR="008904EA" w:rsidRPr="00647CD8">
        <w:rPr>
          <w:lang w:eastAsia="en-GB"/>
        </w:rPr>
        <w:t>and identified receptor</w:t>
      </w:r>
      <w:r w:rsidR="00FC4F5A" w:rsidRPr="00647CD8">
        <w:rPr>
          <w:lang w:eastAsia="en-GB"/>
        </w:rPr>
        <w:t>s</w:t>
      </w:r>
      <w:r w:rsidR="008904EA" w:rsidRPr="00647CD8">
        <w:rPr>
          <w:lang w:eastAsia="en-GB"/>
        </w:rPr>
        <w:t xml:space="preserve">, </w:t>
      </w:r>
      <w:r w:rsidR="000300F4" w:rsidRPr="00647CD8">
        <w:rPr>
          <w:lang w:eastAsia="en-GB"/>
        </w:rPr>
        <w:t xml:space="preserve">the EA </w:t>
      </w:r>
      <w:r w:rsidR="00A67074" w:rsidRPr="00647CD8">
        <w:rPr>
          <w:lang w:eastAsia="en-GB"/>
        </w:rPr>
        <w:t>will</w:t>
      </w:r>
      <w:r w:rsidR="00740B56" w:rsidRPr="00647CD8">
        <w:rPr>
          <w:lang w:eastAsia="en-GB"/>
        </w:rPr>
        <w:t xml:space="preserve"> ask </w:t>
      </w:r>
      <w:r w:rsidRPr="00647CD8">
        <w:rPr>
          <w:lang w:eastAsia="en-GB"/>
        </w:rPr>
        <w:t xml:space="preserve">the operator </w:t>
      </w:r>
      <w:r w:rsidR="00B87C22" w:rsidRPr="00647CD8">
        <w:rPr>
          <w:lang w:eastAsia="en-GB"/>
        </w:rPr>
        <w:t xml:space="preserve">to have a written </w:t>
      </w:r>
      <w:r w:rsidR="00F14DAF" w:rsidRPr="00647CD8">
        <w:rPr>
          <w:lang w:eastAsia="en-GB"/>
        </w:rPr>
        <w:t xml:space="preserve">AQ outage </w:t>
      </w:r>
      <w:r w:rsidRPr="00647CD8">
        <w:rPr>
          <w:lang w:eastAsia="en-GB"/>
        </w:rPr>
        <w:t xml:space="preserve">action plan to manage the issue for prolonged </w:t>
      </w:r>
      <w:r w:rsidR="00740B56" w:rsidRPr="00647CD8">
        <w:rPr>
          <w:lang w:eastAsia="en-GB"/>
        </w:rPr>
        <w:t xml:space="preserve">emergency </w:t>
      </w:r>
      <w:r w:rsidRPr="00647CD8">
        <w:rPr>
          <w:lang w:eastAsia="en-GB"/>
        </w:rPr>
        <w:t xml:space="preserve">running of the plant (including </w:t>
      </w:r>
      <w:r w:rsidR="00B87C22" w:rsidRPr="00647CD8">
        <w:rPr>
          <w:lang w:eastAsia="en-GB"/>
        </w:rPr>
        <w:t>sensitive receptors list</w:t>
      </w:r>
      <w:r w:rsidRPr="00647CD8">
        <w:rPr>
          <w:lang w:eastAsia="en-GB"/>
        </w:rPr>
        <w:t xml:space="preserve"> and mitigations</w:t>
      </w:r>
      <w:r w:rsidR="00B87C22" w:rsidRPr="00647CD8">
        <w:rPr>
          <w:lang w:eastAsia="en-GB"/>
        </w:rPr>
        <w:t xml:space="preserve">, </w:t>
      </w:r>
      <w:r w:rsidR="004F0719" w:rsidRPr="00647CD8">
        <w:rPr>
          <w:lang w:eastAsia="en-GB"/>
        </w:rPr>
        <w:t xml:space="preserve">assessments </w:t>
      </w:r>
      <w:r w:rsidR="00740B56" w:rsidRPr="00647CD8">
        <w:rPr>
          <w:lang w:eastAsia="en-GB"/>
        </w:rPr>
        <w:t xml:space="preserve">and impacts evaluation </w:t>
      </w:r>
      <w:r w:rsidR="004F0719" w:rsidRPr="00647CD8">
        <w:rPr>
          <w:lang w:eastAsia="en-GB"/>
        </w:rPr>
        <w:t xml:space="preserve">against modelled </w:t>
      </w:r>
      <w:r w:rsidR="00DC2013" w:rsidRPr="00647CD8">
        <w:rPr>
          <w:lang w:eastAsia="en-GB"/>
        </w:rPr>
        <w:t xml:space="preserve">risk </w:t>
      </w:r>
      <w:r w:rsidR="004F0719" w:rsidRPr="00647CD8">
        <w:rPr>
          <w:lang w:eastAsia="en-GB"/>
        </w:rPr>
        <w:t>conditions</w:t>
      </w:r>
      <w:r w:rsidR="00DC2013" w:rsidRPr="00647CD8">
        <w:rPr>
          <w:lang w:eastAsia="en-GB"/>
        </w:rPr>
        <w:t xml:space="preserve"> i.e. </w:t>
      </w:r>
      <w:r w:rsidRPr="00647CD8">
        <w:rPr>
          <w:lang w:eastAsia="en-GB"/>
        </w:rPr>
        <w:t xml:space="preserve">occurrence at </w:t>
      </w:r>
      <w:r w:rsidR="00DC2013" w:rsidRPr="00647CD8">
        <w:rPr>
          <w:lang w:eastAsia="en-GB"/>
        </w:rPr>
        <w:t>periods of most concern in the year</w:t>
      </w:r>
      <w:r w:rsidR="00B87C22" w:rsidRPr="00647CD8">
        <w:rPr>
          <w:lang w:eastAsia="en-GB"/>
        </w:rPr>
        <w:t xml:space="preserve">, </w:t>
      </w:r>
      <w:r w:rsidR="000C0E96" w:rsidRPr="00647CD8">
        <w:rPr>
          <w:lang w:eastAsia="en-GB"/>
        </w:rPr>
        <w:t xml:space="preserve">possibly </w:t>
      </w:r>
      <w:r w:rsidR="00B87C22" w:rsidRPr="00647CD8">
        <w:rPr>
          <w:lang w:eastAsia="en-GB"/>
        </w:rPr>
        <w:t xml:space="preserve">ambient air monitoring </w:t>
      </w:r>
      <w:r w:rsidRPr="00647CD8">
        <w:rPr>
          <w:lang w:eastAsia="en-GB"/>
        </w:rPr>
        <w:t>surveillance</w:t>
      </w:r>
      <w:r w:rsidR="000C0E96" w:rsidRPr="00647CD8">
        <w:rPr>
          <w:lang w:eastAsia="en-GB"/>
        </w:rPr>
        <w:t xml:space="preserve"> at </w:t>
      </w:r>
      <w:r w:rsidR="0098123C" w:rsidRPr="00647CD8">
        <w:rPr>
          <w:lang w:eastAsia="en-GB"/>
        </w:rPr>
        <w:t xml:space="preserve">very </w:t>
      </w:r>
      <w:r w:rsidR="000C0E96" w:rsidRPr="00647CD8">
        <w:rPr>
          <w:lang w:eastAsia="en-GB"/>
        </w:rPr>
        <w:t>sensitive receptors</w:t>
      </w:r>
      <w:r w:rsidR="007C34EB" w:rsidRPr="00647CD8">
        <w:rPr>
          <w:lang w:eastAsia="en-GB"/>
        </w:rPr>
        <w:t>)</w:t>
      </w:r>
      <w:r w:rsidR="00F14DAF" w:rsidRPr="00647CD8">
        <w:rPr>
          <w:lang w:eastAsia="en-GB"/>
        </w:rPr>
        <w:t>. An AQ outage action plan is also likely required for sites which might operate in conjunction with other neighbouring large sites during an outage i.e. data centre hubs.</w:t>
      </w:r>
    </w:p>
    <w:tbl>
      <w:tblPr>
        <w:tblW w:w="10612" w:type="dxa"/>
        <w:tblInd w:w="-108" w:type="dxa"/>
        <w:tblBorders>
          <w:top w:val="nil"/>
          <w:left w:val="nil"/>
          <w:bottom w:val="nil"/>
          <w:right w:val="nil"/>
        </w:tblBorders>
        <w:tblLayout w:type="fixed"/>
        <w:tblLook w:val="0000" w:firstRow="0" w:lastRow="0" w:firstColumn="0" w:lastColumn="0" w:noHBand="0" w:noVBand="0"/>
      </w:tblPr>
      <w:tblGrid>
        <w:gridCol w:w="10612"/>
      </w:tblGrid>
      <w:tr w:rsidR="00647CD8" w:rsidRPr="00647CD8" w14:paraId="2392B99E" w14:textId="77777777" w:rsidTr="00A67074">
        <w:trPr>
          <w:trHeight w:val="669"/>
        </w:trPr>
        <w:tc>
          <w:tcPr>
            <w:tcW w:w="10612" w:type="dxa"/>
          </w:tcPr>
          <w:p w14:paraId="53FCC808" w14:textId="77777777" w:rsidR="00A67074" w:rsidRPr="00647CD8" w:rsidRDefault="00023DB9" w:rsidP="00CB57C9">
            <w:pPr>
              <w:pStyle w:val="ListParagraph"/>
              <w:numPr>
                <w:ilvl w:val="0"/>
                <w:numId w:val="8"/>
              </w:numPr>
              <w:tabs>
                <w:tab w:val="clear" w:pos="1168"/>
              </w:tabs>
              <w:spacing w:after="0" w:line="240" w:lineRule="auto"/>
              <w:ind w:left="1560" w:right="615" w:hanging="851"/>
              <w:jc w:val="both"/>
              <w:rPr>
                <w:lang w:eastAsia="en-GB"/>
              </w:rPr>
            </w:pPr>
            <w:r w:rsidRPr="00647CD8">
              <w:rPr>
                <w:lang w:eastAsia="en-GB"/>
              </w:rPr>
              <w:t>Due to the emphasis of the permit on electrical (and cooling) systems it is noted that the EA considers the F-Gas regulations as falling under the remit of the EPR permit (for notifications and management)</w:t>
            </w:r>
            <w:r w:rsidR="00A67074" w:rsidRPr="00647CD8">
              <w:rPr>
                <w:lang w:eastAsia="en-GB"/>
              </w:rPr>
              <w:t xml:space="preserve"> where F-gases (or potentially any polluting potential substance) are used directly under the combustion aspects of the permitted activity (e.g</w:t>
            </w:r>
            <w:r w:rsidR="004B69CB" w:rsidRPr="00647CD8">
              <w:rPr>
                <w:lang w:eastAsia="en-GB"/>
              </w:rPr>
              <w:t>.</w:t>
            </w:r>
            <w:r w:rsidR="00A67074" w:rsidRPr="00647CD8">
              <w:rPr>
                <w:lang w:eastAsia="en-GB"/>
              </w:rPr>
              <w:t xml:space="preserve"> switchgear). It is important to notify the EA of any significant releases. Other uses of F-gases e.g. for server room cooling are not strictly under the </w:t>
            </w:r>
            <w:r w:rsidR="000300F4" w:rsidRPr="00647CD8">
              <w:rPr>
                <w:lang w:eastAsia="en-GB"/>
              </w:rPr>
              <w:t xml:space="preserve">EA </w:t>
            </w:r>
            <w:r w:rsidR="00A67074" w:rsidRPr="00647CD8">
              <w:rPr>
                <w:lang w:eastAsia="en-GB"/>
              </w:rPr>
              <w:t xml:space="preserve">permit but are regulated by the EA generally so it may still be prudent to make the EA aware of your F-gas releases. </w:t>
            </w:r>
          </w:p>
        </w:tc>
      </w:tr>
    </w:tbl>
    <w:p w14:paraId="4EE7ACA7" w14:textId="77777777" w:rsidR="00023DB9" w:rsidRPr="00647CD8" w:rsidRDefault="00023DB9" w:rsidP="00CB57C9">
      <w:pPr>
        <w:pStyle w:val="ListParagraph"/>
        <w:numPr>
          <w:ilvl w:val="0"/>
          <w:numId w:val="8"/>
        </w:numPr>
        <w:tabs>
          <w:tab w:val="clear" w:pos="1168"/>
        </w:tabs>
        <w:spacing w:after="0" w:line="240" w:lineRule="auto"/>
        <w:ind w:left="1560" w:hanging="851"/>
        <w:jc w:val="both"/>
        <w:rPr>
          <w:lang w:eastAsia="en-GB"/>
        </w:rPr>
      </w:pPr>
      <w:r w:rsidRPr="00647CD8">
        <w:rPr>
          <w:lang w:eastAsia="en-GB"/>
        </w:rPr>
        <w:t xml:space="preserve">The permit application should detail the likely quantities of waste engine oil generated </w:t>
      </w:r>
      <w:r w:rsidR="00AE15F2" w:rsidRPr="00647CD8">
        <w:rPr>
          <w:lang w:eastAsia="en-GB"/>
        </w:rPr>
        <w:t xml:space="preserve">annually - </w:t>
      </w:r>
      <w:r w:rsidRPr="00647CD8">
        <w:rPr>
          <w:lang w:eastAsia="en-GB"/>
        </w:rPr>
        <w:t>EWC 13 02 waste oils following servicing for example. Although unlikely to be huge</w:t>
      </w:r>
      <w:r w:rsidR="00E71122" w:rsidRPr="00647CD8">
        <w:rPr>
          <w:lang w:eastAsia="en-GB"/>
        </w:rPr>
        <w:t>, the</w:t>
      </w:r>
      <w:r w:rsidRPr="00647CD8">
        <w:rPr>
          <w:lang w:eastAsia="en-GB"/>
        </w:rPr>
        <w:t xml:space="preserve"> P</w:t>
      </w:r>
      <w:r w:rsidR="005424B6" w:rsidRPr="00647CD8">
        <w:rPr>
          <w:lang w:eastAsia="en-GB"/>
        </w:rPr>
        <w:t>ollution inventory</w:t>
      </w:r>
      <w:r w:rsidRPr="00647CD8">
        <w:rPr>
          <w:lang w:eastAsia="en-GB"/>
        </w:rPr>
        <w:t xml:space="preserve"> has </w:t>
      </w:r>
      <w:r w:rsidR="003B5911" w:rsidRPr="00647CD8">
        <w:rPr>
          <w:lang w:eastAsia="en-GB"/>
        </w:rPr>
        <w:t>a reporting threshold of</w:t>
      </w:r>
      <w:r w:rsidR="00AE15F2" w:rsidRPr="00647CD8">
        <w:rPr>
          <w:lang w:eastAsia="en-GB"/>
        </w:rPr>
        <w:t xml:space="preserve"> </w:t>
      </w:r>
      <w:r w:rsidRPr="00647CD8">
        <w:rPr>
          <w:lang w:eastAsia="en-GB"/>
        </w:rPr>
        <w:t xml:space="preserve">1 tonne for non-hazardous waste but technically no </w:t>
      </w:r>
      <w:r w:rsidR="003B5911" w:rsidRPr="00647CD8">
        <w:rPr>
          <w:lang w:eastAsia="en-GB"/>
        </w:rPr>
        <w:t>lower threshol</w:t>
      </w:r>
      <w:r w:rsidR="00532A78" w:rsidRPr="00647CD8">
        <w:rPr>
          <w:lang w:eastAsia="en-GB"/>
        </w:rPr>
        <w:t>d</w:t>
      </w:r>
      <w:r w:rsidR="003B5911" w:rsidRPr="00647CD8">
        <w:rPr>
          <w:lang w:eastAsia="en-GB"/>
        </w:rPr>
        <w:t>s</w:t>
      </w:r>
      <w:r w:rsidRPr="00647CD8">
        <w:rPr>
          <w:lang w:eastAsia="en-GB"/>
        </w:rPr>
        <w:t xml:space="preserve"> for hazardous waste oil.</w:t>
      </w:r>
    </w:p>
    <w:p w14:paraId="28D75CBC" w14:textId="77777777" w:rsidR="006265E4" w:rsidRPr="00647CD8" w:rsidRDefault="006265E4" w:rsidP="00CB57C9">
      <w:pPr>
        <w:pStyle w:val="ListParagraph"/>
        <w:numPr>
          <w:ilvl w:val="0"/>
          <w:numId w:val="8"/>
        </w:numPr>
        <w:tabs>
          <w:tab w:val="clear" w:pos="1168"/>
        </w:tabs>
        <w:spacing w:after="0" w:line="240" w:lineRule="auto"/>
        <w:ind w:left="1560" w:hanging="851"/>
        <w:jc w:val="both"/>
        <w:rPr>
          <w:lang w:eastAsia="en-GB"/>
        </w:rPr>
      </w:pPr>
      <w:r w:rsidRPr="00647CD8">
        <w:rPr>
          <w:lang w:eastAsia="en-GB"/>
        </w:rPr>
        <w:t>The permit application is for the combustion plant and associated environmental concerns and not for the Data Centre itself. The applicant should be aware that the permitting process and application is accessible to the public so should have regard to ‘Commercial in Confidence’ and Critical National Infrastructure. In the first instance discuss particular concerns directly with the EA and/or exclude such priority information from the application but indicate that such is ‘available on request’.</w:t>
      </w:r>
    </w:p>
    <w:p w14:paraId="690D5882" w14:textId="77777777" w:rsidR="0098123C" w:rsidRPr="00647CD8" w:rsidRDefault="0098123C" w:rsidP="00CB57C9">
      <w:pPr>
        <w:pStyle w:val="ListParagraph"/>
        <w:numPr>
          <w:ilvl w:val="0"/>
          <w:numId w:val="8"/>
        </w:numPr>
        <w:tabs>
          <w:tab w:val="clear" w:pos="1168"/>
          <w:tab w:val="num" w:pos="1418"/>
        </w:tabs>
        <w:spacing w:after="0" w:line="240" w:lineRule="auto"/>
        <w:ind w:left="1134" w:hanging="567"/>
        <w:jc w:val="both"/>
        <w:rPr>
          <w:lang w:eastAsia="en-GB"/>
        </w:rPr>
      </w:pPr>
      <w:r w:rsidRPr="00647CD8">
        <w:rPr>
          <w:lang w:eastAsia="en-GB"/>
        </w:rPr>
        <w:br w:type="page"/>
      </w:r>
    </w:p>
    <w:p w14:paraId="4009669E" w14:textId="77777777" w:rsidR="00FC61BB" w:rsidRPr="00647CD8" w:rsidRDefault="00B94D33" w:rsidP="00575C9A">
      <w:pPr>
        <w:pStyle w:val="Heading2"/>
        <w:rPr>
          <w:color w:val="auto"/>
        </w:rPr>
      </w:pPr>
      <w:bookmarkStart w:id="3" w:name="_Toc517419537"/>
      <w:r w:rsidRPr="00647CD8">
        <w:rPr>
          <w:color w:val="auto"/>
        </w:rPr>
        <w:lastRenderedPageBreak/>
        <w:t>Aggregation</w:t>
      </w:r>
      <w:r w:rsidR="001E1B6B" w:rsidRPr="00647CD8">
        <w:rPr>
          <w:color w:val="auto"/>
        </w:rPr>
        <w:t xml:space="preserve"> of the installed Generators</w:t>
      </w:r>
      <w:bookmarkEnd w:id="3"/>
    </w:p>
    <w:p w14:paraId="43B28ABF" w14:textId="77777777" w:rsidR="00FC61BB" w:rsidRPr="00647CD8" w:rsidRDefault="00FC61BB" w:rsidP="00FC61BB">
      <w:pPr>
        <w:rPr>
          <w:lang w:eastAsia="en-GB"/>
        </w:rPr>
      </w:pPr>
    </w:p>
    <w:p w14:paraId="3381A8F0" w14:textId="77777777" w:rsidR="00B94D33" w:rsidRPr="00647CD8" w:rsidRDefault="00FC61BB" w:rsidP="00161A9D">
      <w:pPr>
        <w:pStyle w:val="Heading3"/>
        <w:rPr>
          <w:color w:val="auto"/>
        </w:rPr>
      </w:pPr>
      <w:bookmarkStart w:id="4" w:name="_Toc517419538"/>
      <w:r w:rsidRPr="00647CD8">
        <w:rPr>
          <w:color w:val="auto"/>
        </w:rPr>
        <w:t>RGN02</w:t>
      </w:r>
      <w:r w:rsidR="001E1B6B" w:rsidRPr="00647CD8">
        <w:rPr>
          <w:color w:val="auto"/>
        </w:rPr>
        <w:t xml:space="preserve"> – the EA’s official guide on aggregation</w:t>
      </w:r>
      <w:bookmarkEnd w:id="4"/>
      <w:r w:rsidR="001E1B6B" w:rsidRPr="00647CD8">
        <w:rPr>
          <w:color w:val="auto"/>
        </w:rPr>
        <w:t xml:space="preserve"> </w:t>
      </w:r>
    </w:p>
    <w:p w14:paraId="103ADA14" w14:textId="77777777" w:rsidR="00C3780B" w:rsidRPr="00647CD8" w:rsidRDefault="00253ECF" w:rsidP="00253ECF">
      <w:r w:rsidRPr="00647CD8">
        <w:rPr>
          <w:lang w:eastAsia="en-GB"/>
        </w:rPr>
        <w:t xml:space="preserve">The aggregated </w:t>
      </w:r>
      <w:r w:rsidR="00FF1A4C" w:rsidRPr="00647CD8">
        <w:rPr>
          <w:lang w:eastAsia="en-GB"/>
        </w:rPr>
        <w:t xml:space="preserve">net </w:t>
      </w:r>
      <w:r w:rsidR="00C05BEB" w:rsidRPr="00647CD8">
        <w:rPr>
          <w:lang w:eastAsia="en-GB"/>
        </w:rPr>
        <w:t xml:space="preserve">thermal input </w:t>
      </w:r>
      <w:r w:rsidRPr="00647CD8">
        <w:rPr>
          <w:lang w:eastAsia="en-GB"/>
        </w:rPr>
        <w:t>load required for a</w:t>
      </w:r>
      <w:r w:rsidR="005A2A96" w:rsidRPr="00647CD8">
        <w:rPr>
          <w:lang w:eastAsia="en-GB"/>
        </w:rPr>
        <w:t>n</w:t>
      </w:r>
      <w:r w:rsidRPr="00647CD8">
        <w:rPr>
          <w:lang w:eastAsia="en-GB"/>
        </w:rPr>
        <w:t xml:space="preserve"> EA </w:t>
      </w:r>
      <w:r w:rsidR="001E1B6B" w:rsidRPr="00647CD8">
        <w:rPr>
          <w:lang w:eastAsia="en-GB"/>
        </w:rPr>
        <w:t xml:space="preserve">combustion 1.1A </w:t>
      </w:r>
      <w:r w:rsidRPr="00647CD8">
        <w:rPr>
          <w:lang w:eastAsia="en-GB"/>
        </w:rPr>
        <w:t>permit is 50MWth</w:t>
      </w:r>
      <w:r w:rsidR="00780700" w:rsidRPr="00647CD8">
        <w:rPr>
          <w:lang w:eastAsia="en-GB"/>
        </w:rPr>
        <w:t xml:space="preserve"> </w:t>
      </w:r>
      <w:r w:rsidR="008C547C" w:rsidRPr="00647CD8">
        <w:rPr>
          <w:lang w:eastAsia="en-GB"/>
        </w:rPr>
        <w:t xml:space="preserve">input </w:t>
      </w:r>
      <w:r w:rsidR="00780700" w:rsidRPr="00647CD8">
        <w:rPr>
          <w:lang w:eastAsia="en-GB"/>
        </w:rPr>
        <w:t xml:space="preserve">as defined by the IED Chapter </w:t>
      </w:r>
      <w:r w:rsidR="00E71122" w:rsidRPr="00647CD8">
        <w:rPr>
          <w:lang w:eastAsia="en-GB"/>
        </w:rPr>
        <w:t>II</w:t>
      </w:r>
      <w:r w:rsidR="001E1B6B" w:rsidRPr="00647CD8">
        <w:rPr>
          <w:lang w:eastAsia="en-GB"/>
        </w:rPr>
        <w:t>. The aggregation is not on MWelec output or MVA</w:t>
      </w:r>
      <w:r w:rsidRPr="00647CD8">
        <w:rPr>
          <w:lang w:eastAsia="en-GB"/>
        </w:rPr>
        <w:t>.</w:t>
      </w:r>
      <w:r w:rsidR="00C3780B" w:rsidRPr="00647CD8">
        <w:t xml:space="preserve"> The specific guidance related to the nub of the issue regarding IED Chapter </w:t>
      </w:r>
      <w:r w:rsidR="00E71122" w:rsidRPr="00647CD8">
        <w:t xml:space="preserve">II </w:t>
      </w:r>
      <w:r w:rsidR="00C3780B" w:rsidRPr="00647CD8">
        <w:t xml:space="preserve">(50MWth) aggregation is at </w:t>
      </w:r>
      <w:hyperlink r:id="rId12" w:history="1">
        <w:r w:rsidR="00C3780B" w:rsidRPr="00647CD8">
          <w:rPr>
            <w:rStyle w:val="Hyperlink"/>
            <w:color w:val="auto"/>
          </w:rPr>
          <w:t>https://www.gov.uk/government/publications/rgn-2-understanding-the-meaning-of-regulated-facility</w:t>
        </w:r>
      </w:hyperlink>
    </w:p>
    <w:p w14:paraId="3CCCF168" w14:textId="77777777" w:rsidR="00253ECF" w:rsidRPr="00647CD8" w:rsidRDefault="00825003" w:rsidP="00253ECF">
      <w:pPr>
        <w:rPr>
          <w:lang w:eastAsia="en-GB"/>
        </w:rPr>
      </w:pPr>
      <w:r w:rsidRPr="00647CD8">
        <w:rPr>
          <w:lang w:eastAsia="en-GB"/>
        </w:rPr>
        <w:t xml:space="preserve">It applies to </w:t>
      </w:r>
      <w:r w:rsidR="005A2A96" w:rsidRPr="00647CD8">
        <w:rPr>
          <w:lang w:eastAsia="en-GB"/>
        </w:rPr>
        <w:t xml:space="preserve">all plant above 1MWth </w:t>
      </w:r>
      <w:r w:rsidR="001E1B6B" w:rsidRPr="00647CD8">
        <w:rPr>
          <w:lang w:eastAsia="en-GB"/>
        </w:rPr>
        <w:t xml:space="preserve">input </w:t>
      </w:r>
      <w:r w:rsidR="005A2A96" w:rsidRPr="00647CD8">
        <w:rPr>
          <w:lang w:eastAsia="en-GB"/>
        </w:rPr>
        <w:t xml:space="preserve">even those which may be regarded as ‘standby’ – so this includes those provided </w:t>
      </w:r>
      <w:r w:rsidR="001E1B6B" w:rsidRPr="00647CD8">
        <w:rPr>
          <w:lang w:eastAsia="en-GB"/>
        </w:rPr>
        <w:t xml:space="preserve">units </w:t>
      </w:r>
      <w:r w:rsidR="005A2A96" w:rsidRPr="00647CD8">
        <w:rPr>
          <w:lang w:eastAsia="en-GB"/>
        </w:rPr>
        <w:t xml:space="preserve">in addition to </w:t>
      </w:r>
      <w:r w:rsidR="00FC61BB" w:rsidRPr="00647CD8">
        <w:rPr>
          <w:lang w:eastAsia="en-GB"/>
        </w:rPr>
        <w:t xml:space="preserve">customer </w:t>
      </w:r>
      <w:r w:rsidR="005A2A96" w:rsidRPr="00647CD8">
        <w:rPr>
          <w:lang w:eastAsia="en-GB"/>
        </w:rPr>
        <w:t xml:space="preserve">load demands as a (2n), (n+1) or 2(n+1) </w:t>
      </w:r>
      <w:r w:rsidR="00FC1478" w:rsidRPr="00647CD8">
        <w:rPr>
          <w:lang w:eastAsia="en-GB"/>
        </w:rPr>
        <w:t>data centre</w:t>
      </w:r>
      <w:r w:rsidR="005A2A96" w:rsidRPr="00647CD8">
        <w:rPr>
          <w:lang w:eastAsia="en-GB"/>
        </w:rPr>
        <w:t xml:space="preserve"> site. </w:t>
      </w:r>
      <w:r w:rsidR="00FC61BB" w:rsidRPr="00647CD8">
        <w:rPr>
          <w:lang w:eastAsia="en-GB"/>
        </w:rPr>
        <w:t>G</w:t>
      </w:r>
      <w:r w:rsidR="005A2A96" w:rsidRPr="00647CD8">
        <w:rPr>
          <w:lang w:eastAsia="en-GB"/>
        </w:rPr>
        <w:t>enerator se</w:t>
      </w:r>
      <w:r w:rsidR="002443ED" w:rsidRPr="00647CD8">
        <w:rPr>
          <w:lang w:eastAsia="en-GB"/>
        </w:rPr>
        <w:t>t</w:t>
      </w:r>
      <w:r w:rsidR="008B065A" w:rsidRPr="00647CD8">
        <w:rPr>
          <w:lang w:eastAsia="en-GB"/>
        </w:rPr>
        <w:t xml:space="preserve"> power</w:t>
      </w:r>
      <w:r w:rsidR="002443ED" w:rsidRPr="00647CD8">
        <w:rPr>
          <w:lang w:eastAsia="en-GB"/>
        </w:rPr>
        <w:t xml:space="preserve"> </w:t>
      </w:r>
      <w:r w:rsidR="00FC61BB" w:rsidRPr="00647CD8">
        <w:rPr>
          <w:lang w:eastAsia="en-GB"/>
        </w:rPr>
        <w:t>rating is the s</w:t>
      </w:r>
      <w:r w:rsidR="005A2A96" w:rsidRPr="00647CD8">
        <w:rPr>
          <w:lang w:eastAsia="en-GB"/>
        </w:rPr>
        <w:t xml:space="preserve">tandby </w:t>
      </w:r>
      <w:r w:rsidR="00FC61BB" w:rsidRPr="00647CD8">
        <w:rPr>
          <w:lang w:eastAsia="en-GB"/>
        </w:rPr>
        <w:t xml:space="preserve">figure </w:t>
      </w:r>
      <w:r w:rsidR="000D54A0" w:rsidRPr="00647CD8">
        <w:rPr>
          <w:lang w:eastAsia="en-GB"/>
        </w:rPr>
        <w:t>(</w:t>
      </w:r>
      <w:r w:rsidR="00FC61BB" w:rsidRPr="00647CD8">
        <w:rPr>
          <w:lang w:eastAsia="en-GB"/>
        </w:rPr>
        <w:t xml:space="preserve">i.e. </w:t>
      </w:r>
      <w:r w:rsidR="000D54A0" w:rsidRPr="00647CD8">
        <w:rPr>
          <w:lang w:eastAsia="en-GB"/>
        </w:rPr>
        <w:t xml:space="preserve">normally </w:t>
      </w:r>
      <w:r w:rsidR="005A2A96" w:rsidRPr="00647CD8">
        <w:rPr>
          <w:lang w:eastAsia="en-GB"/>
        </w:rPr>
        <w:t>110% thermal input of continuous rating</w:t>
      </w:r>
      <w:r w:rsidR="00FC61BB" w:rsidRPr="00647CD8">
        <w:rPr>
          <w:lang w:eastAsia="en-GB"/>
        </w:rPr>
        <w:t>)</w:t>
      </w:r>
      <w:r w:rsidR="005A2A96" w:rsidRPr="00647CD8">
        <w:rPr>
          <w:lang w:eastAsia="en-GB"/>
        </w:rPr>
        <w:t xml:space="preserve"> </w:t>
      </w:r>
      <w:r w:rsidR="00513E02" w:rsidRPr="00647CD8">
        <w:rPr>
          <w:lang w:eastAsia="en-GB"/>
        </w:rPr>
        <w:t>and</w:t>
      </w:r>
      <w:r w:rsidR="002443ED" w:rsidRPr="00647CD8">
        <w:rPr>
          <w:lang w:eastAsia="en-GB"/>
        </w:rPr>
        <w:t xml:space="preserve"> </w:t>
      </w:r>
      <w:r w:rsidR="00C2416E" w:rsidRPr="00647CD8">
        <w:rPr>
          <w:lang w:eastAsia="en-GB"/>
        </w:rPr>
        <w:t>summed</w:t>
      </w:r>
      <w:r w:rsidR="002443ED" w:rsidRPr="00647CD8">
        <w:rPr>
          <w:lang w:eastAsia="en-GB"/>
        </w:rPr>
        <w:t xml:space="preserve"> </w:t>
      </w:r>
      <w:r w:rsidR="001E1B6B" w:rsidRPr="00647CD8">
        <w:rPr>
          <w:lang w:eastAsia="en-GB"/>
        </w:rPr>
        <w:t xml:space="preserve">as MWth input and then </w:t>
      </w:r>
      <w:r w:rsidR="002443ED" w:rsidRPr="00647CD8">
        <w:rPr>
          <w:lang w:eastAsia="en-GB"/>
        </w:rPr>
        <w:t xml:space="preserve">used as per RGN02. </w:t>
      </w:r>
    </w:p>
    <w:p w14:paraId="1D55E8D7" w14:textId="77777777" w:rsidR="005544C8" w:rsidRPr="00647CD8" w:rsidRDefault="001E1B6B" w:rsidP="00253ECF">
      <w:pPr>
        <w:rPr>
          <w:lang w:eastAsia="en-GB"/>
        </w:rPr>
      </w:pPr>
      <w:r w:rsidRPr="00647CD8">
        <w:rPr>
          <w:lang w:eastAsia="en-GB"/>
        </w:rPr>
        <w:t xml:space="preserve">If precise MWth input </w:t>
      </w:r>
      <w:r w:rsidR="005544C8" w:rsidRPr="00647CD8">
        <w:rPr>
          <w:lang w:eastAsia="en-GB"/>
        </w:rPr>
        <w:t>figures are unavailable, the calculation for MWth derived from MVA output is based on: power factor 0.8 and an assumed poor conversion efficiency of 0.35 for MWth to MWelec e.g. 3MVA = (3*0.8)/0.35 = 6.86MWth.</w:t>
      </w:r>
      <w:r w:rsidRPr="00647CD8">
        <w:rPr>
          <w:lang w:eastAsia="en-GB"/>
        </w:rPr>
        <w:t xml:space="preserve"> More detail may be required if the aggregation falls marginally very close to the 50MWth.</w:t>
      </w:r>
    </w:p>
    <w:p w14:paraId="03D25394" w14:textId="77777777" w:rsidR="00FA0AC2" w:rsidRPr="00647CD8" w:rsidRDefault="00FA0AC2" w:rsidP="00161A9D">
      <w:pPr>
        <w:pStyle w:val="Heading3"/>
        <w:rPr>
          <w:color w:val="auto"/>
        </w:rPr>
      </w:pPr>
      <w:bookmarkStart w:id="5" w:name="_Toc517419539"/>
      <w:r w:rsidRPr="00647CD8">
        <w:rPr>
          <w:color w:val="auto"/>
        </w:rPr>
        <w:t xml:space="preserve">Data Centres </w:t>
      </w:r>
      <w:r w:rsidR="00C05BEB" w:rsidRPr="00647CD8">
        <w:rPr>
          <w:color w:val="auto"/>
        </w:rPr>
        <w:t xml:space="preserve">with additional combustion plant other than standby </w:t>
      </w:r>
      <w:r w:rsidRPr="00647CD8">
        <w:rPr>
          <w:color w:val="auto"/>
        </w:rPr>
        <w:t>plant</w:t>
      </w:r>
      <w:bookmarkEnd w:id="5"/>
    </w:p>
    <w:p w14:paraId="36DD1594" w14:textId="77777777" w:rsidR="00C05BEB" w:rsidRPr="00647CD8" w:rsidRDefault="00C05BEB" w:rsidP="00C05BEB">
      <w:pPr>
        <w:rPr>
          <w:lang w:eastAsia="en-GB"/>
        </w:rPr>
      </w:pPr>
      <w:r w:rsidRPr="00647CD8">
        <w:rPr>
          <w:lang w:eastAsia="en-GB"/>
        </w:rPr>
        <w:t>If the operator has additional combustion plant other than standby generators such as boilers</w:t>
      </w:r>
      <w:r w:rsidR="001E1B6B" w:rsidRPr="00647CD8">
        <w:rPr>
          <w:lang w:eastAsia="en-GB"/>
        </w:rPr>
        <w:t xml:space="preserve"> or possibly diesel fire pumps</w:t>
      </w:r>
      <w:r w:rsidRPr="00647CD8">
        <w:rPr>
          <w:lang w:eastAsia="en-GB"/>
        </w:rPr>
        <w:t xml:space="preserve"> then those </w:t>
      </w:r>
      <w:r w:rsidRPr="00647CD8">
        <w:rPr>
          <w:u w:val="single"/>
          <w:lang w:eastAsia="en-GB"/>
        </w:rPr>
        <w:t>above 1MWth</w:t>
      </w:r>
      <w:r w:rsidRPr="00647CD8">
        <w:rPr>
          <w:lang w:eastAsia="en-GB"/>
        </w:rPr>
        <w:t xml:space="preserve"> </w:t>
      </w:r>
      <w:r w:rsidR="004F47E0" w:rsidRPr="00647CD8">
        <w:rPr>
          <w:lang w:eastAsia="en-GB"/>
        </w:rPr>
        <w:t xml:space="preserve">input </w:t>
      </w:r>
      <w:r w:rsidRPr="00647CD8">
        <w:rPr>
          <w:lang w:eastAsia="en-GB"/>
        </w:rPr>
        <w:t xml:space="preserve">need to be included in the aggregation as well. </w:t>
      </w:r>
      <w:r w:rsidR="00F7077D" w:rsidRPr="00647CD8">
        <w:t>This is more likely to apply for Lone Business or Pure Enterprise locations.</w:t>
      </w:r>
    </w:p>
    <w:p w14:paraId="5A91AD2D" w14:textId="77777777" w:rsidR="00C05BEB" w:rsidRPr="00647CD8" w:rsidRDefault="00C05BEB" w:rsidP="00C05BEB">
      <w:pPr>
        <w:rPr>
          <w:lang w:eastAsia="en-GB"/>
        </w:rPr>
      </w:pPr>
      <w:r w:rsidRPr="00647CD8">
        <w:rPr>
          <w:lang w:eastAsia="en-GB"/>
        </w:rPr>
        <w:t>Boilers or power plant which operate for regular supply of hot water, power or heating will be treated and assessed differently within the permitting because they would not be emergency (i.e. &gt;500 hours use) and there is sufficient information and legislation for the setting of monitoring, emission limits and BAT.</w:t>
      </w:r>
    </w:p>
    <w:p w14:paraId="21AD6C18" w14:textId="77777777" w:rsidR="0037559D" w:rsidRPr="00647CD8" w:rsidRDefault="003868A6" w:rsidP="00C3780B">
      <w:r w:rsidRPr="00647CD8">
        <w:t xml:space="preserve">ELVs </w:t>
      </w:r>
      <w:r w:rsidR="00F7077D" w:rsidRPr="00647CD8">
        <w:t xml:space="preserve">would be </w:t>
      </w:r>
      <w:r w:rsidRPr="00647CD8">
        <w:t xml:space="preserve">set by </w:t>
      </w:r>
      <w:r w:rsidR="008C547C" w:rsidRPr="00647CD8">
        <w:t xml:space="preserve">the medium combustion plant </w:t>
      </w:r>
      <w:r w:rsidR="001E1B6B" w:rsidRPr="00647CD8">
        <w:t xml:space="preserve">directive </w:t>
      </w:r>
      <w:r w:rsidR="008C547C" w:rsidRPr="00647CD8">
        <w:t xml:space="preserve">- </w:t>
      </w:r>
      <w:r w:rsidRPr="00647CD8">
        <w:t>MCPD</w:t>
      </w:r>
      <w:r w:rsidR="00FC1478" w:rsidRPr="00647CD8">
        <w:t xml:space="preserve"> or </w:t>
      </w:r>
      <w:r w:rsidR="001E1B6B" w:rsidRPr="00647CD8">
        <w:t>our b</w:t>
      </w:r>
      <w:r w:rsidR="00FF1A4C" w:rsidRPr="00647CD8">
        <w:t>est available techniques (B</w:t>
      </w:r>
      <w:r w:rsidR="00FC1478" w:rsidRPr="00647CD8">
        <w:t>AT</w:t>
      </w:r>
      <w:r w:rsidR="00FF1A4C" w:rsidRPr="00647CD8">
        <w:t>)</w:t>
      </w:r>
      <w:r w:rsidR="001E1B6B" w:rsidRPr="00647CD8">
        <w:t xml:space="preserve"> benchmarking</w:t>
      </w:r>
      <w:r w:rsidR="00FF1A4C" w:rsidRPr="00647CD8">
        <w:t>.</w:t>
      </w:r>
    </w:p>
    <w:p w14:paraId="151898E8" w14:textId="77777777" w:rsidR="001E1B6B" w:rsidRPr="00647CD8" w:rsidRDefault="001E1B6B" w:rsidP="00C3780B">
      <w:r w:rsidRPr="00647CD8">
        <w:t xml:space="preserve">Plant below 1MWth does not </w:t>
      </w:r>
      <w:r w:rsidR="00666AA0" w:rsidRPr="00647CD8">
        <w:t xml:space="preserve">usually </w:t>
      </w:r>
      <w:r w:rsidRPr="00647CD8">
        <w:t>need to be include</w:t>
      </w:r>
      <w:r w:rsidR="00666AA0" w:rsidRPr="00647CD8">
        <w:t>d</w:t>
      </w:r>
      <w:r w:rsidRPr="00647CD8">
        <w:t xml:space="preserve"> (or regulated) on the EA permit</w:t>
      </w:r>
      <w:r w:rsidR="00666AA0" w:rsidRPr="00647CD8">
        <w:t xml:space="preserve"> as combustion plant emissions. It is however useful to mention such plant during the permit application process so that consideration as to it potentially being a ‘Directly associated activity’ can be made (e.g. sharing a link to a common fuel storage tank)</w:t>
      </w:r>
    </w:p>
    <w:p w14:paraId="6BAEBAFE" w14:textId="77777777" w:rsidR="00E46F92" w:rsidRPr="00647CD8" w:rsidRDefault="00E46F92" w:rsidP="00161A9D">
      <w:pPr>
        <w:pStyle w:val="Heading3"/>
        <w:rPr>
          <w:color w:val="auto"/>
        </w:rPr>
      </w:pPr>
      <w:bookmarkStart w:id="6" w:name="_Toc517419540"/>
      <w:r w:rsidRPr="00647CD8">
        <w:rPr>
          <w:color w:val="auto"/>
        </w:rPr>
        <w:t xml:space="preserve">Thermal Load </w:t>
      </w:r>
      <w:r w:rsidR="00666AA0" w:rsidRPr="00647CD8">
        <w:rPr>
          <w:color w:val="auto"/>
        </w:rPr>
        <w:t xml:space="preserve">Output </w:t>
      </w:r>
      <w:r w:rsidRPr="00647CD8">
        <w:rPr>
          <w:color w:val="auto"/>
        </w:rPr>
        <w:t>constraints</w:t>
      </w:r>
      <w:r w:rsidR="00B21311" w:rsidRPr="00647CD8">
        <w:rPr>
          <w:color w:val="auto"/>
        </w:rPr>
        <w:t xml:space="preserve"> </w:t>
      </w:r>
      <w:r w:rsidR="00666AA0" w:rsidRPr="00647CD8">
        <w:rPr>
          <w:color w:val="auto"/>
        </w:rPr>
        <w:t xml:space="preserve">to the installed plant </w:t>
      </w:r>
      <w:r w:rsidR="00B21311" w:rsidRPr="00647CD8">
        <w:rPr>
          <w:color w:val="auto"/>
        </w:rPr>
        <w:t>– R</w:t>
      </w:r>
      <w:r w:rsidR="00FC61BB" w:rsidRPr="00647CD8">
        <w:rPr>
          <w:color w:val="auto"/>
        </w:rPr>
        <w:t>GN02</w:t>
      </w:r>
      <w:bookmarkEnd w:id="6"/>
    </w:p>
    <w:p w14:paraId="2948A3C0" w14:textId="77777777" w:rsidR="007315F3" w:rsidRPr="00647CD8" w:rsidRDefault="00FF1A4C" w:rsidP="007315F3">
      <w:pPr>
        <w:rPr>
          <w:lang w:eastAsia="en-GB"/>
        </w:rPr>
      </w:pPr>
      <w:r w:rsidRPr="00647CD8">
        <w:rPr>
          <w:lang w:eastAsia="en-GB"/>
        </w:rPr>
        <w:t xml:space="preserve">Primary legislation is clear that for combustion plant, it is the input </w:t>
      </w:r>
      <w:r w:rsidR="00666AA0" w:rsidRPr="00647CD8">
        <w:rPr>
          <w:lang w:eastAsia="en-GB"/>
        </w:rPr>
        <w:t xml:space="preserve">thermal </w:t>
      </w:r>
      <w:r w:rsidRPr="00647CD8">
        <w:rPr>
          <w:lang w:eastAsia="en-GB"/>
        </w:rPr>
        <w:t xml:space="preserve">not output </w:t>
      </w:r>
      <w:r w:rsidR="00666AA0" w:rsidRPr="00647CD8">
        <w:rPr>
          <w:lang w:eastAsia="en-GB"/>
        </w:rPr>
        <w:t xml:space="preserve">electrical </w:t>
      </w:r>
      <w:r w:rsidRPr="00647CD8">
        <w:rPr>
          <w:lang w:eastAsia="en-GB"/>
        </w:rPr>
        <w:t>that draws plant into the legislation</w:t>
      </w:r>
      <w:r w:rsidR="00666AA0" w:rsidRPr="00647CD8">
        <w:rPr>
          <w:lang w:eastAsia="en-GB"/>
        </w:rPr>
        <w:t xml:space="preserve"> for a permit</w:t>
      </w:r>
      <w:r w:rsidRPr="00647CD8">
        <w:rPr>
          <w:lang w:eastAsia="en-GB"/>
        </w:rPr>
        <w:t xml:space="preserve">. </w:t>
      </w:r>
      <w:r w:rsidR="00666AA0" w:rsidRPr="00647CD8">
        <w:rPr>
          <w:lang w:eastAsia="en-GB"/>
        </w:rPr>
        <w:t xml:space="preserve">RGN02 outlines how the EA approaches the issues associated with operators wishing to de-rate plant, provide fuel flow physical constraints so as to fall below </w:t>
      </w:r>
      <w:r w:rsidR="007315F3" w:rsidRPr="00647CD8">
        <w:rPr>
          <w:lang w:eastAsia="en-GB"/>
        </w:rPr>
        <w:t xml:space="preserve">the IED 1.1A EA permit </w:t>
      </w:r>
      <w:r w:rsidR="00666AA0" w:rsidRPr="00647CD8">
        <w:rPr>
          <w:lang w:eastAsia="en-GB"/>
        </w:rPr>
        <w:t xml:space="preserve">50MWth </w:t>
      </w:r>
      <w:r w:rsidR="007315F3" w:rsidRPr="00647CD8">
        <w:rPr>
          <w:lang w:eastAsia="en-GB"/>
        </w:rPr>
        <w:t xml:space="preserve">threshold and thus avoid a permit </w:t>
      </w:r>
      <w:r w:rsidR="00666AA0" w:rsidRPr="00647CD8">
        <w:rPr>
          <w:lang w:eastAsia="en-GB"/>
        </w:rPr>
        <w:t xml:space="preserve">for the site as a whole. </w:t>
      </w:r>
    </w:p>
    <w:p w14:paraId="62BED1CB" w14:textId="77777777" w:rsidR="007315F3" w:rsidRPr="00647CD8" w:rsidRDefault="007315F3" w:rsidP="007315F3">
      <w:pPr>
        <w:rPr>
          <w:lang w:eastAsia="en-GB"/>
        </w:rPr>
      </w:pPr>
      <w:r w:rsidRPr="00647CD8">
        <w:rPr>
          <w:lang w:eastAsia="en-GB"/>
        </w:rPr>
        <w:t>It should be borne in mind in the context of diesel arrays and aggregated combustion plant generally the medium combustion plant directive will fill the ‘regulatory gap’ in the range 1-50MWth for such plant in the near future starting Dec 2018 anyway.</w:t>
      </w:r>
    </w:p>
    <w:p w14:paraId="4D8338CE" w14:textId="77777777" w:rsidR="00E46F92" w:rsidRPr="00647CD8" w:rsidRDefault="00FF1A4C" w:rsidP="00E46F92">
      <w:pPr>
        <w:rPr>
          <w:lang w:eastAsia="en-GB"/>
        </w:rPr>
      </w:pPr>
      <w:r w:rsidRPr="00647CD8">
        <w:rPr>
          <w:lang w:eastAsia="en-GB"/>
        </w:rPr>
        <w:t xml:space="preserve">It is not for the EA to audit system’s physical design constraints or QA software to determine an alternative to the simple figures on the faceplate on engine plant input.  </w:t>
      </w:r>
      <w:r w:rsidR="00CB682B" w:rsidRPr="00647CD8">
        <w:rPr>
          <w:lang w:eastAsia="en-GB"/>
        </w:rPr>
        <w:t xml:space="preserve">MWelec output constraints such a realistic customer load or other practical </w:t>
      </w:r>
      <w:r w:rsidR="00C2416E" w:rsidRPr="00647CD8">
        <w:rPr>
          <w:lang w:eastAsia="en-GB"/>
        </w:rPr>
        <w:t>output l</w:t>
      </w:r>
      <w:r w:rsidR="00CB682B" w:rsidRPr="00647CD8">
        <w:rPr>
          <w:lang w:eastAsia="en-GB"/>
        </w:rPr>
        <w:t xml:space="preserve">imiting factors </w:t>
      </w:r>
      <w:r w:rsidR="00FC1478" w:rsidRPr="00647CD8">
        <w:rPr>
          <w:lang w:eastAsia="en-GB"/>
        </w:rPr>
        <w:t xml:space="preserve">do not constitute a limit </w:t>
      </w:r>
      <w:r w:rsidR="00CB682B" w:rsidRPr="00647CD8">
        <w:rPr>
          <w:lang w:eastAsia="en-GB"/>
        </w:rPr>
        <w:t xml:space="preserve">to the MWth input </w:t>
      </w:r>
      <w:r w:rsidR="00FC1478" w:rsidRPr="00647CD8">
        <w:rPr>
          <w:lang w:eastAsia="en-GB"/>
        </w:rPr>
        <w:t xml:space="preserve">as defined in RGN02. </w:t>
      </w:r>
      <w:r w:rsidR="008B065A" w:rsidRPr="00647CD8">
        <w:rPr>
          <w:lang w:eastAsia="en-GB"/>
        </w:rPr>
        <w:t>In RGN</w:t>
      </w:r>
      <w:r w:rsidR="00CB682B" w:rsidRPr="00647CD8">
        <w:rPr>
          <w:lang w:eastAsia="en-GB"/>
        </w:rPr>
        <w:t xml:space="preserve">02 mention is made of physical </w:t>
      </w:r>
      <w:r w:rsidR="007B3D11" w:rsidRPr="00647CD8">
        <w:rPr>
          <w:lang w:eastAsia="en-GB"/>
        </w:rPr>
        <w:t xml:space="preserve">(e.g. an orifice restriction plate in a fuel line) </w:t>
      </w:r>
      <w:r w:rsidR="00CB682B" w:rsidRPr="00647CD8">
        <w:rPr>
          <w:lang w:eastAsia="en-GB"/>
        </w:rPr>
        <w:t xml:space="preserve">or </w:t>
      </w:r>
      <w:r w:rsidR="00CB682B" w:rsidRPr="00647CD8">
        <w:rPr>
          <w:lang w:eastAsia="en-GB"/>
        </w:rPr>
        <w:lastRenderedPageBreak/>
        <w:t>software constraints</w:t>
      </w:r>
      <w:r w:rsidR="0040614B" w:rsidRPr="00647CD8">
        <w:rPr>
          <w:lang w:eastAsia="en-GB"/>
        </w:rPr>
        <w:t xml:space="preserve"> (</w:t>
      </w:r>
      <w:r w:rsidR="0040614B" w:rsidRPr="00647CD8">
        <w:rPr>
          <w:i/>
          <w:lang w:eastAsia="en-GB"/>
        </w:rPr>
        <w:t>meaning a separate instrumented metering control system with locked-out limits</w:t>
      </w:r>
      <w:r w:rsidR="007B3D11" w:rsidRPr="00647CD8">
        <w:rPr>
          <w:i/>
          <w:lang w:eastAsia="en-GB"/>
        </w:rPr>
        <w:t xml:space="preserve"> on fuel across the site</w:t>
      </w:r>
      <w:r w:rsidR="0040614B" w:rsidRPr="00647CD8">
        <w:rPr>
          <w:lang w:eastAsia="en-GB"/>
        </w:rPr>
        <w:t>)</w:t>
      </w:r>
      <w:r w:rsidR="00825003" w:rsidRPr="00647CD8">
        <w:rPr>
          <w:lang w:eastAsia="en-GB"/>
        </w:rPr>
        <w:t>:</w:t>
      </w:r>
      <w:r w:rsidR="00CB682B" w:rsidRPr="00647CD8">
        <w:rPr>
          <w:lang w:eastAsia="en-GB"/>
        </w:rPr>
        <w:t xml:space="preserve"> these can only be </w:t>
      </w:r>
      <w:r w:rsidR="00825003" w:rsidRPr="00647CD8">
        <w:rPr>
          <w:lang w:eastAsia="en-GB"/>
        </w:rPr>
        <w:t>permanent and immediately verifiable</w:t>
      </w:r>
      <w:r w:rsidR="00CB682B" w:rsidRPr="00647CD8">
        <w:rPr>
          <w:lang w:eastAsia="en-GB"/>
        </w:rPr>
        <w:t xml:space="preserve"> by a regulatory officer as if equivalent of a </w:t>
      </w:r>
      <w:r w:rsidR="00B21311" w:rsidRPr="00647CD8">
        <w:rPr>
          <w:lang w:eastAsia="en-GB"/>
        </w:rPr>
        <w:t>face</w:t>
      </w:r>
      <w:r w:rsidR="00CB682B" w:rsidRPr="00647CD8">
        <w:rPr>
          <w:lang w:eastAsia="en-GB"/>
        </w:rPr>
        <w:t xml:space="preserve">plate value </w:t>
      </w:r>
      <w:r w:rsidR="003868A6" w:rsidRPr="00647CD8">
        <w:rPr>
          <w:lang w:eastAsia="en-GB"/>
        </w:rPr>
        <w:t xml:space="preserve">on the </w:t>
      </w:r>
      <w:r w:rsidR="003868A6" w:rsidRPr="00647CD8">
        <w:rPr>
          <w:u w:val="single"/>
          <w:lang w:eastAsia="en-GB"/>
        </w:rPr>
        <w:t>input</w:t>
      </w:r>
      <w:r w:rsidR="00C2416E" w:rsidRPr="00647CD8">
        <w:rPr>
          <w:lang w:eastAsia="en-GB"/>
        </w:rPr>
        <w:t xml:space="preserve"> to the plant</w:t>
      </w:r>
      <w:r w:rsidR="003868A6" w:rsidRPr="00647CD8">
        <w:rPr>
          <w:lang w:eastAsia="en-GB"/>
        </w:rPr>
        <w:t xml:space="preserve">. </w:t>
      </w:r>
    </w:p>
    <w:p w14:paraId="3E270B6E" w14:textId="77777777" w:rsidR="00A32030" w:rsidRPr="00647CD8" w:rsidRDefault="00374F12" w:rsidP="00161A9D">
      <w:pPr>
        <w:pStyle w:val="Heading3"/>
        <w:rPr>
          <w:color w:val="auto"/>
        </w:rPr>
      </w:pPr>
      <w:bookmarkStart w:id="7" w:name="_Ref482259327"/>
      <w:bookmarkStart w:id="8" w:name="_Toc517419541"/>
      <w:r w:rsidRPr="00647CD8">
        <w:rPr>
          <w:color w:val="auto"/>
        </w:rPr>
        <w:t xml:space="preserve">Who needs a permit – </w:t>
      </w:r>
      <w:r w:rsidR="00A60FD6" w:rsidRPr="00647CD8">
        <w:rPr>
          <w:color w:val="auto"/>
        </w:rPr>
        <w:t>‘</w:t>
      </w:r>
      <w:r w:rsidR="00FF1A4C" w:rsidRPr="00647CD8">
        <w:rPr>
          <w:color w:val="auto"/>
        </w:rPr>
        <w:t xml:space="preserve">the </w:t>
      </w:r>
      <w:r w:rsidR="00A60FD6" w:rsidRPr="00647CD8">
        <w:rPr>
          <w:color w:val="auto"/>
        </w:rPr>
        <w:t xml:space="preserve">same </w:t>
      </w:r>
      <w:r w:rsidRPr="00647CD8">
        <w:rPr>
          <w:color w:val="auto"/>
        </w:rPr>
        <w:t>operator</w:t>
      </w:r>
      <w:bookmarkEnd w:id="7"/>
      <w:r w:rsidR="00A60FD6" w:rsidRPr="00647CD8">
        <w:rPr>
          <w:color w:val="auto"/>
        </w:rPr>
        <w:t>’</w:t>
      </w:r>
      <w:bookmarkEnd w:id="8"/>
    </w:p>
    <w:p w14:paraId="7AEE5792" w14:textId="77777777" w:rsidR="003868A6" w:rsidRPr="00647CD8" w:rsidRDefault="003868A6" w:rsidP="003868A6">
      <w:pPr>
        <w:rPr>
          <w:lang w:eastAsia="en-GB"/>
        </w:rPr>
      </w:pPr>
      <w:r w:rsidRPr="00647CD8">
        <w:rPr>
          <w:lang w:eastAsia="en-GB"/>
        </w:rPr>
        <w:t>The primary legislation states permits are required for a ‘common operator on a common site’</w:t>
      </w:r>
      <w:r w:rsidR="00FC61BB" w:rsidRPr="00647CD8">
        <w:rPr>
          <w:lang w:eastAsia="en-GB"/>
        </w:rPr>
        <w:t xml:space="preserve"> as per RGN02</w:t>
      </w:r>
      <w:r w:rsidR="00C2416E" w:rsidRPr="00647CD8">
        <w:rPr>
          <w:lang w:eastAsia="en-GB"/>
        </w:rPr>
        <w:t>.</w:t>
      </w:r>
      <w:r w:rsidR="007B3D11" w:rsidRPr="00647CD8">
        <w:rPr>
          <w:lang w:eastAsia="en-GB"/>
        </w:rPr>
        <w:t xml:space="preserve"> Operator definition is clear at https://www.gov.uk/guidance/legal-operator-and-competence-requirements-environmental-permits</w:t>
      </w:r>
    </w:p>
    <w:p w14:paraId="24A2695D" w14:textId="77777777" w:rsidR="007B3D11" w:rsidRPr="00647CD8" w:rsidRDefault="007B3D11" w:rsidP="00474FF8">
      <w:r w:rsidRPr="00647CD8">
        <w:t>The same company operating under different names (such as might occur when takeovers of adjacent data centres) are at risk of being the ‘same operator’</w:t>
      </w:r>
      <w:r w:rsidR="00CC2334" w:rsidRPr="00647CD8">
        <w:t xml:space="preserve">. </w:t>
      </w:r>
    </w:p>
    <w:p w14:paraId="05B0C8DD" w14:textId="77777777" w:rsidR="00CC2334" w:rsidRPr="00647CD8" w:rsidRDefault="00CC2334" w:rsidP="00474FF8">
      <w:r w:rsidRPr="00647CD8">
        <w:t>It is possible that within a data centre and within particular phases, the ownership of the associated standby plant might technically rest with the customer not the data centre. For the purposes of the permit it is the operator not owner of the plant that is important.</w:t>
      </w:r>
    </w:p>
    <w:p w14:paraId="6A1682FA" w14:textId="1869D8A8" w:rsidR="00CC2334" w:rsidRPr="00647CD8" w:rsidRDefault="00CC2334" w:rsidP="00474FF8">
      <w:r w:rsidRPr="00647CD8">
        <w:t xml:space="preserve">If the Data centre is providing solely floor space and the ownership, management and operation of the standby plant rests wholly </w:t>
      </w:r>
      <w:r w:rsidR="009B492F" w:rsidRPr="00647CD8">
        <w:t xml:space="preserve">and completely </w:t>
      </w:r>
      <w:r w:rsidRPr="00647CD8">
        <w:t xml:space="preserve">with the </w:t>
      </w:r>
      <w:r w:rsidR="004F47E0" w:rsidRPr="00647CD8">
        <w:t xml:space="preserve">IT/server ‘external </w:t>
      </w:r>
      <w:r w:rsidRPr="00647CD8">
        <w:t>customer</w:t>
      </w:r>
      <w:r w:rsidR="00801E76" w:rsidRPr="00647CD8">
        <w:t>’</w:t>
      </w:r>
      <w:r w:rsidRPr="00647CD8">
        <w:t xml:space="preserve"> then the EA will take a view on a case by case basis of the </w:t>
      </w:r>
      <w:r w:rsidR="004F47E0" w:rsidRPr="00647CD8">
        <w:t xml:space="preserve">permitting </w:t>
      </w:r>
      <w:r w:rsidRPr="00647CD8">
        <w:t xml:space="preserve">options such as single small </w:t>
      </w:r>
      <w:r w:rsidR="004F47E0" w:rsidRPr="00647CD8">
        <w:t xml:space="preserve">MWth </w:t>
      </w:r>
      <w:r w:rsidRPr="00647CD8">
        <w:t xml:space="preserve">best excluded from a permit </w:t>
      </w:r>
      <w:r w:rsidR="004F47E0" w:rsidRPr="00647CD8">
        <w:t xml:space="preserve">altogether (later to become a MCPD plant) </w:t>
      </w:r>
      <w:r w:rsidRPr="00647CD8">
        <w:t>or aggregate</w:t>
      </w:r>
      <w:r w:rsidR="004F47E0" w:rsidRPr="00647CD8">
        <w:t xml:space="preserve"> it into</w:t>
      </w:r>
      <w:r w:rsidRPr="00647CD8">
        <w:t xml:space="preserve"> a single ‘multi-operator’ permit. </w:t>
      </w:r>
    </w:p>
    <w:p w14:paraId="7CAB8F9A" w14:textId="77777777" w:rsidR="00A60FD6" w:rsidRPr="00647CD8" w:rsidRDefault="00A60FD6" w:rsidP="00A60FD6">
      <w:pPr>
        <w:pStyle w:val="Heading3"/>
        <w:rPr>
          <w:color w:val="auto"/>
        </w:rPr>
      </w:pPr>
      <w:bookmarkStart w:id="9" w:name="_Ref484766618"/>
      <w:bookmarkStart w:id="10" w:name="_Toc517419542"/>
      <w:r w:rsidRPr="00647CD8">
        <w:rPr>
          <w:color w:val="auto"/>
        </w:rPr>
        <w:t>Who needs a permit – ‘the same site’</w:t>
      </w:r>
      <w:bookmarkEnd w:id="9"/>
      <w:bookmarkEnd w:id="10"/>
      <w:r w:rsidRPr="00647CD8">
        <w:rPr>
          <w:color w:val="auto"/>
        </w:rPr>
        <w:t xml:space="preserve"> </w:t>
      </w:r>
    </w:p>
    <w:p w14:paraId="5CB0FE88" w14:textId="77777777" w:rsidR="00474FF8" w:rsidRPr="00647CD8" w:rsidRDefault="00474FF8" w:rsidP="00474FF8">
      <w:pPr>
        <w:rPr>
          <w:lang w:eastAsia="en-GB"/>
        </w:rPr>
      </w:pPr>
      <w:r w:rsidRPr="00647CD8">
        <w:t>We would clearly regard a company’s individual campus or obvious standalone boundary as a single site. If the electrical plant within a common site boundary or building is managed by a single operator (i.e. it is not the customer</w:t>
      </w:r>
      <w:r w:rsidR="00292AB2" w:rsidRPr="00647CD8">
        <w:t xml:space="preserve"> </w:t>
      </w:r>
      <w:r w:rsidRPr="00647CD8">
        <w:t>ownership of the individual phase within a site</w:t>
      </w:r>
      <w:r w:rsidR="004F47E0" w:rsidRPr="00647CD8">
        <w:t xml:space="preserve"> that is important</w:t>
      </w:r>
      <w:r w:rsidRPr="00647CD8">
        <w:t xml:space="preserve">) or controlled by a common legal entity, the plant is included in the MW summation. </w:t>
      </w:r>
    </w:p>
    <w:p w14:paraId="0D217D5A" w14:textId="77777777" w:rsidR="00474FF8" w:rsidRPr="00647CD8" w:rsidRDefault="00A60FD6" w:rsidP="00A60FD6">
      <w:r w:rsidRPr="00647CD8">
        <w:t xml:space="preserve">For data centres the ‘same site’ with reference to RGN02 and several premises located over an area within a commercial/urban environment is aggregated on the assessment of Proximity, Coherence and Management Systems </w:t>
      </w:r>
      <w:r w:rsidR="00200796" w:rsidRPr="00647CD8">
        <w:t>below</w:t>
      </w:r>
      <w:r w:rsidR="00474FF8" w:rsidRPr="00647CD8">
        <w:t>:-</w:t>
      </w:r>
    </w:p>
    <w:p w14:paraId="58D2A648" w14:textId="77777777" w:rsidR="00A60FD6" w:rsidRPr="00647CD8" w:rsidRDefault="00A60FD6" w:rsidP="00A60FD6">
      <w:r w:rsidRPr="00647CD8">
        <w:rPr>
          <w:u w:val="single"/>
        </w:rPr>
        <w:t>Proximity:</w:t>
      </w:r>
      <w:r w:rsidRPr="00647CD8">
        <w:t xml:space="preserve"> there is no simple distance but is a site specific decision based on a reasonable interpretation and argument. For combustion activities in the urban/commercial environment ‘proximity’ may be considered as immediately adjacent </w:t>
      </w:r>
      <w:r w:rsidR="007315F3" w:rsidRPr="00647CD8">
        <w:t>to (with or without fencing demarking individual buildings on a campus)</w:t>
      </w:r>
      <w:r w:rsidRPr="00647CD8">
        <w:t xml:space="preserve">; or broadly seen as a road width (up to around 100m </w:t>
      </w:r>
      <w:r w:rsidR="00CD7F04" w:rsidRPr="00647CD8">
        <w:t xml:space="preserve">segment*) and/or uninterrupted </w:t>
      </w:r>
      <w:r w:rsidRPr="00647CD8">
        <w:t>line of sight between buildings (</w:t>
      </w:r>
      <w:r w:rsidR="00CD7F04" w:rsidRPr="00647CD8">
        <w:t xml:space="preserve">plan view </w:t>
      </w:r>
      <w:r w:rsidRPr="00647CD8">
        <w:t xml:space="preserve">up to around 250m*). Outlier buildings, some distance apart, can be connected by other sites closer together on the basis of ‘linking’ chains of proximity (i.e. all buildings do not need to be in ‘proximity’ with each other). The role of permitting is ultimately to prevent or minimise pollution and harm to human health, so for air quality, consideration of proximity can take account that premises share </w:t>
      </w:r>
      <w:r w:rsidR="00A53E94" w:rsidRPr="00647CD8">
        <w:t xml:space="preserve">sensitive </w:t>
      </w:r>
      <w:r w:rsidRPr="00647CD8">
        <w:t>receptor</w:t>
      </w:r>
      <w:r w:rsidR="007315F3" w:rsidRPr="00647CD8">
        <w:t>s or could reasonably have advers</w:t>
      </w:r>
      <w:r w:rsidRPr="00647CD8">
        <w:t>e joint impacts or conversely are so far apart as to not have in-combination effects. A final factor may be that individual buildings/premises’ short term process contributions (PC) do screen out as insignificant under our H1 guide at https://www.gov.uk/guidance/air-emissions-risk-assessment-for-your-environmental-permit#screening-for-protected-conservation-areas</w:t>
      </w:r>
    </w:p>
    <w:p w14:paraId="24420807" w14:textId="77777777" w:rsidR="00A60FD6" w:rsidRPr="00647CD8" w:rsidRDefault="00A60FD6" w:rsidP="00A60FD6">
      <w:pPr>
        <w:rPr>
          <w:sz w:val="18"/>
        </w:rPr>
      </w:pPr>
      <w:r w:rsidRPr="00647CD8">
        <w:rPr>
          <w:sz w:val="18"/>
        </w:rPr>
        <w:t xml:space="preserve"> * 100m and 250m – these guidance scales are derived from 2008/50/EC EU directive on ambient air Annex III for the siting of sampling points and used as our indicative means to link common </w:t>
      </w:r>
      <w:r w:rsidR="00CD7F04" w:rsidRPr="00647CD8">
        <w:rPr>
          <w:sz w:val="18"/>
        </w:rPr>
        <w:t xml:space="preserve">sources &amp; </w:t>
      </w:r>
      <w:r w:rsidRPr="00647CD8">
        <w:rPr>
          <w:sz w:val="18"/>
        </w:rPr>
        <w:t xml:space="preserve">receptors for </w:t>
      </w:r>
      <w:r w:rsidR="00CD7F04" w:rsidRPr="00647CD8">
        <w:rPr>
          <w:sz w:val="18"/>
        </w:rPr>
        <w:t xml:space="preserve">ambient </w:t>
      </w:r>
      <w:r w:rsidRPr="00647CD8">
        <w:rPr>
          <w:sz w:val="18"/>
        </w:rPr>
        <w:t>air quality impacts in the urban environment.</w:t>
      </w:r>
    </w:p>
    <w:p w14:paraId="143AAF4A" w14:textId="77777777" w:rsidR="00EB20D9" w:rsidRPr="00647CD8" w:rsidRDefault="00A60FD6" w:rsidP="00A60FD6">
      <w:r w:rsidRPr="00647CD8">
        <w:rPr>
          <w:u w:val="single"/>
        </w:rPr>
        <w:t>Coherence:</w:t>
      </w:r>
      <w:r w:rsidRPr="00647CD8">
        <w:t xml:space="preserve">  </w:t>
      </w:r>
      <w:r w:rsidR="00EB20D9" w:rsidRPr="00647CD8">
        <w:t>This is the way identified sites work together and their links. Aspects related to data centres might include:</w:t>
      </w:r>
    </w:p>
    <w:p w14:paraId="2A636CF2" w14:textId="77777777" w:rsidR="00EB20D9" w:rsidRPr="00647CD8" w:rsidRDefault="00A60FD6" w:rsidP="00EB20D9">
      <w:pPr>
        <w:pStyle w:val="ListParagraph"/>
        <w:numPr>
          <w:ilvl w:val="0"/>
          <w:numId w:val="29"/>
        </w:numPr>
      </w:pPr>
      <w:r w:rsidRPr="00647CD8">
        <w:lastRenderedPageBreak/>
        <w:t>Direct and dedicated power link between buildings to share standby generator capaci</w:t>
      </w:r>
      <w:r w:rsidR="00EB20D9" w:rsidRPr="00647CD8">
        <w:t>ty</w:t>
      </w:r>
    </w:p>
    <w:p w14:paraId="43574932" w14:textId="77777777" w:rsidR="00EB20D9" w:rsidRPr="00647CD8" w:rsidRDefault="00A60FD6" w:rsidP="00EB20D9">
      <w:pPr>
        <w:pStyle w:val="ListParagraph"/>
        <w:numPr>
          <w:ilvl w:val="0"/>
          <w:numId w:val="29"/>
        </w:numPr>
      </w:pPr>
      <w:r w:rsidRPr="00647CD8">
        <w:t>sharing phys</w:t>
      </w:r>
      <w:r w:rsidR="00EB20D9" w:rsidRPr="00647CD8">
        <w:t>ical resources like fuel tanks</w:t>
      </w:r>
    </w:p>
    <w:p w14:paraId="069FCF5F" w14:textId="77777777" w:rsidR="00EB20D9" w:rsidRPr="00647CD8" w:rsidRDefault="00A60FD6" w:rsidP="00EB20D9">
      <w:pPr>
        <w:pStyle w:val="ListParagraph"/>
        <w:numPr>
          <w:ilvl w:val="0"/>
          <w:numId w:val="29"/>
        </w:numPr>
      </w:pPr>
      <w:r w:rsidRPr="00647CD8">
        <w:t xml:space="preserve">combined generator maintenance/test regimes (e.g. engine emissions at each location are not independent because they are tested as a group set or </w:t>
      </w:r>
      <w:r w:rsidR="00EB20D9" w:rsidRPr="00647CD8">
        <w:t xml:space="preserve">conversely </w:t>
      </w:r>
      <w:r w:rsidRPr="00647CD8">
        <w:t>whole buildings are tested separately because of staff availab</w:t>
      </w:r>
      <w:r w:rsidR="00EB20D9" w:rsidRPr="00647CD8">
        <w:t>ility or risk management)</w:t>
      </w:r>
    </w:p>
    <w:p w14:paraId="3BE31893" w14:textId="77777777" w:rsidR="00EB20D9" w:rsidRPr="00647CD8" w:rsidRDefault="00A60FD6" w:rsidP="00EB20D9">
      <w:pPr>
        <w:pStyle w:val="ListParagraph"/>
        <w:numPr>
          <w:ilvl w:val="0"/>
          <w:numId w:val="29"/>
        </w:numPr>
      </w:pPr>
      <w:r w:rsidRPr="00647CD8">
        <w:t xml:space="preserve">the operator has a practical concern (or indeed actually take account of in planning and testing for), that each individual building may need to operate altogether due to a common but localised grid outage cause (i.e. managing a shared </w:t>
      </w:r>
      <w:r w:rsidR="00EB20D9" w:rsidRPr="00647CD8">
        <w:t xml:space="preserve">HV feed </w:t>
      </w:r>
      <w:r w:rsidRPr="00647CD8">
        <w:t>or common outage risk even if p</w:t>
      </w:r>
      <w:r w:rsidR="00EB20D9" w:rsidRPr="00647CD8">
        <w:t>erhaps statistically unlikely)</w:t>
      </w:r>
    </w:p>
    <w:p w14:paraId="12328790" w14:textId="77777777" w:rsidR="00A60FD6" w:rsidRPr="00647CD8" w:rsidRDefault="00A60FD6" w:rsidP="00EB20D9">
      <w:pPr>
        <w:pStyle w:val="ListParagraph"/>
        <w:numPr>
          <w:ilvl w:val="0"/>
          <w:numId w:val="29"/>
        </w:numPr>
      </w:pPr>
      <w:r w:rsidRPr="00647CD8">
        <w:t>ownership or management of the land/estate itself by the operator.</w:t>
      </w:r>
    </w:p>
    <w:p w14:paraId="37874FB8" w14:textId="77777777" w:rsidR="00674269" w:rsidRPr="00647CD8" w:rsidRDefault="00A60FD6" w:rsidP="00A60FD6">
      <w:r w:rsidRPr="00647CD8">
        <w:rPr>
          <w:u w:val="single"/>
        </w:rPr>
        <w:t>Management Systems:</w:t>
      </w:r>
      <w:r w:rsidRPr="00647CD8">
        <w:t xml:space="preserve"> Those buildings/data centres using the similar operator procedures, management system, sharing of staffing, and corporate ownership or company. Common management system such that there is the opportunity to minimise the combined impacts of locations which are in proximity.</w:t>
      </w:r>
    </w:p>
    <w:p w14:paraId="5D0A065B" w14:textId="77777777" w:rsidR="00200796" w:rsidRPr="00647CD8" w:rsidRDefault="001A646F" w:rsidP="00A60FD6">
      <w:pPr>
        <w:rPr>
          <w:rFonts w:ascii="Arial" w:hAnsi="Arial" w:cs="Arial"/>
          <w:sz w:val="20"/>
          <w:szCs w:val="20"/>
        </w:rPr>
      </w:pPr>
      <w:r w:rsidRPr="00647CD8">
        <w:t xml:space="preserve">Note1: </w:t>
      </w:r>
      <w:r w:rsidR="00200796" w:rsidRPr="00647CD8">
        <w:t>U</w:t>
      </w:r>
      <w:r w:rsidR="00200796" w:rsidRPr="00647CD8">
        <w:rPr>
          <w:rFonts w:ascii="Arial" w:hAnsi="Arial" w:cs="Arial"/>
          <w:sz w:val="20"/>
          <w:szCs w:val="20"/>
        </w:rPr>
        <w:t>ltimately this will be a site specific judgement which will consider and balance the above 3 issues; and broadly the closer the proximi</w:t>
      </w:r>
      <w:r w:rsidR="00EB20D9" w:rsidRPr="00647CD8">
        <w:rPr>
          <w:rFonts w:ascii="Arial" w:hAnsi="Arial" w:cs="Arial"/>
          <w:sz w:val="20"/>
          <w:szCs w:val="20"/>
        </w:rPr>
        <w:t>ty the less coherence is needed</w:t>
      </w:r>
      <w:r w:rsidR="00200796" w:rsidRPr="00647CD8">
        <w:rPr>
          <w:rFonts w:ascii="Arial" w:hAnsi="Arial" w:cs="Arial"/>
          <w:sz w:val="20"/>
          <w:szCs w:val="20"/>
        </w:rPr>
        <w:t>.</w:t>
      </w:r>
      <w:r w:rsidR="00EB20D9" w:rsidRPr="00647CD8">
        <w:rPr>
          <w:rFonts w:ascii="Arial" w:hAnsi="Arial" w:cs="Arial"/>
          <w:sz w:val="20"/>
          <w:szCs w:val="20"/>
        </w:rPr>
        <w:t xml:space="preserve"> </w:t>
      </w:r>
      <w:r w:rsidR="00200796" w:rsidRPr="00647CD8">
        <w:rPr>
          <w:rFonts w:ascii="Arial" w:hAnsi="Arial" w:cs="Arial"/>
          <w:sz w:val="20"/>
          <w:szCs w:val="20"/>
        </w:rPr>
        <w:t>Conversely the greater the physical separation the more coherence and management link is needed.</w:t>
      </w:r>
    </w:p>
    <w:p w14:paraId="64A2B9F5" w14:textId="77777777" w:rsidR="001A646F" w:rsidRPr="00647CD8" w:rsidRDefault="001A646F" w:rsidP="001A646F">
      <w:r w:rsidRPr="00647CD8">
        <w:t>Note2: Remember once you have decided that there is one operator for a set of data centres buildings within a ‘same site’ locale, the aggregation is for that plant as a total regardless that each building or individual data hall is below 50MWth. Thus an operator managing two buildings separated physically by a road each of only 26 MWth input does need a permit for the ‘same site same, operator’ at 52MWth.</w:t>
      </w:r>
    </w:p>
    <w:p w14:paraId="51C4D13B" w14:textId="77777777" w:rsidR="004E2771" w:rsidRPr="00647CD8" w:rsidRDefault="004E2771" w:rsidP="00161A9D">
      <w:pPr>
        <w:pStyle w:val="Heading3"/>
        <w:rPr>
          <w:color w:val="auto"/>
        </w:rPr>
      </w:pPr>
      <w:bookmarkStart w:id="11" w:name="_Toc517419543"/>
      <w:r w:rsidRPr="00647CD8">
        <w:rPr>
          <w:color w:val="auto"/>
        </w:rPr>
        <w:t xml:space="preserve">Data Centre clusters </w:t>
      </w:r>
      <w:r w:rsidR="00CD7F04" w:rsidRPr="00647CD8">
        <w:rPr>
          <w:color w:val="auto"/>
        </w:rPr>
        <w:t xml:space="preserve">(different operators) </w:t>
      </w:r>
      <w:r w:rsidRPr="00647CD8">
        <w:rPr>
          <w:color w:val="auto"/>
        </w:rPr>
        <w:t>on a shared HV supply</w:t>
      </w:r>
      <w:r w:rsidR="0045650A" w:rsidRPr="00647CD8">
        <w:rPr>
          <w:color w:val="auto"/>
        </w:rPr>
        <w:t xml:space="preserve"> within a locale</w:t>
      </w:r>
      <w:bookmarkEnd w:id="11"/>
    </w:p>
    <w:p w14:paraId="069BAD7D" w14:textId="77777777" w:rsidR="00515E8E" w:rsidRPr="00647CD8" w:rsidRDefault="00515E8E" w:rsidP="00515E8E">
      <w:r w:rsidRPr="00647CD8">
        <w:t xml:space="preserve">Completely different operators and probably competitors (isolated buildings, different legal entities) within the same notional site area within the urban environment but each below the 50MWth threshold do not normally aggregate on to a single ‘multi-operator’ 50MWth permit (as this is usually </w:t>
      </w:r>
      <w:r w:rsidR="00B30398" w:rsidRPr="00647CD8">
        <w:t xml:space="preserve">applied for and </w:t>
      </w:r>
      <w:r w:rsidRPr="00647CD8">
        <w:t xml:space="preserve">determined on the basis of operators co-operating for the </w:t>
      </w:r>
      <w:r w:rsidR="00B30398" w:rsidRPr="00647CD8">
        <w:t>‘</w:t>
      </w:r>
      <w:r w:rsidRPr="00647CD8">
        <w:t>same-site</w:t>
      </w:r>
      <w:r w:rsidR="00B30398" w:rsidRPr="00647CD8">
        <w:t>’</w:t>
      </w:r>
      <w:r w:rsidRPr="00647CD8">
        <w:t xml:space="preserve"> permitting</w:t>
      </w:r>
      <w:r w:rsidR="00B30398" w:rsidRPr="00647CD8">
        <w:t xml:space="preserve"> purposes</w:t>
      </w:r>
      <w:r w:rsidRPr="00647CD8">
        <w:t>). However the EA will take a view on a case by case basis.</w:t>
      </w:r>
    </w:p>
    <w:p w14:paraId="1D5B3ADA" w14:textId="77777777" w:rsidR="00024B93" w:rsidRPr="00647CD8" w:rsidRDefault="00024B93" w:rsidP="004E2771">
      <w:r w:rsidRPr="00647CD8">
        <w:t xml:space="preserve">There is a case for aggregating separate sites if they are adjacent or closely located and there is a “technical connection” between them.  “Technical connection” essentially means that they are operated or controlled by the same entity, possibly share the same power supply, operational management, network connectivity etc.   Sites will be handled on a case by case basis and factors like substation connectivity can be taken into account (if served by different substations the likelihood of a simultaneous outage is reduced).  </w:t>
      </w:r>
    </w:p>
    <w:p w14:paraId="4FED77A4" w14:textId="77777777" w:rsidR="00124B25" w:rsidRPr="00647CD8" w:rsidRDefault="00124B25" w:rsidP="004E2771">
      <w:r w:rsidRPr="00647CD8">
        <w:t>T</w:t>
      </w:r>
      <w:r w:rsidR="004E2771" w:rsidRPr="00647CD8">
        <w:t xml:space="preserve">he aggregation </w:t>
      </w:r>
      <w:r w:rsidR="0045650A" w:rsidRPr="00647CD8">
        <w:t xml:space="preserve">that the EA derives cannot treat the HV grid supply to a series of </w:t>
      </w:r>
      <w:r w:rsidR="00CD7F04" w:rsidRPr="00647CD8">
        <w:t xml:space="preserve">different </w:t>
      </w:r>
      <w:r w:rsidR="0045650A" w:rsidRPr="00647CD8">
        <w:t xml:space="preserve">sites as being the defining requirement </w:t>
      </w:r>
      <w:r w:rsidRPr="00647CD8">
        <w:t xml:space="preserve">and ‘technical connection’ </w:t>
      </w:r>
      <w:r w:rsidR="0045650A" w:rsidRPr="00647CD8">
        <w:t>as this could lead to many sites widely dispersed being drawn into a common permit</w:t>
      </w:r>
      <w:r w:rsidRPr="00647CD8">
        <w:t xml:space="preserve">; or equally the determination of a single permit being limited because there are </w:t>
      </w:r>
      <w:r w:rsidR="00B30398" w:rsidRPr="00647CD8">
        <w:t xml:space="preserve">already </w:t>
      </w:r>
      <w:r w:rsidRPr="00647CD8">
        <w:t>‘too many’ data centres on an HV link</w:t>
      </w:r>
      <w:r w:rsidR="0045650A" w:rsidRPr="00647CD8">
        <w:t xml:space="preserve">. There would </w:t>
      </w:r>
      <w:r w:rsidRPr="00647CD8">
        <w:t xml:space="preserve">also </w:t>
      </w:r>
      <w:r w:rsidR="0045650A" w:rsidRPr="00647CD8">
        <w:t xml:space="preserve">then be a query as too how far does the </w:t>
      </w:r>
      <w:r w:rsidRPr="00647CD8">
        <w:t xml:space="preserve">132kV, </w:t>
      </w:r>
      <w:r w:rsidR="0045650A" w:rsidRPr="00647CD8">
        <w:t xml:space="preserve">11kV or 33kV </w:t>
      </w:r>
      <w:r w:rsidRPr="00647CD8">
        <w:t xml:space="preserve">hierarchy go. </w:t>
      </w:r>
      <w:r w:rsidR="0045650A" w:rsidRPr="00647CD8">
        <w:t xml:space="preserve">The HV cannot be considered as a technical connection between sites alone since this could lead to multi-operator permits (when such are actually competitors) and the operators themselves do not have control of the </w:t>
      </w:r>
      <w:r w:rsidR="00EB20D9" w:rsidRPr="00647CD8">
        <w:t xml:space="preserve">HV </w:t>
      </w:r>
      <w:r w:rsidR="0045650A" w:rsidRPr="00647CD8">
        <w:t>link.</w:t>
      </w:r>
      <w:r w:rsidR="00EB20D9" w:rsidRPr="00647CD8">
        <w:t xml:space="preserve"> </w:t>
      </w:r>
    </w:p>
    <w:p w14:paraId="64139C21" w14:textId="77777777" w:rsidR="004E2771" w:rsidRPr="00647CD8" w:rsidRDefault="00EB20D9" w:rsidP="004E2771">
      <w:r w:rsidRPr="00647CD8">
        <w:t>However practically the EA does need to have some appreciation that clusters of separate and independent data centres (some with permits) could all need to operate due to a significant outage event</w:t>
      </w:r>
      <w:r w:rsidR="00124B25" w:rsidRPr="00647CD8">
        <w:t xml:space="preserve"> or indeed tend to similar testing and maintenance regimes see </w:t>
      </w:r>
      <w:r w:rsidR="00124B25" w:rsidRPr="00647CD8">
        <w:fldChar w:fldCharType="begin"/>
      </w:r>
      <w:r w:rsidR="00124B25" w:rsidRPr="00647CD8">
        <w:instrText xml:space="preserve"> REF _Ref485802586 \r \h </w:instrText>
      </w:r>
      <w:r w:rsidR="00124B25" w:rsidRPr="00647CD8">
        <w:fldChar w:fldCharType="separate"/>
      </w:r>
      <w:r w:rsidR="00124B2D">
        <w:t>1.15</w:t>
      </w:r>
      <w:r w:rsidR="00124B25" w:rsidRPr="00647CD8">
        <w:fldChar w:fldCharType="end"/>
      </w:r>
      <w:r w:rsidR="00124B25" w:rsidRPr="00647CD8">
        <w:t xml:space="preserve"> </w:t>
      </w:r>
      <w:r w:rsidR="00124B25" w:rsidRPr="00647CD8">
        <w:fldChar w:fldCharType="begin"/>
      </w:r>
      <w:r w:rsidR="00124B25" w:rsidRPr="00647CD8">
        <w:instrText xml:space="preserve"> REF _Ref485802589 \h </w:instrText>
      </w:r>
      <w:r w:rsidR="00124B25" w:rsidRPr="00647CD8">
        <w:fldChar w:fldCharType="separate"/>
      </w:r>
      <w:r w:rsidR="00124B2D" w:rsidRPr="00647CD8">
        <w:t>Air Quality Emergency Action Plan (for grid outages)</w:t>
      </w:r>
      <w:r w:rsidR="00124B25" w:rsidRPr="00647CD8">
        <w:fldChar w:fldCharType="end"/>
      </w:r>
      <w:r w:rsidRPr="00647CD8">
        <w:t xml:space="preserve">  </w:t>
      </w:r>
    </w:p>
    <w:p w14:paraId="5F5977C0" w14:textId="77777777" w:rsidR="004E2771" w:rsidRPr="00647CD8" w:rsidRDefault="004E2771" w:rsidP="00161A9D">
      <w:pPr>
        <w:pStyle w:val="Heading3"/>
        <w:rPr>
          <w:color w:val="auto"/>
        </w:rPr>
      </w:pPr>
      <w:bookmarkStart w:id="12" w:name="_Toc517419544"/>
      <w:r w:rsidRPr="00647CD8">
        <w:rPr>
          <w:color w:val="auto"/>
        </w:rPr>
        <w:lastRenderedPageBreak/>
        <w:t>Site expansion and when to permit</w:t>
      </w:r>
      <w:bookmarkEnd w:id="12"/>
    </w:p>
    <w:p w14:paraId="0653F1D2" w14:textId="77777777" w:rsidR="004E2771" w:rsidRPr="00647CD8" w:rsidRDefault="004E2771" w:rsidP="00A32030">
      <w:r w:rsidRPr="00647CD8">
        <w:t xml:space="preserve">Legally a permit should be applied for and held </w:t>
      </w:r>
      <w:r w:rsidRPr="00647CD8">
        <w:rPr>
          <w:u w:val="single"/>
        </w:rPr>
        <w:t xml:space="preserve">prior </w:t>
      </w:r>
      <w:r w:rsidRPr="00647CD8">
        <w:t xml:space="preserve">to operating and installing at or above the 50MWth </w:t>
      </w:r>
      <w:r w:rsidR="00124B25" w:rsidRPr="00647CD8">
        <w:t xml:space="preserve">input </w:t>
      </w:r>
      <w:r w:rsidRPr="00647CD8">
        <w:t>threshold.</w:t>
      </w:r>
    </w:p>
    <w:p w14:paraId="5D70BC6F" w14:textId="77777777" w:rsidR="004E2771" w:rsidRPr="00647CD8" w:rsidRDefault="00124B25" w:rsidP="00A32030">
      <w:r w:rsidRPr="00647CD8">
        <w:t>All else being equal it i</w:t>
      </w:r>
      <w:r w:rsidR="004E2771" w:rsidRPr="00647CD8">
        <w:t xml:space="preserve">s better to apply for and </w:t>
      </w:r>
      <w:r w:rsidRPr="00647CD8">
        <w:t xml:space="preserve">have completed the </w:t>
      </w:r>
      <w:r w:rsidR="00CD7F04" w:rsidRPr="00647CD8">
        <w:t xml:space="preserve">air quality (AQ) </w:t>
      </w:r>
      <w:r w:rsidR="004E2771" w:rsidRPr="00647CD8">
        <w:t>model for planned site expansion and have a permit in place before installing extra engines.</w:t>
      </w:r>
    </w:p>
    <w:p w14:paraId="48F9E28A" w14:textId="77777777" w:rsidR="00B75C84" w:rsidRPr="00647CD8" w:rsidRDefault="00B75C84" w:rsidP="00A32030">
      <w:r w:rsidRPr="00647CD8">
        <w:t>Site expansion includes fitting out new phases</w:t>
      </w:r>
      <w:r w:rsidR="00024B93" w:rsidRPr="00647CD8">
        <w:t>, acquisitions,</w:t>
      </w:r>
      <w:r w:rsidRPr="00647CD8">
        <w:t xml:space="preserve"> but also physically procuring a</w:t>
      </w:r>
      <w:r w:rsidR="00F7077D" w:rsidRPr="00647CD8">
        <w:t xml:space="preserve"> site building on adjacent land as under </w:t>
      </w:r>
      <w:r w:rsidR="00CD7F04" w:rsidRPr="00647CD8">
        <w:fldChar w:fldCharType="begin"/>
      </w:r>
      <w:r w:rsidR="00CD7F04" w:rsidRPr="00647CD8">
        <w:instrText xml:space="preserve"> REF _Ref484766618 \r \h </w:instrText>
      </w:r>
      <w:r w:rsidR="00CD7F04" w:rsidRPr="00647CD8">
        <w:fldChar w:fldCharType="separate"/>
      </w:r>
      <w:r w:rsidR="00124B2D">
        <w:t>1.3.5</w:t>
      </w:r>
      <w:r w:rsidR="00CD7F04" w:rsidRPr="00647CD8">
        <w:fldChar w:fldCharType="end"/>
      </w:r>
      <w:r w:rsidR="00CD7F04" w:rsidRPr="00647CD8">
        <w:t xml:space="preserve"> </w:t>
      </w:r>
      <w:r w:rsidR="00CD7F04" w:rsidRPr="00647CD8">
        <w:fldChar w:fldCharType="begin"/>
      </w:r>
      <w:r w:rsidR="00CD7F04" w:rsidRPr="00647CD8">
        <w:instrText xml:space="preserve"> REF _Ref484766618 \h </w:instrText>
      </w:r>
      <w:r w:rsidR="00CD7F04" w:rsidRPr="00647CD8">
        <w:fldChar w:fldCharType="separate"/>
      </w:r>
      <w:r w:rsidR="00124B2D" w:rsidRPr="00647CD8">
        <w:t>Who needs a permit – ‘the same site’</w:t>
      </w:r>
      <w:r w:rsidR="00CD7F04" w:rsidRPr="00647CD8">
        <w:fldChar w:fldCharType="end"/>
      </w:r>
      <w:r w:rsidR="00F7077D" w:rsidRPr="00647CD8">
        <w:t xml:space="preserve"> above.</w:t>
      </w:r>
    </w:p>
    <w:p w14:paraId="35749768" w14:textId="77777777" w:rsidR="00C22623" w:rsidRPr="00647CD8" w:rsidRDefault="00106D5D" w:rsidP="00124B25">
      <w:r w:rsidRPr="00647CD8">
        <w:t xml:space="preserve">The onus is on operators to apply for permitting and decide what level of </w:t>
      </w:r>
      <w:r w:rsidR="00B94FB1" w:rsidRPr="00647CD8">
        <w:t xml:space="preserve">MWelec </w:t>
      </w:r>
      <w:r w:rsidR="00B30398" w:rsidRPr="00647CD8">
        <w:t xml:space="preserve">activity </w:t>
      </w:r>
      <w:r w:rsidRPr="00647CD8">
        <w:t xml:space="preserve">they want to </w:t>
      </w:r>
      <w:r w:rsidR="00B30398" w:rsidRPr="00647CD8">
        <w:t xml:space="preserve">the </w:t>
      </w:r>
      <w:r w:rsidRPr="00647CD8">
        <w:t>permit</w:t>
      </w:r>
      <w:r w:rsidR="00B30398" w:rsidRPr="00647CD8">
        <w:t xml:space="preserve"> to cover</w:t>
      </w:r>
      <w:r w:rsidRPr="00647CD8">
        <w:t xml:space="preserve">.  The cost of permitting is </w:t>
      </w:r>
      <w:r w:rsidR="00124B25" w:rsidRPr="00647CD8">
        <w:t xml:space="preserve">presently </w:t>
      </w:r>
      <w:r w:rsidRPr="00647CD8">
        <w:t xml:space="preserve">in steps </w:t>
      </w:r>
      <w:r w:rsidR="00124B25" w:rsidRPr="00647CD8">
        <w:t xml:space="preserve">(called ‘complexities’) </w:t>
      </w:r>
      <w:r w:rsidRPr="00647CD8">
        <w:t>relating to the MWth capacity (50-99MWth costs less than &gt;100MWth)</w:t>
      </w:r>
      <w:r w:rsidR="00B30398" w:rsidRPr="00647CD8">
        <w:t xml:space="preserve"> under the OPRA charging scheme within the EA</w:t>
      </w:r>
      <w:r w:rsidRPr="00647CD8">
        <w:t xml:space="preserve">.  Operators have to balance the additional cost of permitting for future capacity (which has the benefit of certainty) against permitting </w:t>
      </w:r>
      <w:r w:rsidR="00B94FB1" w:rsidRPr="00647CD8">
        <w:t xml:space="preserve">costs to vary the permit </w:t>
      </w:r>
      <w:r w:rsidRPr="00647CD8">
        <w:t>as the</w:t>
      </w:r>
      <w:r w:rsidR="00B94FB1" w:rsidRPr="00647CD8">
        <w:t>y</w:t>
      </w:r>
      <w:r w:rsidRPr="00647CD8">
        <w:t xml:space="preserve"> grow</w:t>
      </w:r>
      <w:r w:rsidR="00B30398" w:rsidRPr="00647CD8">
        <w:t xml:space="preserve"> in MWth installed</w:t>
      </w:r>
      <w:r w:rsidRPr="00647CD8">
        <w:t>.  In the latter case there is the possibility that additional permitting may be problematic so this has to be factored in as a business risk.  Permitting requirements should not limit sustainable growth.  However, there will be more sensitivity where air quality is already an issue – e</w:t>
      </w:r>
      <w:r w:rsidR="001A646F" w:rsidRPr="00647CD8">
        <w:t>.</w:t>
      </w:r>
      <w:r w:rsidRPr="00647CD8">
        <w:t>g in AQMZ – air quality management zones.</w:t>
      </w:r>
    </w:p>
    <w:p w14:paraId="54E1515D" w14:textId="77777777" w:rsidR="00C22623" w:rsidRPr="00647CD8" w:rsidRDefault="00C22623" w:rsidP="00C22623">
      <w:pPr>
        <w:pStyle w:val="Heading3"/>
        <w:rPr>
          <w:color w:val="auto"/>
        </w:rPr>
      </w:pPr>
      <w:bookmarkStart w:id="13" w:name="_Toc517419545"/>
      <w:r w:rsidRPr="00647CD8">
        <w:rPr>
          <w:color w:val="auto"/>
        </w:rPr>
        <w:t>Temporary Containerised plant</w:t>
      </w:r>
      <w:bookmarkEnd w:id="13"/>
    </w:p>
    <w:p w14:paraId="62FB3BCB" w14:textId="08960FD0" w:rsidR="00C22623" w:rsidRPr="00647CD8" w:rsidRDefault="00C22623" w:rsidP="00C22623">
      <w:r w:rsidRPr="00647CD8">
        <w:t xml:space="preserve">Generally if the site needs to bring on temporary plant as a substitute for </w:t>
      </w:r>
      <w:r w:rsidR="00EB520E" w:rsidRPr="00647CD8">
        <w:t>generators</w:t>
      </w:r>
      <w:r w:rsidRPr="00647CD8">
        <w:t xml:space="preserve"> within the permit, for example due to a critical engine failure, then this does not need to be factored into the permit </w:t>
      </w:r>
      <w:r w:rsidR="00EB520E" w:rsidRPr="00647CD8">
        <w:t xml:space="preserve">or application </w:t>
      </w:r>
      <w:r w:rsidRPr="00647CD8">
        <w:t xml:space="preserve">(i.e. assuming a short term increase in testing </w:t>
      </w:r>
      <w:r w:rsidR="00801E76" w:rsidRPr="00647CD8">
        <w:t xml:space="preserve">or pollution </w:t>
      </w:r>
      <w:r w:rsidRPr="00647CD8">
        <w:t>emissions rate</w:t>
      </w:r>
      <w:r w:rsidR="00801E76" w:rsidRPr="00647CD8">
        <w:t>s</w:t>
      </w:r>
      <w:r w:rsidRPr="00647CD8">
        <w:t>)</w:t>
      </w:r>
      <w:r w:rsidR="00EB520E" w:rsidRPr="00647CD8">
        <w:t>. This is because by and large the MWth is not being increased (only substituted).</w:t>
      </w:r>
    </w:p>
    <w:p w14:paraId="5B31C0DF" w14:textId="77777777" w:rsidR="00702CD6" w:rsidRPr="00647CD8" w:rsidRDefault="00EB520E" w:rsidP="00702CD6">
      <w:r w:rsidRPr="00647CD8">
        <w:t>It is advised to let the local regulating officer that such is needed particularly for a) changes in emission point and noise that might attract public concern during start-up b) fuel oil and refilling needs to consider changes to site risks.</w:t>
      </w:r>
      <w:r w:rsidR="00702CD6" w:rsidRPr="00647CD8">
        <w:t xml:space="preserve"> Ideally use of temporary plant should be an agreed procedure as part of the operating techniques. </w:t>
      </w:r>
    </w:p>
    <w:p w14:paraId="1EC11AF5" w14:textId="77777777" w:rsidR="00702CD6" w:rsidRPr="00647CD8" w:rsidRDefault="00702CD6" w:rsidP="00702CD6">
      <w:pPr>
        <w:pStyle w:val="Default"/>
        <w:rPr>
          <w:color w:val="auto"/>
          <w:sz w:val="15"/>
          <w:szCs w:val="15"/>
        </w:rPr>
      </w:pPr>
      <w:r w:rsidRPr="00647CD8">
        <w:rPr>
          <w:color w:val="auto"/>
          <w:sz w:val="15"/>
          <w:szCs w:val="15"/>
        </w:rPr>
        <w:t xml:space="preserve">NB As a guide to bringing on temporary combustion plant Under RGN02 Appendix 1&amp;2 </w:t>
      </w:r>
      <w:r w:rsidRPr="00647CD8">
        <w:rPr>
          <w:i/>
          <w:iCs/>
          <w:color w:val="auto"/>
          <w:sz w:val="15"/>
          <w:szCs w:val="15"/>
        </w:rPr>
        <w:t xml:space="preserve">Note 1.1.8: Temporary Combustion Plant. Only units which are permanently situated and operated on the site should be included in the aggregation. Equipment brought in during shutdowns, compression ignition generator sets, air compressors, reciprocating engine vehicles etc would not be included in the aggregation, nor would heaters brought in during cold spells or to temporarily replace units under repair. </w:t>
      </w:r>
    </w:p>
    <w:p w14:paraId="7133EAB7" w14:textId="77777777" w:rsidR="00702CD6" w:rsidRPr="00647CD8" w:rsidRDefault="00702CD6" w:rsidP="00C22623"/>
    <w:p w14:paraId="6FC053C8" w14:textId="77777777" w:rsidR="00674269" w:rsidRPr="00647CD8" w:rsidRDefault="00674269" w:rsidP="00124B25">
      <w:r w:rsidRPr="00647CD8">
        <w:br w:type="page"/>
      </w:r>
    </w:p>
    <w:p w14:paraId="405B0FAD" w14:textId="77777777" w:rsidR="00CC5843" w:rsidRPr="00647CD8" w:rsidRDefault="00CC5843" w:rsidP="00A32030"/>
    <w:p w14:paraId="0075289B" w14:textId="77777777" w:rsidR="00046858" w:rsidRPr="00647CD8" w:rsidRDefault="00B94FB1" w:rsidP="00575C9A">
      <w:pPr>
        <w:pStyle w:val="Heading2"/>
        <w:rPr>
          <w:color w:val="auto"/>
        </w:rPr>
      </w:pPr>
      <w:bookmarkStart w:id="14" w:name="_Toc517419546"/>
      <w:r w:rsidRPr="00647CD8">
        <w:rPr>
          <w:color w:val="auto"/>
        </w:rPr>
        <w:t>Permit o</w:t>
      </w:r>
      <w:r w:rsidR="00B56698" w:rsidRPr="00647CD8">
        <w:rPr>
          <w:color w:val="auto"/>
        </w:rPr>
        <w:t xml:space="preserve">perational </w:t>
      </w:r>
      <w:r w:rsidRPr="00647CD8">
        <w:rPr>
          <w:color w:val="auto"/>
        </w:rPr>
        <w:t xml:space="preserve">or emergency </w:t>
      </w:r>
      <w:r w:rsidR="00046858" w:rsidRPr="00647CD8">
        <w:rPr>
          <w:color w:val="auto"/>
        </w:rPr>
        <w:t>time limits</w:t>
      </w:r>
      <w:r w:rsidRPr="00647CD8">
        <w:rPr>
          <w:color w:val="auto"/>
        </w:rPr>
        <w:t xml:space="preserve"> (500 hours)</w:t>
      </w:r>
      <w:r w:rsidR="00046858" w:rsidRPr="00647CD8">
        <w:rPr>
          <w:color w:val="auto"/>
        </w:rPr>
        <w:t>.</w:t>
      </w:r>
      <w:bookmarkEnd w:id="14"/>
    </w:p>
    <w:p w14:paraId="29A38419" w14:textId="77777777" w:rsidR="00046858" w:rsidRPr="00647CD8" w:rsidRDefault="00046858" w:rsidP="00046858">
      <w:pPr>
        <w:rPr>
          <w:lang w:eastAsia="en-GB"/>
        </w:rPr>
      </w:pPr>
    </w:p>
    <w:p w14:paraId="010F78FF" w14:textId="77777777" w:rsidR="008213CE" w:rsidRPr="00647CD8" w:rsidRDefault="00046858" w:rsidP="00161A9D">
      <w:pPr>
        <w:pStyle w:val="Heading3"/>
        <w:rPr>
          <w:color w:val="auto"/>
        </w:rPr>
      </w:pPr>
      <w:bookmarkStart w:id="15" w:name="_Toc517419547"/>
      <w:r w:rsidRPr="00647CD8">
        <w:rPr>
          <w:color w:val="auto"/>
        </w:rPr>
        <w:t>500</w:t>
      </w:r>
      <w:r w:rsidR="00513E02" w:rsidRPr="00647CD8">
        <w:rPr>
          <w:color w:val="auto"/>
        </w:rPr>
        <w:t xml:space="preserve"> </w:t>
      </w:r>
      <w:r w:rsidRPr="00647CD8">
        <w:rPr>
          <w:color w:val="auto"/>
        </w:rPr>
        <w:t>hours emergenc</w:t>
      </w:r>
      <w:r w:rsidR="0071409C" w:rsidRPr="00647CD8">
        <w:rPr>
          <w:color w:val="auto"/>
        </w:rPr>
        <w:t>y Industrial Emissions Directive (IED) under 1.1A</w:t>
      </w:r>
      <w:bookmarkEnd w:id="15"/>
    </w:p>
    <w:p w14:paraId="49A1794F" w14:textId="77777777" w:rsidR="000F0FD0" w:rsidRPr="00647CD8" w:rsidRDefault="008B065A" w:rsidP="000F0FD0">
      <w:pPr>
        <w:rPr>
          <w:lang w:eastAsia="en-GB"/>
        </w:rPr>
      </w:pPr>
      <w:r w:rsidRPr="00647CD8">
        <w:rPr>
          <w:lang w:eastAsia="en-GB"/>
        </w:rPr>
        <w:t>500 h</w:t>
      </w:r>
      <w:r w:rsidR="00780700" w:rsidRPr="00647CD8">
        <w:rPr>
          <w:lang w:eastAsia="en-GB"/>
        </w:rPr>
        <w:t xml:space="preserve">ours is an emergency </w:t>
      </w:r>
      <w:r w:rsidR="00B21311" w:rsidRPr="00647CD8">
        <w:rPr>
          <w:lang w:eastAsia="en-GB"/>
        </w:rPr>
        <w:t>mode of</w:t>
      </w:r>
      <w:r w:rsidR="00780700" w:rsidRPr="00647CD8">
        <w:rPr>
          <w:lang w:eastAsia="en-GB"/>
        </w:rPr>
        <w:t xml:space="preserve"> operation </w:t>
      </w:r>
      <w:r w:rsidR="00711CAE" w:rsidRPr="00647CD8">
        <w:rPr>
          <w:lang w:eastAsia="en-GB"/>
        </w:rPr>
        <w:t xml:space="preserve">for gas turbines and gas engines </w:t>
      </w:r>
      <w:r w:rsidR="00780700" w:rsidRPr="00647CD8">
        <w:rPr>
          <w:lang w:eastAsia="en-GB"/>
        </w:rPr>
        <w:t xml:space="preserve">included in the </w:t>
      </w:r>
      <w:r w:rsidR="00674269" w:rsidRPr="00647CD8">
        <w:rPr>
          <w:lang w:eastAsia="en-GB"/>
        </w:rPr>
        <w:t>Industrial Emissions Directive (IED) u</w:t>
      </w:r>
      <w:r w:rsidRPr="00647CD8">
        <w:rPr>
          <w:lang w:eastAsia="en-GB"/>
        </w:rPr>
        <w:t xml:space="preserve">nder </w:t>
      </w:r>
      <w:r w:rsidR="008C547C" w:rsidRPr="00647CD8">
        <w:rPr>
          <w:lang w:eastAsia="en-GB"/>
        </w:rPr>
        <w:t xml:space="preserve">1.1A combustion </w:t>
      </w:r>
      <w:r w:rsidRPr="00647CD8">
        <w:rPr>
          <w:lang w:eastAsia="en-GB"/>
        </w:rPr>
        <w:t>C</w:t>
      </w:r>
      <w:r w:rsidR="00780700" w:rsidRPr="00647CD8">
        <w:rPr>
          <w:lang w:eastAsia="en-GB"/>
        </w:rPr>
        <w:t xml:space="preserve">hapter </w:t>
      </w:r>
      <w:r w:rsidR="00AF1059" w:rsidRPr="00647CD8">
        <w:rPr>
          <w:lang w:eastAsia="en-GB"/>
        </w:rPr>
        <w:t xml:space="preserve">III </w:t>
      </w:r>
      <w:r w:rsidR="00341B42" w:rsidRPr="00647CD8">
        <w:rPr>
          <w:lang w:eastAsia="en-GB"/>
        </w:rPr>
        <w:t>Annex V</w:t>
      </w:r>
      <w:r w:rsidR="00780700" w:rsidRPr="00647CD8">
        <w:rPr>
          <w:lang w:eastAsia="en-GB"/>
        </w:rPr>
        <w:t xml:space="preserve">. It defines the operational hours above which </w:t>
      </w:r>
      <w:r w:rsidR="00341B42" w:rsidRPr="00647CD8">
        <w:rPr>
          <w:lang w:eastAsia="en-GB"/>
        </w:rPr>
        <w:t xml:space="preserve">the </w:t>
      </w:r>
      <w:r w:rsidR="00780700" w:rsidRPr="00647CD8">
        <w:rPr>
          <w:lang w:eastAsia="en-GB"/>
        </w:rPr>
        <w:t xml:space="preserve">Annex V emissions limit values need to apply </w:t>
      </w:r>
      <w:r w:rsidR="00711CAE" w:rsidRPr="00647CD8">
        <w:rPr>
          <w:lang w:eastAsia="en-GB"/>
        </w:rPr>
        <w:t>“for emergency use that operate less than 500 operating hours per year”</w:t>
      </w:r>
      <w:r w:rsidRPr="00647CD8">
        <w:rPr>
          <w:lang w:eastAsia="en-GB"/>
        </w:rPr>
        <w:t xml:space="preserve">. There are many practical </w:t>
      </w:r>
      <w:r w:rsidR="00677042" w:rsidRPr="00647CD8">
        <w:rPr>
          <w:lang w:eastAsia="en-GB"/>
        </w:rPr>
        <w:t>reason</w:t>
      </w:r>
      <w:r w:rsidRPr="00647CD8">
        <w:rPr>
          <w:lang w:eastAsia="en-GB"/>
        </w:rPr>
        <w:t>s for this 500 hours threshold: the difficult</w:t>
      </w:r>
      <w:r w:rsidR="00677042" w:rsidRPr="00647CD8">
        <w:rPr>
          <w:lang w:eastAsia="en-GB"/>
        </w:rPr>
        <w:t xml:space="preserve">y in </w:t>
      </w:r>
      <w:r w:rsidRPr="00647CD8">
        <w:rPr>
          <w:lang w:eastAsia="en-GB"/>
        </w:rPr>
        <w:t xml:space="preserve">predicting operations; measuring and monitoring emissions for short durations; abatement systems </w:t>
      </w:r>
      <w:r w:rsidR="008C547C" w:rsidRPr="00647CD8">
        <w:rPr>
          <w:lang w:eastAsia="en-GB"/>
        </w:rPr>
        <w:t xml:space="preserve">are </w:t>
      </w:r>
      <w:r w:rsidRPr="00647CD8">
        <w:rPr>
          <w:lang w:eastAsia="en-GB"/>
        </w:rPr>
        <w:t>less effective</w:t>
      </w:r>
      <w:r w:rsidR="00EF3B7E" w:rsidRPr="00647CD8">
        <w:rPr>
          <w:lang w:eastAsia="en-GB"/>
        </w:rPr>
        <w:t xml:space="preserve">, </w:t>
      </w:r>
      <w:r w:rsidRPr="00647CD8">
        <w:rPr>
          <w:lang w:eastAsia="en-GB"/>
        </w:rPr>
        <w:t xml:space="preserve">difficulty in </w:t>
      </w:r>
      <w:r w:rsidR="0071409C" w:rsidRPr="00647CD8">
        <w:rPr>
          <w:lang w:eastAsia="en-GB"/>
        </w:rPr>
        <w:t>defining</w:t>
      </w:r>
      <w:r w:rsidR="00677042" w:rsidRPr="00647CD8">
        <w:rPr>
          <w:lang w:eastAsia="en-GB"/>
        </w:rPr>
        <w:t xml:space="preserve"> stable </w:t>
      </w:r>
      <w:r w:rsidR="00EF3B7E" w:rsidRPr="00647CD8">
        <w:rPr>
          <w:lang w:eastAsia="en-GB"/>
        </w:rPr>
        <w:t xml:space="preserve">emissions </w:t>
      </w:r>
      <w:r w:rsidR="00E937E3" w:rsidRPr="00647CD8">
        <w:rPr>
          <w:lang w:eastAsia="en-GB"/>
        </w:rPr>
        <w:t xml:space="preserve">based on </w:t>
      </w:r>
      <w:r w:rsidR="00EF3B7E" w:rsidRPr="00647CD8">
        <w:rPr>
          <w:lang w:eastAsia="en-GB"/>
        </w:rPr>
        <w:t xml:space="preserve">load </w:t>
      </w:r>
      <w:r w:rsidRPr="00647CD8">
        <w:rPr>
          <w:lang w:eastAsia="en-GB"/>
        </w:rPr>
        <w:t xml:space="preserve">interval </w:t>
      </w:r>
      <w:r w:rsidR="00EF3B7E" w:rsidRPr="00647CD8">
        <w:rPr>
          <w:lang w:eastAsia="en-GB"/>
        </w:rPr>
        <w:t xml:space="preserve">and the allowance to </w:t>
      </w:r>
      <w:r w:rsidRPr="00647CD8">
        <w:rPr>
          <w:lang w:eastAsia="en-GB"/>
        </w:rPr>
        <w:t xml:space="preserve">switch to </w:t>
      </w:r>
      <w:r w:rsidR="00EF3B7E" w:rsidRPr="00647CD8">
        <w:rPr>
          <w:lang w:eastAsia="en-GB"/>
        </w:rPr>
        <w:t xml:space="preserve">an alternate fuel (e.g. oil when normally </w:t>
      </w:r>
      <w:r w:rsidR="00825003" w:rsidRPr="00647CD8">
        <w:rPr>
          <w:lang w:eastAsia="en-GB"/>
        </w:rPr>
        <w:t xml:space="preserve">using </w:t>
      </w:r>
      <w:r w:rsidR="00EF3B7E" w:rsidRPr="00647CD8">
        <w:rPr>
          <w:lang w:eastAsia="en-GB"/>
        </w:rPr>
        <w:t>gas) in an emergency</w:t>
      </w:r>
      <w:r w:rsidR="00677042" w:rsidRPr="00647CD8">
        <w:rPr>
          <w:lang w:eastAsia="en-GB"/>
        </w:rPr>
        <w:t xml:space="preserve">. </w:t>
      </w:r>
    </w:p>
    <w:p w14:paraId="52B7A367" w14:textId="77777777" w:rsidR="000F0FD0" w:rsidRPr="00647CD8" w:rsidRDefault="00780700" w:rsidP="000F0FD0">
      <w:pPr>
        <w:rPr>
          <w:lang w:eastAsia="en-GB"/>
        </w:rPr>
      </w:pPr>
      <w:r w:rsidRPr="00647CD8">
        <w:rPr>
          <w:lang w:eastAsia="en-GB"/>
        </w:rPr>
        <w:t xml:space="preserve">Technically </w:t>
      </w:r>
      <w:r w:rsidR="00341B42" w:rsidRPr="00647CD8">
        <w:rPr>
          <w:lang w:eastAsia="en-GB"/>
        </w:rPr>
        <w:t xml:space="preserve">emergency </w:t>
      </w:r>
      <w:r w:rsidRPr="00647CD8">
        <w:rPr>
          <w:lang w:eastAsia="en-GB"/>
        </w:rPr>
        <w:t>500 hour</w:t>
      </w:r>
      <w:r w:rsidR="008C547C" w:rsidRPr="00647CD8">
        <w:rPr>
          <w:lang w:eastAsia="en-GB"/>
        </w:rPr>
        <w:t xml:space="preserve">s is </w:t>
      </w:r>
      <w:r w:rsidR="008C547C" w:rsidRPr="00647CD8">
        <w:rPr>
          <w:u w:val="single"/>
          <w:lang w:eastAsia="en-GB"/>
        </w:rPr>
        <w:t>not</w:t>
      </w:r>
      <w:r w:rsidR="008C547C" w:rsidRPr="00647CD8">
        <w:rPr>
          <w:lang w:eastAsia="en-GB"/>
        </w:rPr>
        <w:t xml:space="preserve"> a limit applying to C</w:t>
      </w:r>
      <w:r w:rsidR="00677042" w:rsidRPr="00647CD8">
        <w:rPr>
          <w:lang w:eastAsia="en-GB"/>
        </w:rPr>
        <w:t>ha</w:t>
      </w:r>
      <w:r w:rsidRPr="00647CD8">
        <w:rPr>
          <w:lang w:eastAsia="en-GB"/>
        </w:rPr>
        <w:t xml:space="preserve">pter </w:t>
      </w:r>
      <w:r w:rsidR="00866066" w:rsidRPr="00647CD8">
        <w:rPr>
          <w:lang w:eastAsia="en-GB"/>
        </w:rPr>
        <w:t xml:space="preserve">II </w:t>
      </w:r>
      <w:r w:rsidRPr="00647CD8">
        <w:rPr>
          <w:lang w:eastAsia="en-GB"/>
        </w:rPr>
        <w:t>sites</w:t>
      </w:r>
      <w:r w:rsidR="0040614B" w:rsidRPr="00647CD8">
        <w:rPr>
          <w:lang w:eastAsia="en-GB"/>
        </w:rPr>
        <w:t xml:space="preserve"> plant</w:t>
      </w:r>
      <w:r w:rsidR="00D278D9" w:rsidRPr="00647CD8">
        <w:rPr>
          <w:lang w:eastAsia="en-GB"/>
        </w:rPr>
        <w:t xml:space="preserve"> under IED</w:t>
      </w:r>
      <w:r w:rsidR="00B30398" w:rsidRPr="00647CD8">
        <w:rPr>
          <w:lang w:eastAsia="en-GB"/>
        </w:rPr>
        <w:t xml:space="preserve"> under which permits are granted for data centres</w:t>
      </w:r>
      <w:r w:rsidR="0071409C" w:rsidRPr="00647CD8">
        <w:rPr>
          <w:lang w:eastAsia="en-GB"/>
        </w:rPr>
        <w:t>, however</w:t>
      </w:r>
      <w:r w:rsidR="0040614B" w:rsidRPr="00647CD8">
        <w:rPr>
          <w:lang w:eastAsia="en-GB"/>
        </w:rPr>
        <w:t xml:space="preserve"> we use the</w:t>
      </w:r>
      <w:r w:rsidR="000F0FD0" w:rsidRPr="00647CD8">
        <w:rPr>
          <w:lang w:eastAsia="en-GB"/>
        </w:rPr>
        <w:t xml:space="preserve"> above</w:t>
      </w:r>
      <w:r w:rsidR="008C547C" w:rsidRPr="00647CD8">
        <w:rPr>
          <w:lang w:eastAsia="en-GB"/>
        </w:rPr>
        <w:t xml:space="preserve"> reasoning to apply it to combustion 1.1A C</w:t>
      </w:r>
      <w:r w:rsidR="00677042" w:rsidRPr="00647CD8">
        <w:rPr>
          <w:lang w:eastAsia="en-GB"/>
        </w:rPr>
        <w:t xml:space="preserve">hapter </w:t>
      </w:r>
      <w:r w:rsidR="00866066" w:rsidRPr="00647CD8">
        <w:rPr>
          <w:lang w:eastAsia="en-GB"/>
        </w:rPr>
        <w:t xml:space="preserve">II </w:t>
      </w:r>
      <w:r w:rsidR="00677042" w:rsidRPr="00647CD8">
        <w:rPr>
          <w:lang w:eastAsia="en-GB"/>
        </w:rPr>
        <w:t>sites</w:t>
      </w:r>
      <w:r w:rsidR="00674269" w:rsidRPr="00647CD8">
        <w:rPr>
          <w:lang w:eastAsia="en-GB"/>
        </w:rPr>
        <w:t xml:space="preserve"> </w:t>
      </w:r>
      <w:r w:rsidR="00B21311" w:rsidRPr="00647CD8">
        <w:rPr>
          <w:lang w:eastAsia="en-GB"/>
        </w:rPr>
        <w:t xml:space="preserve">and as such </w:t>
      </w:r>
      <w:r w:rsidR="008B065A" w:rsidRPr="00647CD8">
        <w:rPr>
          <w:lang w:eastAsia="en-GB"/>
        </w:rPr>
        <w:t>Data C</w:t>
      </w:r>
      <w:r w:rsidR="00674269" w:rsidRPr="00647CD8">
        <w:rPr>
          <w:lang w:eastAsia="en-GB"/>
        </w:rPr>
        <w:t>entres</w:t>
      </w:r>
      <w:r w:rsidR="00B21311" w:rsidRPr="00647CD8">
        <w:rPr>
          <w:lang w:eastAsia="en-GB"/>
        </w:rPr>
        <w:t xml:space="preserve"> too</w:t>
      </w:r>
      <w:r w:rsidR="00677042" w:rsidRPr="00647CD8">
        <w:rPr>
          <w:lang w:eastAsia="en-GB"/>
        </w:rPr>
        <w:t>.</w:t>
      </w:r>
    </w:p>
    <w:p w14:paraId="6A048FFD" w14:textId="77777777" w:rsidR="000F0FD0" w:rsidRPr="00647CD8" w:rsidRDefault="000F0FD0" w:rsidP="000F0FD0">
      <w:pPr>
        <w:rPr>
          <w:lang w:eastAsia="en-GB"/>
        </w:rPr>
      </w:pPr>
      <w:r w:rsidRPr="00647CD8">
        <w:rPr>
          <w:lang w:eastAsia="en-GB"/>
        </w:rPr>
        <w:t>The EA takes the view that generation plant at a Data Centre used solely for back-up and emergency standby for potential grid outages (and on-site power failures) constitutes an emergency 500 hour plant under EPR/IED</w:t>
      </w:r>
      <w:r w:rsidR="00F7077D" w:rsidRPr="00647CD8">
        <w:rPr>
          <w:lang w:eastAsia="en-GB"/>
        </w:rPr>
        <w:t xml:space="preserve"> and MCPD</w:t>
      </w:r>
      <w:r w:rsidR="00B30398" w:rsidRPr="00647CD8">
        <w:rPr>
          <w:lang w:eastAsia="en-GB"/>
        </w:rPr>
        <w:t xml:space="preserve"> too</w:t>
      </w:r>
      <w:r w:rsidRPr="00647CD8">
        <w:rPr>
          <w:lang w:eastAsia="en-GB"/>
        </w:rPr>
        <w:t>. This allows us to evaluate the likely air quality impacts of needing to improbably operate a Data Centre in an emergency</w:t>
      </w:r>
      <w:r w:rsidR="00B30398" w:rsidRPr="00647CD8">
        <w:rPr>
          <w:lang w:eastAsia="en-GB"/>
        </w:rPr>
        <w:t xml:space="preserve"> </w:t>
      </w:r>
      <w:r w:rsidR="00EC313B" w:rsidRPr="00647CD8">
        <w:rPr>
          <w:lang w:eastAsia="en-GB"/>
        </w:rPr>
        <w:t xml:space="preserve">i.e. </w:t>
      </w:r>
      <w:r w:rsidR="0071409C" w:rsidRPr="00647CD8">
        <w:rPr>
          <w:lang w:eastAsia="en-GB"/>
        </w:rPr>
        <w:t>given t</w:t>
      </w:r>
      <w:r w:rsidR="00B30398" w:rsidRPr="00647CD8">
        <w:rPr>
          <w:lang w:eastAsia="en-GB"/>
        </w:rPr>
        <w:t>he reliability of grid networks nationally</w:t>
      </w:r>
      <w:r w:rsidRPr="00647CD8">
        <w:rPr>
          <w:lang w:eastAsia="en-GB"/>
        </w:rPr>
        <w:t xml:space="preserve">. </w:t>
      </w:r>
    </w:p>
    <w:p w14:paraId="4C14DA7D" w14:textId="77777777" w:rsidR="00FD4FCA" w:rsidRPr="00647CD8" w:rsidRDefault="00046858" w:rsidP="00046858">
      <w:pPr>
        <w:rPr>
          <w:lang w:eastAsia="en-GB"/>
        </w:rPr>
      </w:pPr>
      <w:r w:rsidRPr="00647CD8">
        <w:rPr>
          <w:lang w:eastAsia="en-GB"/>
        </w:rPr>
        <w:t>A permit determination c</w:t>
      </w:r>
      <w:r w:rsidR="008B065A" w:rsidRPr="00647CD8">
        <w:rPr>
          <w:lang w:eastAsia="en-GB"/>
        </w:rPr>
        <w:t>ould</w:t>
      </w:r>
      <w:r w:rsidR="00A72992" w:rsidRPr="00647CD8">
        <w:rPr>
          <w:lang w:eastAsia="en-GB"/>
        </w:rPr>
        <w:t xml:space="preserve"> theoretically</w:t>
      </w:r>
      <w:r w:rsidRPr="00647CD8">
        <w:rPr>
          <w:lang w:eastAsia="en-GB"/>
        </w:rPr>
        <w:t xml:space="preserve"> limit the total </w:t>
      </w:r>
      <w:r w:rsidR="000F0FD0" w:rsidRPr="00647CD8">
        <w:rPr>
          <w:lang w:eastAsia="en-GB"/>
        </w:rPr>
        <w:t xml:space="preserve">operational </w:t>
      </w:r>
      <w:r w:rsidRPr="00647CD8">
        <w:rPr>
          <w:lang w:eastAsia="en-GB"/>
        </w:rPr>
        <w:t xml:space="preserve">hours to those below which pollution </w:t>
      </w:r>
      <w:r w:rsidR="008C547C" w:rsidRPr="00647CD8">
        <w:rPr>
          <w:lang w:eastAsia="en-GB"/>
        </w:rPr>
        <w:t>would not</w:t>
      </w:r>
      <w:r w:rsidR="00F9398E" w:rsidRPr="00647CD8">
        <w:rPr>
          <w:lang w:eastAsia="en-GB"/>
        </w:rPr>
        <w:t xml:space="preserve"> occur to the local area</w:t>
      </w:r>
      <w:r w:rsidR="008C547C" w:rsidRPr="00647CD8">
        <w:rPr>
          <w:lang w:eastAsia="en-GB"/>
        </w:rPr>
        <w:t xml:space="preserve"> and this could technically be less than 500 hours. So</w:t>
      </w:r>
      <w:r w:rsidRPr="00647CD8">
        <w:rPr>
          <w:lang w:eastAsia="en-GB"/>
        </w:rPr>
        <w:t xml:space="preserve"> </w:t>
      </w:r>
      <w:r w:rsidRPr="00647CD8">
        <w:rPr>
          <w:u w:val="single"/>
          <w:lang w:eastAsia="en-GB"/>
        </w:rPr>
        <w:t xml:space="preserve">500 hours for emergency plant is a </w:t>
      </w:r>
      <w:r w:rsidR="008C547C" w:rsidRPr="00647CD8">
        <w:rPr>
          <w:u w:val="single"/>
          <w:lang w:eastAsia="en-GB"/>
        </w:rPr>
        <w:t xml:space="preserve">default </w:t>
      </w:r>
      <w:r w:rsidRPr="00647CD8">
        <w:rPr>
          <w:u w:val="single"/>
          <w:lang w:eastAsia="en-GB"/>
        </w:rPr>
        <w:t xml:space="preserve">ceiling </w:t>
      </w:r>
      <w:r w:rsidR="008C547C" w:rsidRPr="00647CD8">
        <w:rPr>
          <w:u w:val="single"/>
          <w:lang w:eastAsia="en-GB"/>
        </w:rPr>
        <w:t xml:space="preserve">limit </w:t>
      </w:r>
      <w:r w:rsidRPr="00647CD8">
        <w:rPr>
          <w:u w:val="single"/>
          <w:lang w:eastAsia="en-GB"/>
        </w:rPr>
        <w:t xml:space="preserve">if </w:t>
      </w:r>
      <w:r w:rsidR="0030270D" w:rsidRPr="00647CD8">
        <w:rPr>
          <w:u w:val="single"/>
          <w:lang w:eastAsia="en-GB"/>
        </w:rPr>
        <w:t>exhaust emission limit values (</w:t>
      </w:r>
      <w:r w:rsidRPr="00647CD8">
        <w:rPr>
          <w:u w:val="single"/>
          <w:lang w:eastAsia="en-GB"/>
        </w:rPr>
        <w:t>ELVs</w:t>
      </w:r>
      <w:r w:rsidR="0030270D" w:rsidRPr="00647CD8">
        <w:rPr>
          <w:u w:val="single"/>
          <w:lang w:eastAsia="en-GB"/>
        </w:rPr>
        <w:t>)</w:t>
      </w:r>
      <w:r w:rsidRPr="00647CD8">
        <w:rPr>
          <w:u w:val="single"/>
          <w:lang w:eastAsia="en-GB"/>
        </w:rPr>
        <w:t xml:space="preserve"> are not set</w:t>
      </w:r>
      <w:r w:rsidR="00FC1478" w:rsidRPr="00647CD8">
        <w:rPr>
          <w:lang w:eastAsia="en-GB"/>
        </w:rPr>
        <w:t>.</w:t>
      </w:r>
      <w:r w:rsidR="008B065A" w:rsidRPr="00647CD8">
        <w:rPr>
          <w:lang w:eastAsia="en-GB"/>
        </w:rPr>
        <w:t xml:space="preserve"> </w:t>
      </w:r>
      <w:r w:rsidR="000F0FD0" w:rsidRPr="00647CD8">
        <w:rPr>
          <w:lang w:eastAsia="en-GB"/>
        </w:rPr>
        <w:t xml:space="preserve">The 500 hours limit could </w:t>
      </w:r>
      <w:r w:rsidR="0040614B" w:rsidRPr="00647CD8">
        <w:rPr>
          <w:lang w:eastAsia="en-GB"/>
        </w:rPr>
        <w:t xml:space="preserve">technically </w:t>
      </w:r>
      <w:r w:rsidR="000F0FD0" w:rsidRPr="00647CD8">
        <w:rPr>
          <w:lang w:eastAsia="en-GB"/>
        </w:rPr>
        <w:t xml:space="preserve">be adjusted to reflect the company’s maximum requirements of the offered guarantees of </w:t>
      </w:r>
      <w:r w:rsidR="0040614B" w:rsidRPr="00647CD8">
        <w:rPr>
          <w:lang w:eastAsia="en-GB"/>
        </w:rPr>
        <w:t xml:space="preserve">grid </w:t>
      </w:r>
      <w:r w:rsidR="000F0FD0" w:rsidRPr="00647CD8">
        <w:rPr>
          <w:lang w:eastAsia="en-GB"/>
        </w:rPr>
        <w:t>supply duration (e.g. 5 days, or 17 hours of fuel oil storage etc).</w:t>
      </w:r>
      <w:r w:rsidR="00EC313B" w:rsidRPr="00647CD8">
        <w:rPr>
          <w:lang w:eastAsia="en-GB"/>
        </w:rPr>
        <w:t xml:space="preserve"> </w:t>
      </w:r>
    </w:p>
    <w:p w14:paraId="570ED7BB" w14:textId="77777777" w:rsidR="00FD4FCA" w:rsidRPr="00647CD8" w:rsidRDefault="00FD4FCA" w:rsidP="00FD4FCA">
      <w:pPr>
        <w:rPr>
          <w:lang w:eastAsia="en-GB"/>
        </w:rPr>
      </w:pPr>
      <w:r w:rsidRPr="00647CD8">
        <w:rPr>
          <w:b/>
          <w:lang w:eastAsia="en-GB"/>
        </w:rPr>
        <w:t xml:space="preserve">The whole or part site plant can only operate as emergency plant up to 500 hours </w:t>
      </w:r>
      <w:r w:rsidR="0030270D" w:rsidRPr="00647CD8">
        <w:rPr>
          <w:b/>
          <w:lang w:eastAsia="en-GB"/>
        </w:rPr>
        <w:t xml:space="preserve">in total per year </w:t>
      </w:r>
      <w:r w:rsidRPr="00647CD8">
        <w:rPr>
          <w:b/>
          <w:lang w:eastAsia="en-GB"/>
        </w:rPr>
        <w:t>as an absolute limit for grid outages</w:t>
      </w:r>
      <w:r w:rsidRPr="00647CD8">
        <w:rPr>
          <w:lang w:eastAsia="en-GB"/>
        </w:rPr>
        <w:t xml:space="preserve">. </w:t>
      </w:r>
      <w:r w:rsidR="0030270D" w:rsidRPr="00647CD8">
        <w:rPr>
          <w:lang w:eastAsia="en-GB"/>
        </w:rPr>
        <w:t>Although t</w:t>
      </w:r>
      <w:r w:rsidRPr="00647CD8">
        <w:rPr>
          <w:lang w:eastAsia="en-GB"/>
        </w:rPr>
        <w:t xml:space="preserve">he EA permit is issued on this basis practically sites will be in communication with the regulatory officer </w:t>
      </w:r>
      <w:r w:rsidR="0030270D" w:rsidRPr="00647CD8">
        <w:rPr>
          <w:lang w:eastAsia="en-GB"/>
        </w:rPr>
        <w:t>assessing the impacts of the emergency operation and wishing to extend or reduce the 500 hours duration.</w:t>
      </w:r>
    </w:p>
    <w:p w14:paraId="6F771778" w14:textId="77777777" w:rsidR="00F7077D" w:rsidRPr="00647CD8" w:rsidRDefault="00F7077D" w:rsidP="00161A9D">
      <w:pPr>
        <w:pStyle w:val="Heading3"/>
        <w:rPr>
          <w:color w:val="auto"/>
        </w:rPr>
      </w:pPr>
      <w:bookmarkStart w:id="16" w:name="_Toc517419548"/>
      <w:r w:rsidRPr="00647CD8">
        <w:rPr>
          <w:color w:val="auto"/>
        </w:rPr>
        <w:t>How is a 500 hour notional emergency limit accounted for</w:t>
      </w:r>
      <w:r w:rsidR="0030270D" w:rsidRPr="00647CD8">
        <w:rPr>
          <w:color w:val="auto"/>
        </w:rPr>
        <w:t>?</w:t>
      </w:r>
      <w:bookmarkEnd w:id="16"/>
    </w:p>
    <w:p w14:paraId="46CC3E12" w14:textId="77777777" w:rsidR="00FD4FCA" w:rsidRPr="00647CD8" w:rsidRDefault="005E05CD" w:rsidP="005F61CC">
      <w:pPr>
        <w:rPr>
          <w:lang w:eastAsia="en-GB"/>
        </w:rPr>
      </w:pPr>
      <w:r w:rsidRPr="00647CD8">
        <w:rPr>
          <w:lang w:eastAsia="en-GB"/>
        </w:rPr>
        <w:t>Technically under MCPD definitions</w:t>
      </w:r>
      <w:r w:rsidR="003D677E" w:rsidRPr="00647CD8">
        <w:rPr>
          <w:lang w:eastAsia="en-GB"/>
        </w:rPr>
        <w:t>, as a guide,</w:t>
      </w:r>
      <w:r w:rsidRPr="00647CD8">
        <w:rPr>
          <w:lang w:eastAsia="en-GB"/>
        </w:rPr>
        <w:t xml:space="preserve"> e</w:t>
      </w:r>
      <w:r w:rsidR="005F61CC" w:rsidRPr="00647CD8">
        <w:rPr>
          <w:lang w:eastAsia="en-GB"/>
        </w:rPr>
        <w:t xml:space="preserve">ach individual generator with its own discharge stack, can </w:t>
      </w:r>
      <w:r w:rsidRPr="00647CD8">
        <w:rPr>
          <w:lang w:eastAsia="en-GB"/>
        </w:rPr>
        <w:t>‘operate’</w:t>
      </w:r>
      <w:r w:rsidR="00161A9D" w:rsidRPr="00647CD8">
        <w:rPr>
          <w:lang w:eastAsia="en-GB"/>
        </w:rPr>
        <w:t xml:space="preserve"> for </w:t>
      </w:r>
      <w:r w:rsidR="005F61CC" w:rsidRPr="00647CD8">
        <w:rPr>
          <w:lang w:eastAsia="en-GB"/>
        </w:rPr>
        <w:t>test</w:t>
      </w:r>
      <w:r w:rsidR="00161A9D" w:rsidRPr="00647CD8">
        <w:rPr>
          <w:lang w:eastAsia="en-GB"/>
        </w:rPr>
        <w:t>ing</w:t>
      </w:r>
      <w:r w:rsidR="005F61CC" w:rsidRPr="00647CD8">
        <w:rPr>
          <w:lang w:eastAsia="en-GB"/>
        </w:rPr>
        <w:t xml:space="preserve"> </w:t>
      </w:r>
      <w:r w:rsidR="0040787D" w:rsidRPr="00647CD8">
        <w:rPr>
          <w:lang w:eastAsia="en-GB"/>
        </w:rPr>
        <w:t xml:space="preserve">or emergency </w:t>
      </w:r>
      <w:r w:rsidR="005F61CC" w:rsidRPr="00647CD8">
        <w:rPr>
          <w:lang w:eastAsia="en-GB"/>
        </w:rPr>
        <w:t xml:space="preserve">for up to 500 hours per calendar year </w:t>
      </w:r>
      <w:r w:rsidRPr="00647CD8">
        <w:rPr>
          <w:lang w:eastAsia="en-GB"/>
        </w:rPr>
        <w:t xml:space="preserve">(as rolling average over a 5 or 3 year period Article 6 (3 &amp; 8)) </w:t>
      </w:r>
      <w:r w:rsidR="005F61CC" w:rsidRPr="00647CD8">
        <w:rPr>
          <w:lang w:eastAsia="en-GB"/>
        </w:rPr>
        <w:t xml:space="preserve">each without ELVs under IED/MCPD. </w:t>
      </w:r>
    </w:p>
    <w:p w14:paraId="24760C89" w14:textId="77777777" w:rsidR="005E05CD" w:rsidRPr="00647CD8" w:rsidRDefault="005F61CC" w:rsidP="005F61CC">
      <w:pPr>
        <w:rPr>
          <w:lang w:eastAsia="en-GB"/>
        </w:rPr>
      </w:pPr>
      <w:r w:rsidRPr="00647CD8">
        <w:rPr>
          <w:lang w:eastAsia="en-GB"/>
        </w:rPr>
        <w:t>MCPD Article 3 (22) defines operating hours based on ‘a combustion plant’ &amp; Article 4 Aggregation defines combusti</w:t>
      </w:r>
      <w:r w:rsidR="00FD4FCA" w:rsidRPr="00647CD8">
        <w:rPr>
          <w:lang w:eastAsia="en-GB"/>
        </w:rPr>
        <w:t>on plant based on common stacks</w:t>
      </w:r>
      <w:r w:rsidR="003D677E" w:rsidRPr="00647CD8">
        <w:rPr>
          <w:lang w:eastAsia="en-GB"/>
        </w:rPr>
        <w:t>.</w:t>
      </w:r>
      <w:r w:rsidR="003246B7" w:rsidRPr="00647CD8">
        <w:rPr>
          <w:lang w:eastAsia="en-GB"/>
        </w:rPr>
        <w:t xml:space="preserve"> If a set of generators is provided within a shared common discharge stack then individual or any combination of the set of generators used in parallel can be maintained and tested without ELVs under IED/MCPD up to 500 hours per year usage of the stack</w:t>
      </w:r>
      <w:r w:rsidR="00341B42" w:rsidRPr="00647CD8">
        <w:rPr>
          <w:lang w:eastAsia="en-GB"/>
        </w:rPr>
        <w:t>.</w:t>
      </w:r>
    </w:p>
    <w:p w14:paraId="5FCBAEFF" w14:textId="77777777" w:rsidR="005F61CC" w:rsidRPr="00647CD8" w:rsidRDefault="005E05CD" w:rsidP="005F61CC">
      <w:pPr>
        <w:rPr>
          <w:lang w:eastAsia="en-GB"/>
        </w:rPr>
      </w:pPr>
      <w:r w:rsidRPr="00647CD8">
        <w:rPr>
          <w:lang w:eastAsia="en-GB"/>
        </w:rPr>
        <w:t xml:space="preserve">The EA considers it unlikely that individual emergency generators would ever need to be tested </w:t>
      </w:r>
      <w:r w:rsidR="00FD4FCA" w:rsidRPr="00647CD8">
        <w:rPr>
          <w:lang w:eastAsia="en-GB"/>
        </w:rPr>
        <w:t xml:space="preserve">and/or then be used in an emergency </w:t>
      </w:r>
      <w:r w:rsidRPr="00647CD8">
        <w:rPr>
          <w:lang w:eastAsia="en-GB"/>
        </w:rPr>
        <w:t>for 500 hours per year</w:t>
      </w:r>
      <w:r w:rsidR="003D677E" w:rsidRPr="00647CD8">
        <w:rPr>
          <w:lang w:eastAsia="en-GB"/>
        </w:rPr>
        <w:t>. However there is a definitions deficiency in</w:t>
      </w:r>
      <w:r w:rsidR="003246B7" w:rsidRPr="00647CD8">
        <w:rPr>
          <w:lang w:eastAsia="en-GB"/>
        </w:rPr>
        <w:t xml:space="preserve"> the wording of applicable legislation in</w:t>
      </w:r>
      <w:r w:rsidR="003D677E" w:rsidRPr="00647CD8">
        <w:rPr>
          <w:lang w:eastAsia="en-GB"/>
        </w:rPr>
        <w:t xml:space="preserve"> that the EA data </w:t>
      </w:r>
      <w:r w:rsidR="008E3AEF" w:rsidRPr="00647CD8">
        <w:rPr>
          <w:lang w:eastAsia="en-GB"/>
        </w:rPr>
        <w:t>centre permits are issued as a C</w:t>
      </w:r>
      <w:r w:rsidR="003D677E" w:rsidRPr="00647CD8">
        <w:rPr>
          <w:lang w:eastAsia="en-GB"/>
        </w:rPr>
        <w:t>hapter</w:t>
      </w:r>
      <w:r w:rsidR="00866066" w:rsidRPr="00647CD8">
        <w:rPr>
          <w:lang w:eastAsia="en-GB"/>
        </w:rPr>
        <w:t xml:space="preserve"> II </w:t>
      </w:r>
      <w:r w:rsidR="003D677E" w:rsidRPr="00647CD8">
        <w:rPr>
          <w:lang w:eastAsia="en-GB"/>
        </w:rPr>
        <w:t xml:space="preserve">1.1A &gt;50MWth </w:t>
      </w:r>
      <w:r w:rsidR="003D677E" w:rsidRPr="00647CD8">
        <w:rPr>
          <w:u w:val="single"/>
          <w:lang w:eastAsia="en-GB"/>
        </w:rPr>
        <w:t>aggregated site</w:t>
      </w:r>
      <w:r w:rsidR="003D677E" w:rsidRPr="00647CD8">
        <w:rPr>
          <w:lang w:eastAsia="en-GB"/>
        </w:rPr>
        <w:t xml:space="preserve"> under which there is technically no definition of a 500 hours emergency </w:t>
      </w:r>
      <w:r w:rsidR="003246B7" w:rsidRPr="00647CD8">
        <w:rPr>
          <w:lang w:eastAsia="en-GB"/>
        </w:rPr>
        <w:t xml:space="preserve">(Chapter </w:t>
      </w:r>
      <w:r w:rsidR="00AF1059" w:rsidRPr="00647CD8">
        <w:rPr>
          <w:lang w:eastAsia="en-GB"/>
        </w:rPr>
        <w:t xml:space="preserve">III </w:t>
      </w:r>
      <w:r w:rsidR="003246B7" w:rsidRPr="00647CD8">
        <w:rPr>
          <w:lang w:eastAsia="en-GB"/>
        </w:rPr>
        <w:t>Annex V ‘emergency’ hours applies to the LCP common stack using gas turbines).</w:t>
      </w:r>
      <w:r w:rsidR="003D677E" w:rsidRPr="00647CD8">
        <w:rPr>
          <w:lang w:eastAsia="en-GB"/>
        </w:rPr>
        <w:t xml:space="preserve">  </w:t>
      </w:r>
    </w:p>
    <w:p w14:paraId="24055490" w14:textId="77777777" w:rsidR="008050F3" w:rsidRPr="00647CD8" w:rsidRDefault="008050F3" w:rsidP="005F61CC">
      <w:pPr>
        <w:rPr>
          <w:lang w:eastAsia="en-GB"/>
        </w:rPr>
      </w:pPr>
      <w:r w:rsidRPr="00647CD8">
        <w:rPr>
          <w:b/>
          <w:lang w:eastAsia="en-GB"/>
        </w:rPr>
        <w:lastRenderedPageBreak/>
        <w:t>T</w:t>
      </w:r>
      <w:r w:rsidR="005F61CC" w:rsidRPr="00647CD8">
        <w:rPr>
          <w:b/>
          <w:lang w:eastAsia="en-GB"/>
        </w:rPr>
        <w:t xml:space="preserve">he whole </w:t>
      </w:r>
      <w:r w:rsidR="0055422A" w:rsidRPr="00647CD8">
        <w:rPr>
          <w:b/>
          <w:lang w:eastAsia="en-GB"/>
        </w:rPr>
        <w:t xml:space="preserve">or part site </w:t>
      </w:r>
      <w:r w:rsidR="0071409C" w:rsidRPr="00647CD8">
        <w:rPr>
          <w:b/>
          <w:lang w:eastAsia="en-GB"/>
        </w:rPr>
        <w:t xml:space="preserve">plant </w:t>
      </w:r>
      <w:r w:rsidR="005F61CC" w:rsidRPr="00647CD8">
        <w:rPr>
          <w:b/>
          <w:lang w:eastAsia="en-GB"/>
        </w:rPr>
        <w:t xml:space="preserve">can only operate as emergency plant up to 500 hours </w:t>
      </w:r>
      <w:r w:rsidR="0030270D" w:rsidRPr="00647CD8">
        <w:rPr>
          <w:b/>
          <w:lang w:eastAsia="en-GB"/>
        </w:rPr>
        <w:t xml:space="preserve">per year </w:t>
      </w:r>
      <w:r w:rsidR="005F61CC" w:rsidRPr="00647CD8">
        <w:rPr>
          <w:b/>
          <w:lang w:eastAsia="en-GB"/>
        </w:rPr>
        <w:t>as an absolute limit</w:t>
      </w:r>
      <w:r w:rsidR="00702A45" w:rsidRPr="00647CD8">
        <w:rPr>
          <w:b/>
          <w:lang w:eastAsia="en-GB"/>
        </w:rPr>
        <w:t xml:space="preserve"> for grid outages</w:t>
      </w:r>
      <w:r w:rsidR="0071409C" w:rsidRPr="00647CD8">
        <w:rPr>
          <w:lang w:eastAsia="en-GB"/>
        </w:rPr>
        <w:t>.</w:t>
      </w:r>
    </w:p>
    <w:p w14:paraId="7B89EFAD" w14:textId="77777777" w:rsidR="007E525F" w:rsidRPr="00647CD8" w:rsidRDefault="007E525F" w:rsidP="00EC2B8F">
      <w:pPr>
        <w:spacing w:after="0"/>
        <w:rPr>
          <w:lang w:eastAsia="en-GB"/>
        </w:rPr>
      </w:pPr>
      <w:r w:rsidRPr="00647CD8">
        <w:rPr>
          <w:lang w:eastAsia="en-GB"/>
        </w:rPr>
        <w:t xml:space="preserve">Maintenance and testing hours for generators </w:t>
      </w:r>
      <w:r w:rsidRPr="00647CD8">
        <w:rPr>
          <w:u w:val="single"/>
          <w:lang w:eastAsia="en-GB"/>
        </w:rPr>
        <w:t>does not</w:t>
      </w:r>
      <w:r w:rsidRPr="00647CD8">
        <w:rPr>
          <w:lang w:eastAsia="en-GB"/>
        </w:rPr>
        <w:t xml:space="preserve"> reduce pro-rata the available 500 hours of emergency running for whole or part site grid outage. This is because t</w:t>
      </w:r>
      <w:r w:rsidR="008050F3" w:rsidRPr="00647CD8">
        <w:rPr>
          <w:lang w:eastAsia="en-GB"/>
        </w:rPr>
        <w:t>he</w:t>
      </w:r>
      <w:r w:rsidR="001C2A3A" w:rsidRPr="00647CD8">
        <w:rPr>
          <w:lang w:eastAsia="en-GB"/>
        </w:rPr>
        <w:t xml:space="preserve"> EA wishes to </w:t>
      </w:r>
      <w:r w:rsidRPr="00647CD8">
        <w:rPr>
          <w:lang w:eastAsia="en-GB"/>
        </w:rPr>
        <w:t>address the following three issues in considering the best management of the impacts to air quality:-</w:t>
      </w:r>
    </w:p>
    <w:p w14:paraId="75BCB81B" w14:textId="77777777" w:rsidR="007E525F" w:rsidRPr="00647CD8" w:rsidRDefault="001C2A3A" w:rsidP="00CB57C9">
      <w:pPr>
        <w:pStyle w:val="ListParagraph"/>
        <w:numPr>
          <w:ilvl w:val="0"/>
          <w:numId w:val="12"/>
        </w:numPr>
        <w:spacing w:after="0" w:line="240" w:lineRule="auto"/>
        <w:rPr>
          <w:lang w:eastAsia="en-GB"/>
        </w:rPr>
      </w:pPr>
      <w:r w:rsidRPr="00647CD8">
        <w:rPr>
          <w:lang w:eastAsia="en-GB"/>
        </w:rPr>
        <w:t>prevent significant</w:t>
      </w:r>
      <w:r w:rsidR="00155993" w:rsidRPr="00647CD8">
        <w:rPr>
          <w:lang w:eastAsia="en-GB"/>
        </w:rPr>
        <w:t xml:space="preserve"> air quality</w:t>
      </w:r>
      <w:r w:rsidR="007E525F" w:rsidRPr="00647CD8">
        <w:rPr>
          <w:lang w:eastAsia="en-GB"/>
        </w:rPr>
        <w:t xml:space="preserve"> concerns</w:t>
      </w:r>
      <w:r w:rsidR="008F2C7C" w:rsidRPr="00647CD8">
        <w:rPr>
          <w:lang w:eastAsia="en-GB"/>
        </w:rPr>
        <w:t xml:space="preserve"> </w:t>
      </w:r>
      <w:r w:rsidRPr="00647CD8">
        <w:rPr>
          <w:lang w:eastAsia="en-GB"/>
        </w:rPr>
        <w:t xml:space="preserve">in potentially allowing </w:t>
      </w:r>
      <w:r w:rsidR="007E525F" w:rsidRPr="00647CD8">
        <w:rPr>
          <w:lang w:eastAsia="en-GB"/>
        </w:rPr>
        <w:t xml:space="preserve">sequential use of </w:t>
      </w:r>
      <w:r w:rsidR="0040614B" w:rsidRPr="00647CD8">
        <w:rPr>
          <w:lang w:eastAsia="en-GB"/>
        </w:rPr>
        <w:t xml:space="preserve">(part) </w:t>
      </w:r>
      <w:r w:rsidRPr="00647CD8">
        <w:rPr>
          <w:lang w:eastAsia="en-GB"/>
        </w:rPr>
        <w:t xml:space="preserve">plant operating in an emergency </w:t>
      </w:r>
      <w:r w:rsidR="007E525F" w:rsidRPr="00647CD8">
        <w:rPr>
          <w:lang w:eastAsia="en-GB"/>
        </w:rPr>
        <w:t xml:space="preserve">with </w:t>
      </w:r>
      <w:r w:rsidRPr="00647CD8">
        <w:rPr>
          <w:lang w:eastAsia="en-GB"/>
        </w:rPr>
        <w:t xml:space="preserve">its own </w:t>
      </w:r>
      <w:r w:rsidR="00FE3F77" w:rsidRPr="00647CD8">
        <w:rPr>
          <w:lang w:eastAsia="en-GB"/>
        </w:rPr>
        <w:t xml:space="preserve">independent </w:t>
      </w:r>
      <w:r w:rsidRPr="00647CD8">
        <w:rPr>
          <w:lang w:eastAsia="en-GB"/>
        </w:rPr>
        <w:t xml:space="preserve">500 hours </w:t>
      </w:r>
      <w:r w:rsidR="007E525F" w:rsidRPr="00647CD8">
        <w:rPr>
          <w:lang w:eastAsia="en-GB"/>
        </w:rPr>
        <w:t xml:space="preserve">to </w:t>
      </w:r>
      <w:r w:rsidR="0040614B" w:rsidRPr="00647CD8">
        <w:rPr>
          <w:lang w:eastAsia="en-GB"/>
        </w:rPr>
        <w:t xml:space="preserve">power the </w:t>
      </w:r>
      <w:r w:rsidR="007E525F" w:rsidRPr="00647CD8">
        <w:rPr>
          <w:lang w:eastAsia="en-GB"/>
        </w:rPr>
        <w:t>whole site i.e. for example prevent 500 hours emergency for half of a 2n arrangement, and then another 500 hours for the other half of the 2n</w:t>
      </w:r>
    </w:p>
    <w:p w14:paraId="63EFD22D" w14:textId="77777777" w:rsidR="00D64770" w:rsidRPr="00647CD8" w:rsidRDefault="00D64770" w:rsidP="00CB57C9">
      <w:pPr>
        <w:pStyle w:val="ListParagraph"/>
        <w:numPr>
          <w:ilvl w:val="0"/>
          <w:numId w:val="12"/>
        </w:numPr>
        <w:spacing w:line="240" w:lineRule="auto"/>
        <w:rPr>
          <w:lang w:eastAsia="en-GB"/>
        </w:rPr>
      </w:pPr>
      <w:r w:rsidRPr="00647CD8">
        <w:rPr>
          <w:lang w:eastAsia="en-GB"/>
        </w:rPr>
        <w:t>minimise the</w:t>
      </w:r>
      <w:r w:rsidR="0040614B" w:rsidRPr="00647CD8">
        <w:rPr>
          <w:lang w:eastAsia="en-GB"/>
        </w:rPr>
        <w:t xml:space="preserve"> size of the</w:t>
      </w:r>
      <w:r w:rsidRPr="00647CD8">
        <w:rPr>
          <w:lang w:eastAsia="en-GB"/>
        </w:rPr>
        <w:t xml:space="preserve"> largest peaks of exhaust emissions </w:t>
      </w:r>
      <w:r w:rsidR="0040614B" w:rsidRPr="00647CD8">
        <w:rPr>
          <w:lang w:eastAsia="en-GB"/>
        </w:rPr>
        <w:t xml:space="preserve">to air </w:t>
      </w:r>
      <w:r w:rsidRPr="00647CD8">
        <w:rPr>
          <w:lang w:eastAsia="en-GB"/>
        </w:rPr>
        <w:t xml:space="preserve">during maintenance/testing by </w:t>
      </w:r>
      <w:r w:rsidR="0040614B" w:rsidRPr="00647CD8">
        <w:rPr>
          <w:lang w:eastAsia="en-GB"/>
        </w:rPr>
        <w:t xml:space="preserve">encouraging </w:t>
      </w:r>
      <w:r w:rsidRPr="00647CD8">
        <w:rPr>
          <w:lang w:eastAsia="en-GB"/>
        </w:rPr>
        <w:t>the fewest number of engines op</w:t>
      </w:r>
      <w:r w:rsidR="0040614B" w:rsidRPr="00647CD8">
        <w:rPr>
          <w:lang w:eastAsia="en-GB"/>
        </w:rPr>
        <w:t>erating in parallel.</w:t>
      </w:r>
      <w:r w:rsidR="00161A9D" w:rsidRPr="00647CD8">
        <w:rPr>
          <w:lang w:eastAsia="en-GB"/>
        </w:rPr>
        <w:t xml:space="preserve"> (i.e. 3 engines each for one hour over a 3 hour period rather than all 3 engines for 1 hour)</w:t>
      </w:r>
    </w:p>
    <w:p w14:paraId="025EF79F" w14:textId="77777777" w:rsidR="007E525F" w:rsidRPr="00647CD8" w:rsidRDefault="007E525F" w:rsidP="00CB57C9">
      <w:pPr>
        <w:pStyle w:val="ListParagraph"/>
        <w:numPr>
          <w:ilvl w:val="0"/>
          <w:numId w:val="12"/>
        </w:numPr>
        <w:spacing w:line="240" w:lineRule="auto"/>
        <w:rPr>
          <w:lang w:eastAsia="en-GB"/>
        </w:rPr>
      </w:pPr>
      <w:r w:rsidRPr="00647CD8">
        <w:rPr>
          <w:lang w:eastAsia="en-GB"/>
        </w:rPr>
        <w:t>data centres</w:t>
      </w:r>
      <w:r w:rsidR="00D64770" w:rsidRPr="00647CD8">
        <w:rPr>
          <w:lang w:eastAsia="en-GB"/>
        </w:rPr>
        <w:t xml:space="preserve"> may </w:t>
      </w:r>
      <w:r w:rsidRPr="00647CD8">
        <w:rPr>
          <w:lang w:eastAsia="en-GB"/>
        </w:rPr>
        <w:t xml:space="preserve">have so many generators that testing or maintenance operations even for 1 hour each </w:t>
      </w:r>
      <w:r w:rsidR="00EC2B8F" w:rsidRPr="00647CD8">
        <w:rPr>
          <w:lang w:eastAsia="en-GB"/>
        </w:rPr>
        <w:t xml:space="preserve">over a year </w:t>
      </w:r>
      <w:r w:rsidRPr="00647CD8">
        <w:rPr>
          <w:lang w:eastAsia="en-GB"/>
        </w:rPr>
        <w:t xml:space="preserve">could quickly use up all </w:t>
      </w:r>
      <w:r w:rsidR="00D64770" w:rsidRPr="00647CD8">
        <w:rPr>
          <w:lang w:eastAsia="en-GB"/>
        </w:rPr>
        <w:t>a</w:t>
      </w:r>
      <w:r w:rsidRPr="00647CD8">
        <w:rPr>
          <w:lang w:eastAsia="en-GB"/>
        </w:rPr>
        <w:t xml:space="preserve"> 500 </w:t>
      </w:r>
      <w:r w:rsidR="000F0FD0" w:rsidRPr="00647CD8">
        <w:rPr>
          <w:lang w:eastAsia="en-GB"/>
        </w:rPr>
        <w:t>(</w:t>
      </w:r>
      <w:r w:rsidRPr="00647CD8">
        <w:rPr>
          <w:lang w:eastAsia="en-GB"/>
        </w:rPr>
        <w:t>emergency</w:t>
      </w:r>
      <w:r w:rsidR="000F0FD0" w:rsidRPr="00647CD8">
        <w:rPr>
          <w:lang w:eastAsia="en-GB"/>
        </w:rPr>
        <w:t>)</w:t>
      </w:r>
      <w:r w:rsidRPr="00647CD8">
        <w:rPr>
          <w:lang w:eastAsia="en-GB"/>
        </w:rPr>
        <w:t xml:space="preserve"> hours </w:t>
      </w:r>
      <w:r w:rsidR="00D64770" w:rsidRPr="00647CD8">
        <w:rPr>
          <w:lang w:eastAsia="en-GB"/>
        </w:rPr>
        <w:t xml:space="preserve">limit </w:t>
      </w:r>
      <w:r w:rsidRPr="00647CD8">
        <w:rPr>
          <w:lang w:eastAsia="en-GB"/>
        </w:rPr>
        <w:t>for the site.</w:t>
      </w:r>
    </w:p>
    <w:p w14:paraId="104E3820" w14:textId="77777777" w:rsidR="00EC2B8F" w:rsidRPr="00647CD8" w:rsidRDefault="00EC2B8F" w:rsidP="00EC2B8F">
      <w:pPr>
        <w:pStyle w:val="ListParagraph"/>
        <w:rPr>
          <w:lang w:eastAsia="en-GB"/>
        </w:rPr>
      </w:pPr>
    </w:p>
    <w:p w14:paraId="23CBE14C" w14:textId="77777777" w:rsidR="00EC2B8F" w:rsidRPr="00647CD8" w:rsidRDefault="00EC2B8F" w:rsidP="00EC2B8F">
      <w:pPr>
        <w:rPr>
          <w:lang w:eastAsia="en-GB"/>
        </w:rPr>
      </w:pPr>
      <w:r w:rsidRPr="00647CD8">
        <w:rPr>
          <w:lang w:eastAsia="en-GB"/>
        </w:rPr>
        <w:t xml:space="preserve">Theoretically the site can run </w:t>
      </w:r>
      <w:r w:rsidR="00161A9D" w:rsidRPr="00647CD8">
        <w:rPr>
          <w:lang w:eastAsia="en-GB"/>
        </w:rPr>
        <w:t xml:space="preserve">the set of </w:t>
      </w:r>
      <w:r w:rsidRPr="00647CD8">
        <w:rPr>
          <w:lang w:eastAsia="en-GB"/>
        </w:rPr>
        <w:t>single/multiple engines in series</w:t>
      </w:r>
      <w:r w:rsidR="0030270D" w:rsidRPr="00647CD8">
        <w:rPr>
          <w:lang w:eastAsia="en-GB"/>
        </w:rPr>
        <w:t xml:space="preserve"> or parallel</w:t>
      </w:r>
      <w:r w:rsidRPr="00647CD8">
        <w:rPr>
          <w:lang w:eastAsia="en-GB"/>
        </w:rPr>
        <w:t xml:space="preserve"> for </w:t>
      </w:r>
      <w:r w:rsidRPr="00647CD8">
        <w:rPr>
          <w:u w:val="single"/>
          <w:lang w:eastAsia="en-GB"/>
        </w:rPr>
        <w:t>planned</w:t>
      </w:r>
      <w:r w:rsidRPr="00647CD8">
        <w:rPr>
          <w:lang w:eastAsia="en-GB"/>
        </w:rPr>
        <w:t xml:space="preserve"> test operations for more than </w:t>
      </w:r>
      <w:r w:rsidR="00D278D9" w:rsidRPr="00647CD8">
        <w:rPr>
          <w:lang w:eastAsia="en-GB"/>
        </w:rPr>
        <w:t xml:space="preserve">a gross total of </w:t>
      </w:r>
      <w:r w:rsidRPr="00647CD8">
        <w:rPr>
          <w:lang w:eastAsia="en-GB"/>
        </w:rPr>
        <w:t>500 site running hours over the year (provided this was an EA approved &amp; modelled management procedure, covered in the permit determination, with minimisation of impacts to air quality).</w:t>
      </w:r>
    </w:p>
    <w:p w14:paraId="5F8ED788" w14:textId="77777777" w:rsidR="00155993" w:rsidRPr="00647CD8" w:rsidRDefault="00F32DDD" w:rsidP="00F32DDD">
      <w:pPr>
        <w:rPr>
          <w:lang w:eastAsia="en-GB"/>
        </w:rPr>
      </w:pPr>
      <w:r w:rsidRPr="00647CD8">
        <w:rPr>
          <w:lang w:eastAsia="en-GB"/>
        </w:rPr>
        <w:t>For the purposes of determining operating hours, data centre diesel generators are not regarded as having a start-up or shut-down time</w:t>
      </w:r>
      <w:r w:rsidR="00F30EFA" w:rsidRPr="00647CD8">
        <w:rPr>
          <w:lang w:eastAsia="en-GB"/>
        </w:rPr>
        <w:t>; and so the start of fuel ignition starts the clock.</w:t>
      </w:r>
      <w:r w:rsidRPr="00647CD8">
        <w:rPr>
          <w:lang w:eastAsia="en-GB"/>
        </w:rPr>
        <w:t xml:space="preserve"> This includes the shorter periods of plant ‘overlap’ when redundant plant is started for reliability before final customer load is reached</w:t>
      </w:r>
      <w:r w:rsidR="0040787D" w:rsidRPr="00647CD8">
        <w:rPr>
          <w:lang w:eastAsia="en-GB"/>
        </w:rPr>
        <w:t xml:space="preserve"> and the generator is </w:t>
      </w:r>
      <w:r w:rsidR="0030270D" w:rsidRPr="00647CD8">
        <w:rPr>
          <w:lang w:eastAsia="en-GB"/>
        </w:rPr>
        <w:t xml:space="preserve">backed-off and then </w:t>
      </w:r>
      <w:r w:rsidR="0040787D" w:rsidRPr="00647CD8">
        <w:rPr>
          <w:lang w:eastAsia="en-GB"/>
        </w:rPr>
        <w:t>stopped</w:t>
      </w:r>
      <w:r w:rsidR="00B16C3F" w:rsidRPr="00647CD8">
        <w:rPr>
          <w:lang w:eastAsia="en-GB"/>
        </w:rPr>
        <w:t>.</w:t>
      </w:r>
      <w:r w:rsidR="0041357E" w:rsidRPr="00647CD8">
        <w:rPr>
          <w:lang w:eastAsia="en-GB"/>
        </w:rPr>
        <w:t xml:space="preserve"> </w:t>
      </w:r>
    </w:p>
    <w:p w14:paraId="05EF5BB8" w14:textId="77777777" w:rsidR="00F32DDD" w:rsidRPr="00647CD8" w:rsidRDefault="00E90C3C" w:rsidP="00F32DDD">
      <w:pPr>
        <w:rPr>
          <w:lang w:eastAsia="en-GB"/>
        </w:rPr>
      </w:pPr>
      <w:r w:rsidRPr="00647CD8">
        <w:rPr>
          <w:lang w:eastAsia="en-GB"/>
        </w:rPr>
        <w:t>The</w:t>
      </w:r>
      <w:r w:rsidR="00155993" w:rsidRPr="00647CD8">
        <w:rPr>
          <w:lang w:eastAsia="en-GB"/>
        </w:rPr>
        <w:t xml:space="preserve"> administrative complications</w:t>
      </w:r>
      <w:r w:rsidR="00EC2B8F" w:rsidRPr="00647CD8">
        <w:rPr>
          <w:lang w:eastAsia="en-GB"/>
        </w:rPr>
        <w:t xml:space="preserve"> and burden</w:t>
      </w:r>
      <w:r w:rsidR="00155993" w:rsidRPr="00647CD8">
        <w:rPr>
          <w:lang w:eastAsia="en-GB"/>
        </w:rPr>
        <w:t xml:space="preserve"> of recording run hours </w:t>
      </w:r>
      <w:r w:rsidRPr="00647CD8">
        <w:rPr>
          <w:lang w:eastAsia="en-GB"/>
        </w:rPr>
        <w:t xml:space="preserve">and checking against a notional 500 </w:t>
      </w:r>
      <w:r w:rsidR="00EC2B8F" w:rsidRPr="00647CD8">
        <w:rPr>
          <w:lang w:eastAsia="en-GB"/>
        </w:rPr>
        <w:t xml:space="preserve">site wide emergency </w:t>
      </w:r>
      <w:r w:rsidRPr="00647CD8">
        <w:rPr>
          <w:lang w:eastAsia="en-GB"/>
        </w:rPr>
        <w:t xml:space="preserve">hour limit </w:t>
      </w:r>
      <w:r w:rsidR="00155993" w:rsidRPr="00647CD8">
        <w:rPr>
          <w:lang w:eastAsia="en-GB"/>
        </w:rPr>
        <w:t xml:space="preserve">with shared common stacks, emergency or test operation, parallel </w:t>
      </w:r>
      <w:r w:rsidRPr="00647CD8">
        <w:rPr>
          <w:lang w:eastAsia="en-GB"/>
        </w:rPr>
        <w:t>generation</w:t>
      </w:r>
      <w:r w:rsidR="00155993" w:rsidRPr="00647CD8">
        <w:rPr>
          <w:lang w:eastAsia="en-GB"/>
        </w:rPr>
        <w:t xml:space="preserve"> </w:t>
      </w:r>
      <w:r w:rsidRPr="00647CD8">
        <w:rPr>
          <w:lang w:eastAsia="en-GB"/>
        </w:rPr>
        <w:t xml:space="preserve">with </w:t>
      </w:r>
      <w:r w:rsidR="00892C6E" w:rsidRPr="00647CD8">
        <w:rPr>
          <w:lang w:eastAsia="en-GB"/>
        </w:rPr>
        <w:t xml:space="preserve">part-plant </w:t>
      </w:r>
      <w:r w:rsidR="0030270D" w:rsidRPr="00647CD8">
        <w:rPr>
          <w:lang w:eastAsia="en-GB"/>
        </w:rPr>
        <w:t xml:space="preserve">part-load </w:t>
      </w:r>
      <w:r w:rsidRPr="00647CD8">
        <w:rPr>
          <w:lang w:eastAsia="en-GB"/>
        </w:rPr>
        <w:t xml:space="preserve">could be </w:t>
      </w:r>
      <w:r w:rsidR="0071409C" w:rsidRPr="00647CD8">
        <w:rPr>
          <w:lang w:eastAsia="en-GB"/>
        </w:rPr>
        <w:t>unduly</w:t>
      </w:r>
      <w:r w:rsidRPr="00647CD8">
        <w:rPr>
          <w:lang w:eastAsia="en-GB"/>
        </w:rPr>
        <w:t xml:space="preserve"> onerous</w:t>
      </w:r>
      <w:r w:rsidR="00892C6E" w:rsidRPr="00647CD8">
        <w:rPr>
          <w:lang w:eastAsia="en-GB"/>
        </w:rPr>
        <w:t xml:space="preserve"> -</w:t>
      </w:r>
      <w:r w:rsidRPr="00647CD8">
        <w:rPr>
          <w:lang w:eastAsia="en-GB"/>
        </w:rPr>
        <w:t xml:space="preserve"> </w:t>
      </w:r>
      <w:r w:rsidRPr="00647CD8">
        <w:rPr>
          <w:i/>
          <w:lang w:eastAsia="en-GB"/>
        </w:rPr>
        <w:t>the EA is</w:t>
      </w:r>
      <w:r w:rsidR="0041357E" w:rsidRPr="00647CD8">
        <w:rPr>
          <w:i/>
          <w:lang w:eastAsia="en-GB"/>
        </w:rPr>
        <w:t xml:space="preserve"> content to use the engine management logging </w:t>
      </w:r>
      <w:r w:rsidR="00155993" w:rsidRPr="00647CD8">
        <w:rPr>
          <w:i/>
          <w:lang w:eastAsia="en-GB"/>
        </w:rPr>
        <w:t>schemes</w:t>
      </w:r>
      <w:r w:rsidR="0041357E" w:rsidRPr="00647CD8">
        <w:rPr>
          <w:i/>
          <w:lang w:eastAsia="en-GB"/>
        </w:rPr>
        <w:t xml:space="preserve"> provided by the engine/systems suppli</w:t>
      </w:r>
      <w:r w:rsidR="00155993" w:rsidRPr="00647CD8">
        <w:rPr>
          <w:i/>
          <w:lang w:eastAsia="en-GB"/>
        </w:rPr>
        <w:t xml:space="preserve">er </w:t>
      </w:r>
      <w:r w:rsidR="003F3771" w:rsidRPr="00647CD8">
        <w:rPr>
          <w:i/>
          <w:lang w:eastAsia="en-GB"/>
        </w:rPr>
        <w:t>as</w:t>
      </w:r>
      <w:r w:rsidR="00155993" w:rsidRPr="00647CD8">
        <w:rPr>
          <w:i/>
          <w:lang w:eastAsia="en-GB"/>
        </w:rPr>
        <w:t xml:space="preserve"> the reporting of run hours</w:t>
      </w:r>
      <w:r w:rsidRPr="00647CD8">
        <w:rPr>
          <w:i/>
          <w:lang w:eastAsia="en-GB"/>
        </w:rPr>
        <w:t xml:space="preserve"> </w:t>
      </w:r>
      <w:r w:rsidR="003F3771" w:rsidRPr="00647CD8">
        <w:rPr>
          <w:i/>
          <w:lang w:eastAsia="en-GB"/>
        </w:rPr>
        <w:t>on each engine</w:t>
      </w:r>
      <w:r w:rsidR="0071409C" w:rsidRPr="00647CD8">
        <w:rPr>
          <w:i/>
          <w:lang w:eastAsia="en-GB"/>
        </w:rPr>
        <w:t xml:space="preserve"> over the year</w:t>
      </w:r>
      <w:r w:rsidR="003F3771" w:rsidRPr="00647CD8">
        <w:rPr>
          <w:lang w:eastAsia="en-GB"/>
        </w:rPr>
        <w:t>.</w:t>
      </w:r>
    </w:p>
    <w:p w14:paraId="4A9E571E" w14:textId="77777777" w:rsidR="004C38B1" w:rsidRPr="00647CD8" w:rsidRDefault="004C38B1" w:rsidP="004C38B1">
      <w:pPr>
        <w:rPr>
          <w:lang w:eastAsia="en-GB"/>
        </w:rPr>
      </w:pPr>
      <w:r w:rsidRPr="00647CD8">
        <w:rPr>
          <w:lang w:eastAsia="en-GB"/>
        </w:rPr>
        <w:t xml:space="preserve">Any planned prolonged maintenance or repair of electrical systems on site such as switch gear or transformers </w:t>
      </w:r>
      <w:r w:rsidR="008E3AEF" w:rsidRPr="00647CD8">
        <w:rPr>
          <w:lang w:eastAsia="en-GB"/>
        </w:rPr>
        <w:t xml:space="preserve">requiring the generators to be used </w:t>
      </w:r>
      <w:r w:rsidRPr="00647CD8">
        <w:rPr>
          <w:lang w:eastAsia="en-GB"/>
        </w:rPr>
        <w:t xml:space="preserve">should be planned and managed to minimise the standby operation impacts for local air quality. Prolonged </w:t>
      </w:r>
      <w:r w:rsidR="008E3AEF" w:rsidRPr="00647CD8">
        <w:rPr>
          <w:lang w:eastAsia="en-GB"/>
        </w:rPr>
        <w:t xml:space="preserve">planned </w:t>
      </w:r>
      <w:r w:rsidRPr="00647CD8">
        <w:rPr>
          <w:lang w:eastAsia="en-GB"/>
        </w:rPr>
        <w:t xml:space="preserve">maintenance requiring more than the </w:t>
      </w:r>
      <w:r w:rsidR="008E3AEF" w:rsidRPr="00647CD8">
        <w:rPr>
          <w:lang w:eastAsia="en-GB"/>
        </w:rPr>
        <w:t xml:space="preserve">permit </w:t>
      </w:r>
      <w:r w:rsidRPr="00647CD8">
        <w:rPr>
          <w:lang w:eastAsia="en-GB"/>
        </w:rPr>
        <w:t xml:space="preserve">assessed number of standby plant likely impacting </w:t>
      </w:r>
      <w:r w:rsidR="008E3AEF" w:rsidRPr="00647CD8">
        <w:rPr>
          <w:lang w:eastAsia="en-GB"/>
        </w:rPr>
        <w:t xml:space="preserve">derived notification duration (such as </w:t>
      </w:r>
      <w:r w:rsidRPr="00647CD8">
        <w:rPr>
          <w:lang w:eastAsia="en-GB"/>
        </w:rPr>
        <w:t>the 18hour limit</w:t>
      </w:r>
      <w:r w:rsidR="008E3AEF" w:rsidRPr="00647CD8">
        <w:rPr>
          <w:lang w:eastAsia="en-GB"/>
        </w:rPr>
        <w:t xml:space="preserve"> for a proportion of the installed plant)</w:t>
      </w:r>
      <w:r w:rsidRPr="00647CD8">
        <w:rPr>
          <w:lang w:eastAsia="en-GB"/>
        </w:rPr>
        <w:t xml:space="preserve"> should be </w:t>
      </w:r>
      <w:r w:rsidRPr="00647CD8">
        <w:rPr>
          <w:u w:val="single"/>
          <w:lang w:eastAsia="en-GB"/>
        </w:rPr>
        <w:t>pre-notified</w:t>
      </w:r>
      <w:r w:rsidRPr="00647CD8">
        <w:rPr>
          <w:lang w:eastAsia="en-GB"/>
        </w:rPr>
        <w:t xml:space="preserve"> to the </w:t>
      </w:r>
      <w:r w:rsidR="00E259C3" w:rsidRPr="00647CD8">
        <w:rPr>
          <w:lang w:eastAsia="en-GB"/>
        </w:rPr>
        <w:t xml:space="preserve">EA </w:t>
      </w:r>
      <w:r w:rsidRPr="00647CD8">
        <w:rPr>
          <w:lang w:eastAsia="en-GB"/>
        </w:rPr>
        <w:t>under schedule 5</w:t>
      </w:r>
      <w:r w:rsidR="008E3AEF" w:rsidRPr="00647CD8">
        <w:rPr>
          <w:lang w:eastAsia="en-GB"/>
        </w:rPr>
        <w:t xml:space="preserve">. Again planned use </w:t>
      </w:r>
      <w:r w:rsidRPr="00647CD8">
        <w:rPr>
          <w:lang w:eastAsia="en-GB"/>
        </w:rPr>
        <w:t>does not constitute emergency hours per se.</w:t>
      </w:r>
      <w:r w:rsidR="001B7236" w:rsidRPr="00647CD8">
        <w:rPr>
          <w:lang w:eastAsia="en-GB"/>
        </w:rPr>
        <w:t xml:space="preserve"> see </w:t>
      </w:r>
      <w:r w:rsidR="001B7236" w:rsidRPr="00647CD8">
        <w:rPr>
          <w:lang w:eastAsia="en-GB"/>
        </w:rPr>
        <w:fldChar w:fldCharType="begin"/>
      </w:r>
      <w:r w:rsidR="001B7236" w:rsidRPr="00647CD8">
        <w:rPr>
          <w:lang w:eastAsia="en-GB"/>
        </w:rPr>
        <w:instrText xml:space="preserve"> REF _Ref488130801 \r \h </w:instrText>
      </w:r>
      <w:r w:rsidR="001B7236" w:rsidRPr="00647CD8">
        <w:rPr>
          <w:lang w:eastAsia="en-GB"/>
        </w:rPr>
      </w:r>
      <w:r w:rsidR="001B7236" w:rsidRPr="00647CD8">
        <w:rPr>
          <w:lang w:eastAsia="en-GB"/>
        </w:rPr>
        <w:fldChar w:fldCharType="separate"/>
      </w:r>
      <w:r w:rsidR="00124B2D">
        <w:rPr>
          <w:lang w:eastAsia="en-GB"/>
        </w:rPr>
        <w:t>1.4.5</w:t>
      </w:r>
      <w:r w:rsidR="001B7236" w:rsidRPr="00647CD8">
        <w:rPr>
          <w:lang w:eastAsia="en-GB"/>
        </w:rPr>
        <w:fldChar w:fldCharType="end"/>
      </w:r>
      <w:r w:rsidR="001B7236" w:rsidRPr="00647CD8">
        <w:rPr>
          <w:lang w:eastAsia="en-GB"/>
        </w:rPr>
        <w:t xml:space="preserve"> below.</w:t>
      </w:r>
    </w:p>
    <w:p w14:paraId="3780F95C" w14:textId="77777777" w:rsidR="00892C6E" w:rsidRPr="00647CD8" w:rsidRDefault="00945290" w:rsidP="00892C6E">
      <w:pPr>
        <w:rPr>
          <w:lang w:eastAsia="en-GB"/>
        </w:rPr>
      </w:pPr>
      <w:r w:rsidRPr="00647CD8">
        <w:rPr>
          <w:b/>
          <w:lang w:eastAsia="en-GB"/>
        </w:rPr>
        <w:t xml:space="preserve">Once permitted a </w:t>
      </w:r>
      <w:r w:rsidR="003F3771" w:rsidRPr="00647CD8">
        <w:rPr>
          <w:b/>
          <w:lang w:eastAsia="en-GB"/>
        </w:rPr>
        <w:t xml:space="preserve">data centre practically need only </w:t>
      </w:r>
      <w:r w:rsidRPr="00647CD8">
        <w:rPr>
          <w:b/>
          <w:lang w:eastAsia="en-GB"/>
        </w:rPr>
        <w:t xml:space="preserve">really </w:t>
      </w:r>
      <w:r w:rsidR="003F3771" w:rsidRPr="00647CD8">
        <w:rPr>
          <w:b/>
          <w:lang w:eastAsia="en-GB"/>
        </w:rPr>
        <w:t>report each engine</w:t>
      </w:r>
      <w:r w:rsidR="0071409C" w:rsidRPr="00647CD8">
        <w:rPr>
          <w:b/>
          <w:lang w:eastAsia="en-GB"/>
        </w:rPr>
        <w:t>’s</w:t>
      </w:r>
      <w:r w:rsidR="003F3771" w:rsidRPr="00647CD8">
        <w:rPr>
          <w:b/>
          <w:lang w:eastAsia="en-GB"/>
        </w:rPr>
        <w:t xml:space="preserve"> run hours annually and notify us of powering the site </w:t>
      </w:r>
      <w:r w:rsidR="0030270D" w:rsidRPr="00647CD8">
        <w:rPr>
          <w:b/>
          <w:lang w:eastAsia="en-GB"/>
        </w:rPr>
        <w:t xml:space="preserve">on outage and/or </w:t>
      </w:r>
      <w:r w:rsidRPr="00647CD8">
        <w:rPr>
          <w:b/>
          <w:lang w:eastAsia="en-GB"/>
        </w:rPr>
        <w:t xml:space="preserve">for prolonged periods </w:t>
      </w:r>
      <w:r w:rsidR="0040614B" w:rsidRPr="00647CD8">
        <w:rPr>
          <w:b/>
          <w:lang w:eastAsia="en-GB"/>
        </w:rPr>
        <w:t>using</w:t>
      </w:r>
      <w:r w:rsidRPr="00647CD8">
        <w:rPr>
          <w:b/>
          <w:lang w:eastAsia="en-GB"/>
        </w:rPr>
        <w:t xml:space="preserve"> more than the predetermined number of engines</w:t>
      </w:r>
      <w:r w:rsidR="003F3771" w:rsidRPr="00647CD8">
        <w:rPr>
          <w:b/>
          <w:lang w:eastAsia="en-GB"/>
        </w:rPr>
        <w:t>.</w:t>
      </w:r>
      <w:r w:rsidR="00892C6E" w:rsidRPr="00647CD8">
        <w:rPr>
          <w:lang w:eastAsia="en-GB"/>
        </w:rPr>
        <w:t xml:space="preserve"> </w:t>
      </w:r>
    </w:p>
    <w:p w14:paraId="69EB01A1" w14:textId="34E05C99" w:rsidR="00892C6E" w:rsidRPr="00647CD8" w:rsidRDefault="00892C6E" w:rsidP="00892C6E">
      <w:pPr>
        <w:rPr>
          <w:lang w:eastAsia="en-GB"/>
        </w:rPr>
      </w:pPr>
      <w:r w:rsidRPr="00647CD8">
        <w:rPr>
          <w:b/>
          <w:lang w:eastAsia="en-GB"/>
        </w:rPr>
        <w:t>If the data centre plant is offering into a non-emergency role like STOR, Triad, demand side response or market reserve as well as the standby operation,</w:t>
      </w:r>
      <w:r w:rsidR="008E3AEF" w:rsidRPr="00647CD8">
        <w:rPr>
          <w:b/>
          <w:lang w:eastAsia="en-GB"/>
        </w:rPr>
        <w:t xml:space="preserve"> then this is not regarded as solely a </w:t>
      </w:r>
      <w:r w:rsidRPr="00647CD8">
        <w:rPr>
          <w:b/>
          <w:lang w:eastAsia="en-GB"/>
        </w:rPr>
        <w:t>500 hour emergency site</w:t>
      </w:r>
      <w:r w:rsidRPr="00647CD8">
        <w:rPr>
          <w:lang w:eastAsia="en-GB"/>
        </w:rPr>
        <w:t xml:space="preserve">. The site would then need to make added justification according to DECC “Developing Best Available Techniques for combustion plants operating in the balancing market”. A data centre in STOR etc would effectively need to meet the additional DEFRA requirements of </w:t>
      </w:r>
      <w:r w:rsidR="00331097" w:rsidRPr="00647CD8">
        <w:rPr>
          <w:lang w:eastAsia="en-GB"/>
        </w:rPr>
        <w:t>diesel a</w:t>
      </w:r>
      <w:r w:rsidRPr="00647CD8">
        <w:rPr>
          <w:lang w:eastAsia="en-GB"/>
        </w:rPr>
        <w:t xml:space="preserve">rrays </w:t>
      </w:r>
      <w:r w:rsidR="00331097" w:rsidRPr="00647CD8">
        <w:rPr>
          <w:lang w:eastAsia="en-GB"/>
        </w:rPr>
        <w:t xml:space="preserve">as ‘Specified Generators’ under MCPD </w:t>
      </w:r>
      <w:r w:rsidRPr="00647CD8">
        <w:rPr>
          <w:lang w:eastAsia="en-GB"/>
        </w:rPr>
        <w:t>but importantly would also adversely influence the EA’s ability to assert the ‘unlikelihood’ for grid outage at full power operation as being very low.</w:t>
      </w:r>
    </w:p>
    <w:p w14:paraId="77AA7B11" w14:textId="77777777" w:rsidR="00046858" w:rsidRPr="00647CD8" w:rsidRDefault="00046858" w:rsidP="00161A9D">
      <w:pPr>
        <w:pStyle w:val="Heading3"/>
        <w:rPr>
          <w:color w:val="auto"/>
        </w:rPr>
      </w:pPr>
      <w:bookmarkStart w:id="17" w:name="_Toc517419549"/>
      <w:r w:rsidRPr="00647CD8">
        <w:rPr>
          <w:color w:val="auto"/>
        </w:rPr>
        <w:lastRenderedPageBreak/>
        <w:t>Energy Efficiency Directive</w:t>
      </w:r>
      <w:r w:rsidR="0057784F" w:rsidRPr="00647CD8">
        <w:rPr>
          <w:color w:val="auto"/>
        </w:rPr>
        <w:t xml:space="preserve"> (EED)</w:t>
      </w:r>
      <w:r w:rsidR="00C55857" w:rsidRPr="00647CD8">
        <w:rPr>
          <w:color w:val="auto"/>
        </w:rPr>
        <w:t xml:space="preserve"> and the 1500hours qualifying plant</w:t>
      </w:r>
      <w:bookmarkEnd w:id="17"/>
    </w:p>
    <w:p w14:paraId="6240257F" w14:textId="77777777" w:rsidR="00C3780B" w:rsidRPr="00647CD8" w:rsidRDefault="00C3780B" w:rsidP="00C3780B">
      <w:r w:rsidRPr="00647CD8">
        <w:t xml:space="preserve">The EED </w:t>
      </w:r>
      <w:r w:rsidR="00F9398E" w:rsidRPr="00647CD8">
        <w:t xml:space="preserve">exempts </w:t>
      </w:r>
      <w:r w:rsidRPr="00647CD8">
        <w:t xml:space="preserve">“those peak load and back-up electricity generating installations which are planned to operate under 1,500 operating hours per year as a rolling average over a period of five years”. So is unlikely to apply to data centre generators (but Defra should be verifying such qualifying plant). It is also for this reason that a time limit of 1500hours </w:t>
      </w:r>
      <w:r w:rsidR="00F9398E" w:rsidRPr="00647CD8">
        <w:t xml:space="preserve">if not 500 hours </w:t>
      </w:r>
      <w:r w:rsidR="008A23CD" w:rsidRPr="00647CD8">
        <w:t>would</w:t>
      </w:r>
      <w:r w:rsidRPr="00647CD8">
        <w:t xml:space="preserve"> be needed in the permit</w:t>
      </w:r>
      <w:r w:rsidR="00F9398E" w:rsidRPr="00647CD8">
        <w:t>.</w:t>
      </w:r>
    </w:p>
    <w:p w14:paraId="51EB6FBF" w14:textId="77777777" w:rsidR="00046858" w:rsidRPr="00647CD8" w:rsidRDefault="00046858" w:rsidP="00161A9D">
      <w:pPr>
        <w:pStyle w:val="Heading3"/>
        <w:rPr>
          <w:color w:val="auto"/>
        </w:rPr>
      </w:pPr>
      <w:bookmarkStart w:id="18" w:name="_Toc517419550"/>
      <w:r w:rsidRPr="00647CD8">
        <w:rPr>
          <w:color w:val="auto"/>
        </w:rPr>
        <w:t xml:space="preserve">MCPD </w:t>
      </w:r>
      <w:r w:rsidR="00425B60" w:rsidRPr="00647CD8">
        <w:rPr>
          <w:color w:val="auto"/>
        </w:rPr>
        <w:t xml:space="preserve">and specified generators, </w:t>
      </w:r>
      <w:r w:rsidRPr="00647CD8">
        <w:rPr>
          <w:color w:val="auto"/>
        </w:rPr>
        <w:t>500</w:t>
      </w:r>
      <w:r w:rsidR="00F9398E" w:rsidRPr="00647CD8">
        <w:rPr>
          <w:color w:val="auto"/>
        </w:rPr>
        <w:t xml:space="preserve"> </w:t>
      </w:r>
      <w:r w:rsidRPr="00647CD8">
        <w:rPr>
          <w:color w:val="auto"/>
        </w:rPr>
        <w:t>hours</w:t>
      </w:r>
      <w:r w:rsidR="00F9398E" w:rsidRPr="00647CD8">
        <w:rPr>
          <w:color w:val="auto"/>
        </w:rPr>
        <w:t xml:space="preserve"> and ELVs</w:t>
      </w:r>
      <w:bookmarkEnd w:id="18"/>
    </w:p>
    <w:p w14:paraId="502AE0D5" w14:textId="77777777" w:rsidR="00425B60" w:rsidRPr="00647CD8" w:rsidRDefault="00425B60" w:rsidP="00C3780B">
      <w:r w:rsidRPr="00647CD8">
        <w:t xml:space="preserve">If the Data Centre is less than an aggregated 50MWth input but does still have plant &gt;1MWth then it still falls under the EPR 2018 Medium Combustion Plant Directive </w:t>
      </w:r>
      <w:r w:rsidR="00CF4621" w:rsidRPr="00647CD8">
        <w:t>requiring an MCPD permit. However providing the plant is likely to operate less than 500 hours no emission controls and limits would apply.</w:t>
      </w:r>
    </w:p>
    <w:p w14:paraId="18001B2E" w14:textId="3D3D8194" w:rsidR="00046858" w:rsidRPr="00647CD8" w:rsidRDefault="00CF4621" w:rsidP="00C3780B">
      <w:r w:rsidRPr="00647CD8">
        <w:t xml:space="preserve">However if the Data Centre plant </w:t>
      </w:r>
      <w:r w:rsidR="00A360E9" w:rsidRPr="00647CD8">
        <w:t xml:space="preserve">(aggregated &gt;1MWth but less than 50MWth) </w:t>
      </w:r>
      <w:r w:rsidRPr="00647CD8">
        <w:t xml:space="preserve">operates not only as a standby but meets the criteria for a ‘specified generator’ (tranche A or B) </w:t>
      </w:r>
      <w:r w:rsidR="00A360E9" w:rsidRPr="00647CD8">
        <w:t xml:space="preserve">because in essence </w:t>
      </w:r>
      <w:r w:rsidR="00331097" w:rsidRPr="00647CD8">
        <w:t xml:space="preserve"> the </w:t>
      </w:r>
      <w:r w:rsidR="00A360E9" w:rsidRPr="00647CD8">
        <w:t>plant</w:t>
      </w:r>
      <w:r w:rsidRPr="00647CD8">
        <w:t xml:space="preserve"> is not used only for &lt;50 hours of testing but generates electricity </w:t>
      </w:r>
      <w:r w:rsidR="00A360E9" w:rsidRPr="00647CD8">
        <w:t>(i.e. balancing market, STOR, Triad</w:t>
      </w:r>
      <w:r w:rsidR="00331097" w:rsidRPr="00647CD8">
        <w:t>, FFR</w:t>
      </w:r>
      <w:r w:rsidR="00A360E9" w:rsidRPr="00647CD8">
        <w:t xml:space="preserve"> or elective demand side response i.e. other than the 500 hour standby role) it will need an </w:t>
      </w:r>
      <w:r w:rsidR="00046858" w:rsidRPr="00647CD8">
        <w:t xml:space="preserve">EPR </w:t>
      </w:r>
      <w:r w:rsidR="00A360E9" w:rsidRPr="00647CD8">
        <w:t xml:space="preserve">MCPD </w:t>
      </w:r>
      <w:r w:rsidR="00046858" w:rsidRPr="00647CD8">
        <w:t xml:space="preserve">permit </w:t>
      </w:r>
      <w:r w:rsidR="00A360E9" w:rsidRPr="00647CD8">
        <w:t xml:space="preserve">that </w:t>
      </w:r>
      <w:r w:rsidR="00046858" w:rsidRPr="00647CD8">
        <w:t xml:space="preserve">will </w:t>
      </w:r>
      <w:r w:rsidR="0057784F" w:rsidRPr="00647CD8">
        <w:t xml:space="preserve">have </w:t>
      </w:r>
      <w:r w:rsidR="00A360E9" w:rsidRPr="00647CD8">
        <w:t>emission limits and a requirement for monitoring and possibly SCR abatement</w:t>
      </w:r>
      <w:r w:rsidR="00046858" w:rsidRPr="00647CD8">
        <w:t>.</w:t>
      </w:r>
    </w:p>
    <w:p w14:paraId="571F7858" w14:textId="77777777" w:rsidR="00A360E9" w:rsidRPr="00647CD8" w:rsidRDefault="00A360E9" w:rsidP="00C3780B">
      <w:r w:rsidRPr="00647CD8">
        <w:t>NB If the site is operating within the criteria of ‘specified generators’ then there is no de minimis on the MWth input of each generator – so can go below 1MWth individually (providing a site total &gt;=1MWth)</w:t>
      </w:r>
    </w:p>
    <w:p w14:paraId="6D58B07E" w14:textId="77777777" w:rsidR="00A45852" w:rsidRPr="00647CD8" w:rsidRDefault="00A45852" w:rsidP="00161A9D">
      <w:pPr>
        <w:pStyle w:val="Heading3"/>
        <w:rPr>
          <w:color w:val="auto"/>
        </w:rPr>
      </w:pPr>
      <w:bookmarkStart w:id="19" w:name="_Ref488130801"/>
      <w:bookmarkStart w:id="20" w:name="_Toc517419551"/>
      <w:r w:rsidRPr="00647CD8">
        <w:rPr>
          <w:color w:val="auto"/>
        </w:rPr>
        <w:t>Grid outage hours</w:t>
      </w:r>
      <w:r w:rsidR="00F9398E" w:rsidRPr="00647CD8">
        <w:rPr>
          <w:color w:val="auto"/>
        </w:rPr>
        <w:t xml:space="preserve"> – Data centre operation hours limit?</w:t>
      </w:r>
      <w:bookmarkEnd w:id="19"/>
      <w:bookmarkEnd w:id="20"/>
    </w:p>
    <w:p w14:paraId="7E77BA85" w14:textId="77777777" w:rsidR="00A45852" w:rsidRPr="00647CD8" w:rsidRDefault="00A45852" w:rsidP="00A45852">
      <w:pPr>
        <w:rPr>
          <w:lang w:eastAsia="en-GB"/>
        </w:rPr>
      </w:pPr>
      <w:r w:rsidRPr="00647CD8">
        <w:rPr>
          <w:lang w:eastAsia="en-GB"/>
        </w:rPr>
        <w:t xml:space="preserve">It is recognised that the EA cannot </w:t>
      </w:r>
      <w:r w:rsidR="0057784F" w:rsidRPr="00647CD8">
        <w:rPr>
          <w:lang w:eastAsia="en-GB"/>
        </w:rPr>
        <w:t>practically p</w:t>
      </w:r>
      <w:r w:rsidRPr="00647CD8">
        <w:rPr>
          <w:lang w:eastAsia="en-GB"/>
        </w:rPr>
        <w:t>ut time limits on the duration of grid outages and blackouts under</w:t>
      </w:r>
      <w:r w:rsidR="00F9398E" w:rsidRPr="00647CD8">
        <w:rPr>
          <w:lang w:eastAsia="en-GB"/>
        </w:rPr>
        <w:t xml:space="preserve"> emerg</w:t>
      </w:r>
      <w:r w:rsidR="00C17EAD" w:rsidRPr="00647CD8">
        <w:rPr>
          <w:lang w:eastAsia="en-GB"/>
        </w:rPr>
        <w:t>ency operation for Data Centres</w:t>
      </w:r>
      <w:r w:rsidR="00F9398E" w:rsidRPr="00647CD8">
        <w:rPr>
          <w:lang w:eastAsia="en-GB"/>
        </w:rPr>
        <w:t>.</w:t>
      </w:r>
      <w:r w:rsidR="009647AF" w:rsidRPr="00647CD8">
        <w:rPr>
          <w:lang w:eastAsia="en-GB"/>
        </w:rPr>
        <w:t xml:space="preserve"> </w:t>
      </w:r>
    </w:p>
    <w:p w14:paraId="523B7E1F" w14:textId="77777777" w:rsidR="00D1685A" w:rsidRPr="00647CD8" w:rsidRDefault="00A45852" w:rsidP="00D1685A">
      <w:pPr>
        <w:rPr>
          <w:lang w:eastAsia="en-GB"/>
        </w:rPr>
      </w:pPr>
      <w:r w:rsidRPr="00647CD8">
        <w:rPr>
          <w:lang w:eastAsia="en-GB"/>
        </w:rPr>
        <w:t xml:space="preserve">It is however important that the EA can track </w:t>
      </w:r>
      <w:r w:rsidR="008A23CD" w:rsidRPr="00647CD8">
        <w:rPr>
          <w:lang w:eastAsia="en-GB"/>
        </w:rPr>
        <w:t xml:space="preserve">and compare </w:t>
      </w:r>
      <w:r w:rsidRPr="00647CD8">
        <w:rPr>
          <w:lang w:eastAsia="en-GB"/>
        </w:rPr>
        <w:t xml:space="preserve">any poor performance and reliability of the grid </w:t>
      </w:r>
      <w:r w:rsidR="001971F6" w:rsidRPr="00647CD8">
        <w:rPr>
          <w:lang w:eastAsia="en-GB"/>
        </w:rPr>
        <w:t>connection</w:t>
      </w:r>
      <w:r w:rsidR="00BF40A6" w:rsidRPr="00647CD8">
        <w:rPr>
          <w:lang w:eastAsia="en-GB"/>
        </w:rPr>
        <w:t xml:space="preserve"> and can manage impacts of prolonged engine operation</w:t>
      </w:r>
      <w:r w:rsidR="008A23CD" w:rsidRPr="00647CD8">
        <w:rPr>
          <w:lang w:eastAsia="en-GB"/>
        </w:rPr>
        <w:t xml:space="preserve"> due to electrical failings within the site</w:t>
      </w:r>
      <w:r w:rsidR="00BF40A6" w:rsidRPr="00647CD8">
        <w:rPr>
          <w:lang w:eastAsia="en-GB"/>
        </w:rPr>
        <w:t xml:space="preserve">. </w:t>
      </w:r>
      <w:r w:rsidR="008A23CD" w:rsidRPr="00647CD8">
        <w:rPr>
          <w:lang w:eastAsia="en-GB"/>
        </w:rPr>
        <w:t>Thus i</w:t>
      </w:r>
      <w:r w:rsidRPr="00647CD8">
        <w:rPr>
          <w:lang w:eastAsia="en-GB"/>
        </w:rPr>
        <w:t>t i</w:t>
      </w:r>
      <w:r w:rsidR="00A12755" w:rsidRPr="00647CD8">
        <w:rPr>
          <w:lang w:eastAsia="en-GB"/>
        </w:rPr>
        <w:t>s likely that the</w:t>
      </w:r>
      <w:r w:rsidR="00D1685A" w:rsidRPr="00647CD8">
        <w:rPr>
          <w:lang w:eastAsia="en-GB"/>
        </w:rPr>
        <w:t xml:space="preserve"> annual commentary </w:t>
      </w:r>
      <w:r w:rsidR="00A12755" w:rsidRPr="00647CD8">
        <w:rPr>
          <w:lang w:eastAsia="en-GB"/>
        </w:rPr>
        <w:t xml:space="preserve">of </w:t>
      </w:r>
      <w:r w:rsidR="006D1A88" w:rsidRPr="00647CD8">
        <w:rPr>
          <w:lang w:eastAsia="en-GB"/>
        </w:rPr>
        <w:t xml:space="preserve">all </w:t>
      </w:r>
      <w:r w:rsidR="00A12755" w:rsidRPr="00647CD8">
        <w:rPr>
          <w:lang w:eastAsia="en-GB"/>
        </w:rPr>
        <w:t>durations for any</w:t>
      </w:r>
      <w:r w:rsidRPr="00647CD8">
        <w:rPr>
          <w:lang w:eastAsia="en-GB"/>
        </w:rPr>
        <w:t xml:space="preserve"> </w:t>
      </w:r>
      <w:r w:rsidR="00A12755" w:rsidRPr="00647CD8">
        <w:rPr>
          <w:lang w:eastAsia="en-GB"/>
        </w:rPr>
        <w:t xml:space="preserve">external </w:t>
      </w:r>
      <w:r w:rsidRPr="00647CD8">
        <w:rPr>
          <w:lang w:eastAsia="en-GB"/>
        </w:rPr>
        <w:t xml:space="preserve">grid outage </w:t>
      </w:r>
      <w:r w:rsidR="00A12755" w:rsidRPr="00647CD8">
        <w:rPr>
          <w:lang w:eastAsia="en-GB"/>
        </w:rPr>
        <w:t xml:space="preserve">or ‘within site’ </w:t>
      </w:r>
      <w:r w:rsidR="00D1685A" w:rsidRPr="00647CD8">
        <w:rPr>
          <w:lang w:eastAsia="en-GB"/>
        </w:rPr>
        <w:t>infrastructure failures</w:t>
      </w:r>
      <w:r w:rsidR="006D1A88" w:rsidRPr="00647CD8">
        <w:rPr>
          <w:lang w:eastAsia="en-GB"/>
        </w:rPr>
        <w:t xml:space="preserve"> will be expected</w:t>
      </w:r>
      <w:r w:rsidR="008A23CD" w:rsidRPr="00647CD8">
        <w:rPr>
          <w:lang w:eastAsia="en-GB"/>
        </w:rPr>
        <w:t>.</w:t>
      </w:r>
    </w:p>
    <w:p w14:paraId="4F624433" w14:textId="77777777" w:rsidR="00A12755" w:rsidRPr="00647CD8" w:rsidRDefault="00D1685A" w:rsidP="00A45852">
      <w:pPr>
        <w:rPr>
          <w:lang w:eastAsia="en-GB"/>
        </w:rPr>
      </w:pPr>
      <w:r w:rsidRPr="00647CD8">
        <w:rPr>
          <w:lang w:eastAsia="en-GB"/>
        </w:rPr>
        <w:t>AQ modelling looks primarily for any local air quality exceedances of ambient hourly averages – 18 breaches wi</w:t>
      </w:r>
      <w:r w:rsidR="008A23CD" w:rsidRPr="00647CD8">
        <w:rPr>
          <w:lang w:eastAsia="en-GB"/>
        </w:rPr>
        <w:t>thin a 12 month period</w:t>
      </w:r>
      <w:r w:rsidRPr="00647CD8">
        <w:rPr>
          <w:lang w:eastAsia="en-GB"/>
        </w:rPr>
        <w:t xml:space="preserve">. </w:t>
      </w:r>
      <w:r w:rsidR="001B7236" w:rsidRPr="00647CD8">
        <w:rPr>
          <w:lang w:eastAsia="en-GB"/>
        </w:rPr>
        <w:t xml:space="preserve">Large numbers of </w:t>
      </w:r>
      <w:r w:rsidRPr="00647CD8">
        <w:rPr>
          <w:lang w:eastAsia="en-GB"/>
        </w:rPr>
        <w:t xml:space="preserve">Diesel generators operating in unison are likely to cause breaches to the </w:t>
      </w:r>
      <w:r w:rsidRPr="00647CD8">
        <w:t xml:space="preserve">Air Quality Standard Regulations 2010 (see </w:t>
      </w:r>
      <w:hyperlink r:id="rId13" w:history="1">
        <w:r w:rsidRPr="00647CD8">
          <w:rPr>
            <w:rStyle w:val="Hyperlink"/>
            <w:color w:val="auto"/>
          </w:rPr>
          <w:t>http://www.legislation.gov.uk/uksi/2000/928/contents/made</w:t>
        </w:r>
      </w:hyperlink>
      <w:r w:rsidRPr="00647CD8">
        <w:t xml:space="preserve">) implementing EU limit values in ambient air. </w:t>
      </w:r>
      <w:r w:rsidRPr="00647CD8">
        <w:rPr>
          <w:lang w:eastAsia="en-GB"/>
        </w:rPr>
        <w:t>The permit application must provide evidence and actual reliability data for the local grid distribution and data centre internal electrical design for us to assess the actual likelihood of the plant needing to operate for prolonged periods in an emergency mode</w:t>
      </w:r>
      <w:r w:rsidR="008A23CD" w:rsidRPr="00647CD8">
        <w:rPr>
          <w:lang w:eastAsia="en-GB"/>
        </w:rPr>
        <w:t xml:space="preserve"> (if ambient quality breaches are predicted)</w:t>
      </w:r>
      <w:r w:rsidRPr="00647CD8">
        <w:rPr>
          <w:lang w:eastAsia="en-GB"/>
        </w:rPr>
        <w:t>.</w:t>
      </w:r>
    </w:p>
    <w:p w14:paraId="07DF49AC" w14:textId="77777777" w:rsidR="00CB5F30" w:rsidRPr="00647CD8" w:rsidRDefault="00A12755" w:rsidP="00CB5F30">
      <w:pPr>
        <w:rPr>
          <w:lang w:eastAsia="en-GB"/>
        </w:rPr>
      </w:pPr>
      <w:r w:rsidRPr="00647CD8">
        <w:rPr>
          <w:lang w:eastAsia="en-GB"/>
        </w:rPr>
        <w:t>The</w:t>
      </w:r>
      <w:r w:rsidR="0098123C" w:rsidRPr="00647CD8">
        <w:rPr>
          <w:lang w:eastAsia="en-GB"/>
        </w:rPr>
        <w:t>re</w:t>
      </w:r>
      <w:r w:rsidRPr="00647CD8">
        <w:rPr>
          <w:lang w:eastAsia="en-GB"/>
        </w:rPr>
        <w:t xml:space="preserve"> would also be a </w:t>
      </w:r>
      <w:r w:rsidR="006D1A88" w:rsidRPr="00647CD8">
        <w:rPr>
          <w:lang w:eastAsia="en-GB"/>
        </w:rPr>
        <w:t xml:space="preserve">particular </w:t>
      </w:r>
      <w:r w:rsidRPr="00647CD8">
        <w:rPr>
          <w:lang w:eastAsia="en-GB"/>
        </w:rPr>
        <w:t xml:space="preserve">requirement of </w:t>
      </w:r>
      <w:r w:rsidR="00D1685A" w:rsidRPr="00647CD8">
        <w:rPr>
          <w:lang w:eastAsia="en-GB"/>
        </w:rPr>
        <w:t xml:space="preserve">immediate </w:t>
      </w:r>
      <w:r w:rsidR="00A45852" w:rsidRPr="00647CD8">
        <w:rPr>
          <w:lang w:eastAsia="en-GB"/>
        </w:rPr>
        <w:t xml:space="preserve">notification if </w:t>
      </w:r>
      <w:r w:rsidR="00D1685A" w:rsidRPr="00647CD8">
        <w:rPr>
          <w:lang w:eastAsia="en-GB"/>
        </w:rPr>
        <w:t>standby operations</w:t>
      </w:r>
      <w:r w:rsidRPr="00647CD8">
        <w:rPr>
          <w:lang w:eastAsia="en-GB"/>
        </w:rPr>
        <w:t xml:space="preserve"> start to </w:t>
      </w:r>
      <w:r w:rsidR="00A45852" w:rsidRPr="00647CD8">
        <w:rPr>
          <w:lang w:eastAsia="en-GB"/>
        </w:rPr>
        <w:t>ex</w:t>
      </w:r>
      <w:r w:rsidRPr="00647CD8">
        <w:rPr>
          <w:lang w:eastAsia="en-GB"/>
        </w:rPr>
        <w:t>ceed</w:t>
      </w:r>
      <w:r w:rsidR="00BF40A6" w:rsidRPr="00647CD8">
        <w:rPr>
          <w:lang w:eastAsia="en-GB"/>
        </w:rPr>
        <w:t xml:space="preserve"> </w:t>
      </w:r>
      <w:r w:rsidR="00AD27AE" w:rsidRPr="00647CD8">
        <w:rPr>
          <w:lang w:eastAsia="en-GB"/>
        </w:rPr>
        <w:t>the</w:t>
      </w:r>
      <w:r w:rsidR="00BF40A6" w:rsidRPr="00647CD8">
        <w:rPr>
          <w:lang w:eastAsia="en-GB"/>
        </w:rPr>
        <w:t xml:space="preserve"> notional risk level</w:t>
      </w:r>
      <w:r w:rsidR="0057784F" w:rsidRPr="00647CD8">
        <w:rPr>
          <w:lang w:eastAsia="en-GB"/>
        </w:rPr>
        <w:t xml:space="preserve"> assessed as part of the </w:t>
      </w:r>
      <w:r w:rsidR="00D1685A" w:rsidRPr="00647CD8">
        <w:rPr>
          <w:lang w:eastAsia="en-GB"/>
        </w:rPr>
        <w:t xml:space="preserve">air </w:t>
      </w:r>
      <w:r w:rsidR="0057784F" w:rsidRPr="00647CD8">
        <w:rPr>
          <w:lang w:eastAsia="en-GB"/>
        </w:rPr>
        <w:t>impacts modelling</w:t>
      </w:r>
      <w:r w:rsidR="006D1A88" w:rsidRPr="00647CD8">
        <w:rPr>
          <w:lang w:eastAsia="en-GB"/>
        </w:rPr>
        <w:t xml:space="preserve"> i.e. </w:t>
      </w:r>
      <w:r w:rsidR="00D1685A" w:rsidRPr="00647CD8">
        <w:rPr>
          <w:u w:val="single"/>
          <w:lang w:eastAsia="en-GB"/>
        </w:rPr>
        <w:t xml:space="preserve">usually </w:t>
      </w:r>
      <w:r w:rsidR="006D1A88" w:rsidRPr="00647CD8">
        <w:rPr>
          <w:u w:val="single"/>
          <w:lang w:eastAsia="en-GB"/>
        </w:rPr>
        <w:t>18 hours</w:t>
      </w:r>
      <w:r w:rsidR="00D1685A" w:rsidRPr="00647CD8">
        <w:rPr>
          <w:u w:val="single"/>
          <w:lang w:eastAsia="en-GB"/>
        </w:rPr>
        <w:t xml:space="preserve"> continuously</w:t>
      </w:r>
      <w:r w:rsidR="0010079C" w:rsidRPr="00647CD8">
        <w:rPr>
          <w:u w:val="single"/>
          <w:lang w:eastAsia="en-GB"/>
        </w:rPr>
        <w:t xml:space="preserve"> at full load</w:t>
      </w:r>
      <w:r w:rsidR="001B7236" w:rsidRPr="00647CD8">
        <w:rPr>
          <w:u w:val="single"/>
          <w:lang w:eastAsia="en-GB"/>
        </w:rPr>
        <w:t xml:space="preserve"> or minimum number of generators</w:t>
      </w:r>
      <w:r w:rsidR="0057784F" w:rsidRPr="00647CD8">
        <w:rPr>
          <w:lang w:eastAsia="en-GB"/>
        </w:rPr>
        <w:t>.</w:t>
      </w:r>
      <w:r w:rsidR="00BF40A6" w:rsidRPr="00647CD8">
        <w:rPr>
          <w:lang w:eastAsia="en-GB"/>
        </w:rPr>
        <w:t xml:space="preserve"> </w:t>
      </w:r>
      <w:r w:rsidR="00CB5F30" w:rsidRPr="00647CD8">
        <w:rPr>
          <w:lang w:eastAsia="en-GB"/>
        </w:rPr>
        <w:t xml:space="preserve">The 18hour LAQM limit for (pre)notification for a site-wide grid outage applies for that </w:t>
      </w:r>
      <w:r w:rsidR="001B7236" w:rsidRPr="00647CD8">
        <w:rPr>
          <w:lang w:eastAsia="en-GB"/>
        </w:rPr>
        <w:t xml:space="preserve">minimum </w:t>
      </w:r>
      <w:r w:rsidR="00CB5F30" w:rsidRPr="00647CD8">
        <w:rPr>
          <w:lang w:eastAsia="en-GB"/>
        </w:rPr>
        <w:t>number of generators at which a possible AQ breach may occur.</w:t>
      </w:r>
    </w:p>
    <w:p w14:paraId="1C1A099A" w14:textId="77777777" w:rsidR="001971F6" w:rsidRPr="00647CD8" w:rsidRDefault="001971F6" w:rsidP="00A45852">
      <w:pPr>
        <w:rPr>
          <w:lang w:eastAsia="en-GB"/>
        </w:rPr>
      </w:pPr>
      <w:r w:rsidRPr="00647CD8">
        <w:rPr>
          <w:lang w:eastAsia="en-GB"/>
        </w:rPr>
        <w:t xml:space="preserve">It is possible </w:t>
      </w:r>
      <w:r w:rsidR="001B7236" w:rsidRPr="00647CD8">
        <w:rPr>
          <w:lang w:eastAsia="en-GB"/>
        </w:rPr>
        <w:t xml:space="preserve">in the event of a large number of manageable site outages (due to poor grid reliability) and </w:t>
      </w:r>
      <w:r w:rsidRPr="00647CD8">
        <w:rPr>
          <w:lang w:eastAsia="en-GB"/>
        </w:rPr>
        <w:t xml:space="preserve">depending on the basis of BAT to minimise operational running hours that the EA may consider the need for </w:t>
      </w:r>
      <w:r w:rsidR="00A12755" w:rsidRPr="00647CD8">
        <w:rPr>
          <w:lang w:eastAsia="en-GB"/>
        </w:rPr>
        <w:t xml:space="preserve">the site to provide </w:t>
      </w:r>
      <w:r w:rsidR="00701A1C" w:rsidRPr="00647CD8">
        <w:rPr>
          <w:lang w:eastAsia="en-GB"/>
        </w:rPr>
        <w:t xml:space="preserve">increased electrical system reliability e.g. </w:t>
      </w:r>
      <w:r w:rsidRPr="00647CD8">
        <w:rPr>
          <w:lang w:eastAsia="en-GB"/>
        </w:rPr>
        <w:t>dual grid connections</w:t>
      </w:r>
      <w:r w:rsidR="00C17EAD" w:rsidRPr="00647CD8">
        <w:rPr>
          <w:lang w:eastAsia="en-GB"/>
        </w:rPr>
        <w:t>,</w:t>
      </w:r>
      <w:r w:rsidRPr="00647CD8">
        <w:rPr>
          <w:lang w:eastAsia="en-GB"/>
        </w:rPr>
        <w:t xml:space="preserve"> </w:t>
      </w:r>
      <w:r w:rsidR="0098123C" w:rsidRPr="00647CD8">
        <w:rPr>
          <w:lang w:eastAsia="en-GB"/>
        </w:rPr>
        <w:t xml:space="preserve">ISO27001 </w:t>
      </w:r>
      <w:r w:rsidRPr="00647CD8">
        <w:rPr>
          <w:lang w:eastAsia="en-GB"/>
        </w:rPr>
        <w:t>Tier 3 or 4 sites would be likely to meet this consideration.</w:t>
      </w:r>
    </w:p>
    <w:p w14:paraId="2DEF22AD" w14:textId="77777777" w:rsidR="00F9398E" w:rsidRPr="00647CD8" w:rsidRDefault="00F9398E" w:rsidP="00A45852">
      <w:pPr>
        <w:rPr>
          <w:lang w:eastAsia="en-GB"/>
        </w:rPr>
      </w:pPr>
      <w:r w:rsidRPr="00647CD8">
        <w:rPr>
          <w:lang w:eastAsia="en-GB"/>
        </w:rPr>
        <w:t>Annual reports should include a discussion on Grid reliability and maintenance hours running.</w:t>
      </w:r>
    </w:p>
    <w:p w14:paraId="4A12167F" w14:textId="77777777" w:rsidR="008213CE" w:rsidRPr="00647CD8" w:rsidRDefault="00EB0BF1" w:rsidP="00575C9A">
      <w:pPr>
        <w:pStyle w:val="Heading2"/>
        <w:rPr>
          <w:color w:val="auto"/>
        </w:rPr>
      </w:pPr>
      <w:bookmarkStart w:id="21" w:name="_Toc517419552"/>
      <w:r w:rsidRPr="00647CD8">
        <w:rPr>
          <w:color w:val="auto"/>
        </w:rPr>
        <w:lastRenderedPageBreak/>
        <w:t>M</w:t>
      </w:r>
      <w:r w:rsidR="008213CE" w:rsidRPr="00647CD8">
        <w:rPr>
          <w:color w:val="auto"/>
        </w:rPr>
        <w:t>aintenance, testing, grid outages</w:t>
      </w:r>
      <w:bookmarkEnd w:id="21"/>
    </w:p>
    <w:p w14:paraId="32F5E333" w14:textId="77777777" w:rsidR="00911789" w:rsidRPr="00647CD8" w:rsidRDefault="00911789" w:rsidP="00911789">
      <w:pPr>
        <w:rPr>
          <w:lang w:eastAsia="en-GB"/>
        </w:rPr>
      </w:pPr>
      <w:r w:rsidRPr="00647CD8">
        <w:rPr>
          <w:lang w:eastAsia="en-GB"/>
        </w:rPr>
        <w:t>The permit application should consider the know</w:t>
      </w:r>
      <w:r w:rsidR="004D508B" w:rsidRPr="00647CD8">
        <w:rPr>
          <w:lang w:eastAsia="en-GB"/>
        </w:rPr>
        <w:t>n</w:t>
      </w:r>
      <w:r w:rsidRPr="00647CD8">
        <w:rPr>
          <w:lang w:eastAsia="en-GB"/>
        </w:rPr>
        <w:t xml:space="preserve"> managed hours of operation for maintenance and testing (e.g. each engine 1 hour per month)</w:t>
      </w:r>
      <w:r w:rsidR="004D508B" w:rsidRPr="00647CD8">
        <w:rPr>
          <w:lang w:eastAsia="en-GB"/>
        </w:rPr>
        <w:t xml:space="preserve">. It should also justify </w:t>
      </w:r>
      <w:r w:rsidR="001B7236" w:rsidRPr="00647CD8">
        <w:rPr>
          <w:lang w:eastAsia="en-GB"/>
        </w:rPr>
        <w:t xml:space="preserve">separately </w:t>
      </w:r>
      <w:r w:rsidR="004D508B" w:rsidRPr="00647CD8">
        <w:rPr>
          <w:lang w:eastAsia="en-GB"/>
        </w:rPr>
        <w:t>the likely impacts of operating to support a grid outage</w:t>
      </w:r>
      <w:r w:rsidR="00AF157A" w:rsidRPr="00647CD8">
        <w:rPr>
          <w:lang w:eastAsia="en-GB"/>
        </w:rPr>
        <w:t>.</w:t>
      </w:r>
    </w:p>
    <w:p w14:paraId="1E19E5EF" w14:textId="77777777" w:rsidR="001971F6" w:rsidRPr="00647CD8" w:rsidRDefault="006C6F2C" w:rsidP="00911789">
      <w:pPr>
        <w:rPr>
          <w:lang w:eastAsia="en-GB"/>
        </w:rPr>
      </w:pPr>
      <w:r w:rsidRPr="00647CD8">
        <w:rPr>
          <w:lang w:eastAsia="en-GB"/>
        </w:rPr>
        <w:t xml:space="preserve">It would be expected that the maintenance and test hours are managed to avoid potential </w:t>
      </w:r>
      <w:r w:rsidR="0010079C" w:rsidRPr="00647CD8">
        <w:rPr>
          <w:lang w:eastAsia="en-GB"/>
        </w:rPr>
        <w:t xml:space="preserve">air quality </w:t>
      </w:r>
      <w:r w:rsidRPr="00647CD8">
        <w:rPr>
          <w:lang w:eastAsia="en-GB"/>
        </w:rPr>
        <w:t xml:space="preserve">impacts </w:t>
      </w:r>
      <w:r w:rsidR="0010079C" w:rsidRPr="00647CD8">
        <w:rPr>
          <w:lang w:eastAsia="en-GB"/>
        </w:rPr>
        <w:t>espec</w:t>
      </w:r>
      <w:r w:rsidRPr="00647CD8">
        <w:rPr>
          <w:lang w:eastAsia="en-GB"/>
        </w:rPr>
        <w:t xml:space="preserve">ially if the site is within an urban area which has designated a local air </w:t>
      </w:r>
      <w:r w:rsidR="00F9398E" w:rsidRPr="00647CD8">
        <w:rPr>
          <w:lang w:eastAsia="en-GB"/>
        </w:rPr>
        <w:t>quality management zone LAQMZ.</w:t>
      </w:r>
    </w:p>
    <w:p w14:paraId="6296C376" w14:textId="77777777" w:rsidR="00DB3404" w:rsidRPr="00647CD8" w:rsidRDefault="00DB3404" w:rsidP="00DB3404">
      <w:pPr>
        <w:rPr>
          <w:b/>
          <w:lang w:eastAsia="en-GB"/>
        </w:rPr>
      </w:pPr>
      <w:r w:rsidRPr="00647CD8">
        <w:rPr>
          <w:rFonts w:cs="Calibri"/>
          <w:b/>
        </w:rPr>
        <w:t xml:space="preserve">Ideally a target should seek to keep individual generator testing </w:t>
      </w:r>
      <w:r w:rsidR="001B7236" w:rsidRPr="00647CD8">
        <w:rPr>
          <w:rFonts w:cs="Calibri"/>
          <w:b/>
        </w:rPr>
        <w:t xml:space="preserve">(at any load) </w:t>
      </w:r>
      <w:r w:rsidRPr="00647CD8">
        <w:rPr>
          <w:rFonts w:cs="Calibri"/>
          <w:b/>
        </w:rPr>
        <w:t>to below 50 hours/annum each.</w:t>
      </w:r>
    </w:p>
    <w:p w14:paraId="4CD56434" w14:textId="77777777" w:rsidR="00106D5D" w:rsidRPr="00647CD8" w:rsidRDefault="00106D5D" w:rsidP="00106D5D">
      <w:pPr>
        <w:pStyle w:val="Heading3"/>
        <w:rPr>
          <w:color w:val="auto"/>
        </w:rPr>
      </w:pPr>
      <w:bookmarkStart w:id="22" w:name="_Toc517419553"/>
      <w:r w:rsidRPr="00647CD8">
        <w:rPr>
          <w:color w:val="auto"/>
        </w:rPr>
        <w:t>Scheduling</w:t>
      </w:r>
      <w:r w:rsidR="00ED25D2" w:rsidRPr="00647CD8">
        <w:rPr>
          <w:color w:val="auto"/>
        </w:rPr>
        <w:t xml:space="preserve"> Plan for testing</w:t>
      </w:r>
      <w:r w:rsidRPr="00647CD8">
        <w:rPr>
          <w:color w:val="auto"/>
        </w:rPr>
        <w:t>:</w:t>
      </w:r>
      <w:bookmarkEnd w:id="22"/>
      <w:r w:rsidRPr="00647CD8">
        <w:rPr>
          <w:color w:val="auto"/>
        </w:rPr>
        <w:t xml:space="preserve"> </w:t>
      </w:r>
    </w:p>
    <w:p w14:paraId="3171ECAB" w14:textId="6800A4B2" w:rsidR="00106D5D" w:rsidRPr="00647CD8" w:rsidRDefault="00106D5D" w:rsidP="00106D5D">
      <w:pPr>
        <w:rPr>
          <w:lang w:eastAsia="en-GB"/>
        </w:rPr>
      </w:pPr>
      <w:r w:rsidRPr="00647CD8">
        <w:rPr>
          <w:lang w:eastAsia="en-GB"/>
        </w:rPr>
        <w:t>The important thing is that the b</w:t>
      </w:r>
      <w:r w:rsidR="00B4409C" w:rsidRPr="00647CD8">
        <w:rPr>
          <w:lang w:eastAsia="en-GB"/>
        </w:rPr>
        <w:t xml:space="preserve">est times </w:t>
      </w:r>
      <w:r w:rsidR="00ED25D2" w:rsidRPr="00647CD8">
        <w:rPr>
          <w:lang w:eastAsia="en-GB"/>
        </w:rPr>
        <w:t xml:space="preserve">to minimise impacts </w:t>
      </w:r>
      <w:r w:rsidR="00B4409C" w:rsidRPr="00647CD8">
        <w:rPr>
          <w:lang w:eastAsia="en-GB"/>
        </w:rPr>
        <w:t xml:space="preserve">to do maintenance </w:t>
      </w:r>
      <w:r w:rsidR="00ED25D2" w:rsidRPr="00647CD8">
        <w:rPr>
          <w:lang w:eastAsia="en-GB"/>
        </w:rPr>
        <w:t xml:space="preserve">testing </w:t>
      </w:r>
      <w:r w:rsidR="00B4409C" w:rsidRPr="00647CD8">
        <w:rPr>
          <w:lang w:eastAsia="en-GB"/>
        </w:rPr>
        <w:t>form the schedule</w:t>
      </w:r>
      <w:r w:rsidRPr="00647CD8">
        <w:rPr>
          <w:lang w:eastAsia="en-GB"/>
        </w:rPr>
        <w:t>.  It is one way of demonstrating good practice within operational constraints (which may include Service Level Agreements, other commercial constraints, change freezes, out of hours</w:t>
      </w:r>
      <w:r w:rsidR="00331097" w:rsidRPr="00647CD8">
        <w:rPr>
          <w:lang w:eastAsia="en-GB"/>
        </w:rPr>
        <w:t>’</w:t>
      </w:r>
      <w:r w:rsidRPr="00647CD8">
        <w:rPr>
          <w:lang w:eastAsia="en-GB"/>
        </w:rPr>
        <w:t xml:space="preserve"> noise levels, other impacts on neighbours, etc).   For data centres the primary concerns relate to short term emissions with local</w:t>
      </w:r>
      <w:r w:rsidR="00C96C36" w:rsidRPr="00647CD8">
        <w:rPr>
          <w:lang w:eastAsia="en-GB"/>
        </w:rPr>
        <w:t xml:space="preserve"> air quality </w:t>
      </w:r>
      <w:r w:rsidRPr="00647CD8">
        <w:rPr>
          <w:lang w:eastAsia="en-GB"/>
        </w:rPr>
        <w:t xml:space="preserve">impact rather than long term base load </w:t>
      </w:r>
      <w:r w:rsidR="00ED25D2" w:rsidRPr="00647CD8">
        <w:rPr>
          <w:lang w:eastAsia="en-GB"/>
        </w:rPr>
        <w:t xml:space="preserve">test </w:t>
      </w:r>
      <w:r w:rsidRPr="00647CD8">
        <w:rPr>
          <w:lang w:eastAsia="en-GB"/>
        </w:rPr>
        <w:t>emissions</w:t>
      </w:r>
      <w:r w:rsidR="001B7236" w:rsidRPr="00647CD8">
        <w:rPr>
          <w:lang w:eastAsia="en-GB"/>
        </w:rPr>
        <w:t xml:space="preserve"> (although this could be a factor for the largest data centres)</w:t>
      </w:r>
      <w:r w:rsidRPr="00647CD8">
        <w:rPr>
          <w:lang w:eastAsia="en-GB"/>
        </w:rPr>
        <w:t xml:space="preserve">. This should be reflected in the </w:t>
      </w:r>
      <w:r w:rsidR="001B7236" w:rsidRPr="00647CD8">
        <w:rPr>
          <w:lang w:eastAsia="en-GB"/>
        </w:rPr>
        <w:t xml:space="preserve">maintenance test </w:t>
      </w:r>
      <w:r w:rsidRPr="00647CD8">
        <w:rPr>
          <w:lang w:eastAsia="en-GB"/>
        </w:rPr>
        <w:t xml:space="preserve">plan. </w:t>
      </w:r>
    </w:p>
    <w:p w14:paraId="7A91246C" w14:textId="77777777" w:rsidR="00ED25D2" w:rsidRPr="00647CD8" w:rsidRDefault="00106D5D" w:rsidP="00106D5D">
      <w:pPr>
        <w:pStyle w:val="ListParagraph"/>
        <w:numPr>
          <w:ilvl w:val="0"/>
          <w:numId w:val="22"/>
        </w:numPr>
        <w:rPr>
          <w:lang w:eastAsia="en-GB"/>
        </w:rPr>
      </w:pPr>
      <w:r w:rsidRPr="00647CD8">
        <w:rPr>
          <w:lang w:eastAsia="en-GB"/>
        </w:rPr>
        <w:t xml:space="preserve">Choose times to minimise overall air quality impact </w:t>
      </w:r>
      <w:r w:rsidR="00ED25D2" w:rsidRPr="00647CD8">
        <w:rPr>
          <w:lang w:eastAsia="en-GB"/>
        </w:rPr>
        <w:t xml:space="preserve">potentially </w:t>
      </w:r>
      <w:r w:rsidRPr="00647CD8">
        <w:rPr>
          <w:lang w:eastAsia="en-GB"/>
        </w:rPr>
        <w:t>taking into account the additive effect</w:t>
      </w:r>
      <w:r w:rsidR="001B7236" w:rsidRPr="00647CD8">
        <w:rPr>
          <w:lang w:eastAsia="en-GB"/>
        </w:rPr>
        <w:t>s</w:t>
      </w:r>
      <w:r w:rsidRPr="00647CD8">
        <w:rPr>
          <w:lang w:eastAsia="en-GB"/>
        </w:rPr>
        <w:t xml:space="preserve"> of other </w:t>
      </w:r>
      <w:r w:rsidR="001B7236" w:rsidRPr="00647CD8">
        <w:rPr>
          <w:lang w:eastAsia="en-GB"/>
        </w:rPr>
        <w:t xml:space="preserve">emission </w:t>
      </w:r>
      <w:r w:rsidRPr="00647CD8">
        <w:rPr>
          <w:lang w:eastAsia="en-GB"/>
        </w:rPr>
        <w:t>sources</w:t>
      </w:r>
      <w:r w:rsidR="001B7236" w:rsidRPr="00647CD8">
        <w:rPr>
          <w:lang w:eastAsia="en-GB"/>
        </w:rPr>
        <w:t>,</w:t>
      </w:r>
      <w:r w:rsidRPr="00647CD8">
        <w:rPr>
          <w:lang w:eastAsia="en-GB"/>
        </w:rPr>
        <w:t xml:space="preserve"> and </w:t>
      </w:r>
      <w:r w:rsidR="001B7236" w:rsidRPr="00647CD8">
        <w:rPr>
          <w:lang w:eastAsia="en-GB"/>
        </w:rPr>
        <w:t xml:space="preserve">the </w:t>
      </w:r>
      <w:r w:rsidRPr="00647CD8">
        <w:rPr>
          <w:lang w:eastAsia="en-GB"/>
        </w:rPr>
        <w:t xml:space="preserve">existing level of </w:t>
      </w:r>
      <w:r w:rsidR="00ED25D2" w:rsidRPr="00647CD8">
        <w:rPr>
          <w:lang w:eastAsia="en-GB"/>
        </w:rPr>
        <w:t xml:space="preserve">ambient </w:t>
      </w:r>
      <w:r w:rsidR="001B7236" w:rsidRPr="00647CD8">
        <w:rPr>
          <w:lang w:eastAsia="en-GB"/>
        </w:rPr>
        <w:t xml:space="preserve">air quality </w:t>
      </w:r>
      <w:r w:rsidRPr="00647CD8">
        <w:rPr>
          <w:lang w:eastAsia="en-GB"/>
        </w:rPr>
        <w:t>breaches</w:t>
      </w:r>
      <w:r w:rsidR="00ED25D2" w:rsidRPr="00647CD8">
        <w:rPr>
          <w:lang w:eastAsia="en-GB"/>
        </w:rPr>
        <w:t xml:space="preserve"> and air quality affect</w:t>
      </w:r>
      <w:r w:rsidR="001B7236" w:rsidRPr="00647CD8">
        <w:rPr>
          <w:lang w:eastAsia="en-GB"/>
        </w:rPr>
        <w:t>ed</w:t>
      </w:r>
      <w:r w:rsidR="00ED25D2" w:rsidRPr="00647CD8">
        <w:rPr>
          <w:lang w:eastAsia="en-GB"/>
        </w:rPr>
        <w:t xml:space="preserve"> by met</w:t>
      </w:r>
      <w:r w:rsidR="00141273" w:rsidRPr="00647CD8">
        <w:rPr>
          <w:lang w:eastAsia="en-GB"/>
        </w:rPr>
        <w:t>eoro</w:t>
      </w:r>
      <w:r w:rsidR="00ED25D2" w:rsidRPr="00647CD8">
        <w:rPr>
          <w:lang w:eastAsia="en-GB"/>
        </w:rPr>
        <w:t>logical conditions</w:t>
      </w:r>
    </w:p>
    <w:p w14:paraId="2D2F4E4E" w14:textId="77777777" w:rsidR="00106D5D" w:rsidRPr="00647CD8" w:rsidRDefault="001B7236" w:rsidP="00106D5D">
      <w:pPr>
        <w:pStyle w:val="ListParagraph"/>
        <w:numPr>
          <w:ilvl w:val="0"/>
          <w:numId w:val="22"/>
        </w:numPr>
        <w:rPr>
          <w:lang w:eastAsia="en-GB"/>
        </w:rPr>
      </w:pPr>
      <w:r w:rsidRPr="00647CD8">
        <w:rPr>
          <w:lang w:eastAsia="en-GB"/>
        </w:rPr>
        <w:t>T</w:t>
      </w:r>
      <w:r w:rsidR="00106D5D" w:rsidRPr="00647CD8">
        <w:rPr>
          <w:lang w:eastAsia="en-GB"/>
        </w:rPr>
        <w:t>est firing could be scheduled to avoid sensitive times (rush hour).  5 year air quality trends will inform</w:t>
      </w:r>
      <w:r w:rsidRPr="00647CD8">
        <w:rPr>
          <w:lang w:eastAsia="en-GB"/>
        </w:rPr>
        <w:t xml:space="preserve"> this</w:t>
      </w:r>
      <w:r w:rsidR="00106D5D" w:rsidRPr="00647CD8">
        <w:rPr>
          <w:lang w:eastAsia="en-GB"/>
        </w:rPr>
        <w:t xml:space="preserve">. In some areas with existing air quality issues test firing may lead to breaches.  In this case the priority is to avoid the peaks and seek the least worst option. </w:t>
      </w:r>
    </w:p>
    <w:p w14:paraId="0ADBBE9C" w14:textId="77777777" w:rsidR="00106D5D" w:rsidRPr="00647CD8" w:rsidRDefault="00106D5D" w:rsidP="00106D5D">
      <w:pPr>
        <w:pStyle w:val="ListParagraph"/>
        <w:numPr>
          <w:ilvl w:val="0"/>
          <w:numId w:val="22"/>
        </w:numPr>
        <w:rPr>
          <w:lang w:eastAsia="en-GB"/>
        </w:rPr>
      </w:pPr>
      <w:r w:rsidRPr="00647CD8">
        <w:rPr>
          <w:lang w:eastAsia="en-GB"/>
        </w:rPr>
        <w:t xml:space="preserve">Scope for splitting test runs so that not all generators fire at once – test firing in batches. </w:t>
      </w:r>
    </w:p>
    <w:p w14:paraId="2B2C29F6" w14:textId="77777777" w:rsidR="00106D5D" w:rsidRPr="00647CD8" w:rsidRDefault="00106D5D" w:rsidP="00106D5D">
      <w:pPr>
        <w:pStyle w:val="ListParagraph"/>
        <w:numPr>
          <w:ilvl w:val="0"/>
          <w:numId w:val="22"/>
        </w:numPr>
        <w:rPr>
          <w:lang w:eastAsia="en-GB"/>
        </w:rPr>
      </w:pPr>
      <w:r w:rsidRPr="00647CD8">
        <w:rPr>
          <w:lang w:eastAsia="en-GB"/>
        </w:rPr>
        <w:t>Scope for coordinating test firing between adjacent sites</w:t>
      </w:r>
    </w:p>
    <w:p w14:paraId="58527A30" w14:textId="77777777" w:rsidR="004C38B1" w:rsidRPr="00647CD8" w:rsidRDefault="008B2013" w:rsidP="00106D5D">
      <w:pPr>
        <w:pStyle w:val="ListParagraph"/>
        <w:numPr>
          <w:ilvl w:val="0"/>
          <w:numId w:val="22"/>
        </w:numPr>
        <w:rPr>
          <w:lang w:eastAsia="en-GB"/>
        </w:rPr>
      </w:pPr>
      <w:r w:rsidRPr="00647CD8">
        <w:rPr>
          <w:lang w:eastAsia="en-GB"/>
        </w:rPr>
        <w:t xml:space="preserve">It may be useful, much like reducing fuel use, to have NOx or particulate mass emissions for the testing regime </w:t>
      </w:r>
      <w:r w:rsidR="00ED25D2" w:rsidRPr="00647CD8">
        <w:rPr>
          <w:lang w:eastAsia="en-GB"/>
        </w:rPr>
        <w:t xml:space="preserve">(mass emission rate at the test load) </w:t>
      </w:r>
      <w:r w:rsidRPr="00647CD8">
        <w:rPr>
          <w:lang w:eastAsia="en-GB"/>
        </w:rPr>
        <w:t xml:space="preserve">as a whole as a metric. This could be used to drive improvements in reduction in overall testing </w:t>
      </w:r>
      <w:r w:rsidR="00C96C36" w:rsidRPr="00647CD8">
        <w:rPr>
          <w:lang w:eastAsia="en-GB"/>
        </w:rPr>
        <w:t xml:space="preserve">regime mass </w:t>
      </w:r>
      <w:r w:rsidRPr="00647CD8">
        <w:rPr>
          <w:lang w:eastAsia="en-GB"/>
        </w:rPr>
        <w:t>emissions.</w:t>
      </w:r>
    </w:p>
    <w:p w14:paraId="6F2669A3" w14:textId="77777777" w:rsidR="00106D5D" w:rsidRPr="00647CD8" w:rsidRDefault="004C38B1" w:rsidP="00106D5D">
      <w:pPr>
        <w:pStyle w:val="ListParagraph"/>
        <w:numPr>
          <w:ilvl w:val="0"/>
          <w:numId w:val="22"/>
        </w:numPr>
        <w:rPr>
          <w:lang w:eastAsia="en-GB"/>
        </w:rPr>
      </w:pPr>
      <w:r w:rsidRPr="00647CD8">
        <w:rPr>
          <w:lang w:eastAsia="en-GB"/>
        </w:rPr>
        <w:t>Does the choice of fuel potentially reduce the emissions</w:t>
      </w:r>
      <w:r w:rsidR="002E4464" w:rsidRPr="00647CD8">
        <w:rPr>
          <w:lang w:eastAsia="en-GB"/>
        </w:rPr>
        <w:t>.</w:t>
      </w:r>
    </w:p>
    <w:p w14:paraId="2FAF8921" w14:textId="77777777" w:rsidR="004B314A" w:rsidRPr="00647CD8" w:rsidRDefault="00C17EAD" w:rsidP="00911789">
      <w:pPr>
        <w:rPr>
          <w:lang w:eastAsia="en-GB"/>
        </w:rPr>
      </w:pPr>
      <w:r w:rsidRPr="00647CD8">
        <w:rPr>
          <w:lang w:eastAsia="en-GB"/>
        </w:rPr>
        <w:t>The NOx or particulate impacts of p</w:t>
      </w:r>
      <w:r w:rsidR="006C6F2C" w:rsidRPr="00647CD8">
        <w:rPr>
          <w:lang w:eastAsia="en-GB"/>
        </w:rPr>
        <w:t xml:space="preserve">lant testing (accepting potential </w:t>
      </w:r>
      <w:r w:rsidRPr="00647CD8">
        <w:rPr>
          <w:lang w:eastAsia="en-GB"/>
        </w:rPr>
        <w:t>adverse impacts of other issues like n</w:t>
      </w:r>
      <w:r w:rsidR="006C6F2C" w:rsidRPr="00647CD8">
        <w:rPr>
          <w:lang w:eastAsia="en-GB"/>
        </w:rPr>
        <w:t xml:space="preserve">oise) may reduce </w:t>
      </w:r>
      <w:r w:rsidR="009B5289" w:rsidRPr="00647CD8">
        <w:rPr>
          <w:lang w:eastAsia="en-GB"/>
        </w:rPr>
        <w:t>at weekends, very early morning, n</w:t>
      </w:r>
      <w:r w:rsidR="00B56698" w:rsidRPr="00647CD8">
        <w:rPr>
          <w:lang w:eastAsia="en-GB"/>
        </w:rPr>
        <w:t>i</w:t>
      </w:r>
      <w:r w:rsidR="00BA1158" w:rsidRPr="00647CD8">
        <w:rPr>
          <w:lang w:eastAsia="en-GB"/>
        </w:rPr>
        <w:t>ght-time or in the s</w:t>
      </w:r>
      <w:r w:rsidR="009B5289" w:rsidRPr="00647CD8">
        <w:rPr>
          <w:lang w:eastAsia="en-GB"/>
        </w:rPr>
        <w:t xml:space="preserve">ummer. </w:t>
      </w:r>
      <w:r w:rsidR="001971F6" w:rsidRPr="00647CD8">
        <w:rPr>
          <w:lang w:eastAsia="en-GB"/>
        </w:rPr>
        <w:t>This is especially likely to apply to whole site (full load) tests needing the majority of the combustion plant to run.</w:t>
      </w:r>
      <w:r w:rsidR="004B314A" w:rsidRPr="00647CD8">
        <w:rPr>
          <w:lang w:eastAsia="en-GB"/>
        </w:rPr>
        <w:t xml:space="preserve"> </w:t>
      </w:r>
    </w:p>
    <w:p w14:paraId="7C2C74A7" w14:textId="77777777" w:rsidR="006C6F2C" w:rsidRPr="00647CD8" w:rsidRDefault="004B314A" w:rsidP="00911789">
      <w:pPr>
        <w:rPr>
          <w:lang w:eastAsia="en-GB"/>
        </w:rPr>
      </w:pPr>
      <w:r w:rsidRPr="00647CD8">
        <w:rPr>
          <w:lang w:eastAsia="en-GB"/>
        </w:rPr>
        <w:t>Operations and management procedures should reflect the outcomes of the air quality modelling by minimising the duration of testing, phasing engines into subgroups, avoiding whole site tests and planning off-grid maintenance days and times to avoid adding to “at risk” high ambient pollutant backgrounds levels</w:t>
      </w:r>
      <w:r w:rsidR="004C15AB" w:rsidRPr="00647CD8">
        <w:rPr>
          <w:lang w:eastAsia="en-GB"/>
        </w:rPr>
        <w:t>.</w:t>
      </w:r>
    </w:p>
    <w:p w14:paraId="50841750" w14:textId="77777777" w:rsidR="00D278D9" w:rsidRPr="00647CD8" w:rsidRDefault="00D278D9" w:rsidP="00D278D9">
      <w:pPr>
        <w:pStyle w:val="Heading2"/>
        <w:rPr>
          <w:color w:val="auto"/>
        </w:rPr>
      </w:pPr>
      <w:bookmarkStart w:id="23" w:name="_Toc517419554"/>
      <w:r w:rsidRPr="00647CD8">
        <w:rPr>
          <w:color w:val="auto"/>
        </w:rPr>
        <w:t>F-Gas Legislation</w:t>
      </w:r>
      <w:bookmarkEnd w:id="23"/>
    </w:p>
    <w:p w14:paraId="767F4096" w14:textId="77777777" w:rsidR="00D278D9" w:rsidRPr="00647CD8" w:rsidRDefault="00D278D9" w:rsidP="00D278D9">
      <w:pPr>
        <w:rPr>
          <w:lang w:eastAsia="en-GB"/>
        </w:rPr>
      </w:pPr>
    </w:p>
    <w:p w14:paraId="0ADDA33F" w14:textId="77777777" w:rsidR="004B314A" w:rsidRPr="00647CD8" w:rsidRDefault="00D278D9" w:rsidP="00911789">
      <w:pPr>
        <w:rPr>
          <w:lang w:eastAsia="en-GB"/>
        </w:rPr>
      </w:pPr>
      <w:r w:rsidRPr="00647CD8">
        <w:rPr>
          <w:lang w:eastAsia="en-GB"/>
        </w:rPr>
        <w:t>Due to the emphasis of the permit on electrical (and cooling) systems it is noted that the EA considers the F-Gas regulations as falling under the remit of the EPR permit (for notifications and management) where F-gases (or potentially any polluting potential substance) are used directly under the combustion aspects of the permitted activity (e.g</w:t>
      </w:r>
      <w:r w:rsidR="002E4464" w:rsidRPr="00647CD8">
        <w:rPr>
          <w:lang w:eastAsia="en-GB"/>
        </w:rPr>
        <w:t>.</w:t>
      </w:r>
      <w:r w:rsidRPr="00647CD8">
        <w:rPr>
          <w:lang w:eastAsia="en-GB"/>
        </w:rPr>
        <w:t xml:space="preserve"> switchgear). </w:t>
      </w:r>
    </w:p>
    <w:p w14:paraId="73CC58F6" w14:textId="77777777" w:rsidR="005544C8" w:rsidRPr="00647CD8" w:rsidRDefault="00D278D9" w:rsidP="00911789">
      <w:pPr>
        <w:rPr>
          <w:lang w:eastAsia="en-GB"/>
        </w:rPr>
      </w:pPr>
      <w:r w:rsidRPr="00647CD8">
        <w:rPr>
          <w:lang w:eastAsia="en-GB"/>
        </w:rPr>
        <w:lastRenderedPageBreak/>
        <w:t xml:space="preserve">It is important to notify the EA of any significant releases. Other uses of F-gases e.g. for server room cooling are not strictly under the permit but are regulated by the EA generally so it may still be prudent to make the EA aware of your </w:t>
      </w:r>
      <w:r w:rsidR="002E4464" w:rsidRPr="00647CD8">
        <w:rPr>
          <w:lang w:eastAsia="en-GB"/>
        </w:rPr>
        <w:t xml:space="preserve">fugitive </w:t>
      </w:r>
      <w:r w:rsidRPr="00647CD8">
        <w:rPr>
          <w:lang w:eastAsia="en-GB"/>
        </w:rPr>
        <w:t xml:space="preserve">F-gas releases. </w:t>
      </w:r>
    </w:p>
    <w:p w14:paraId="017DD499" w14:textId="7BBB1FF8" w:rsidR="008213CE" w:rsidRPr="00647CD8" w:rsidRDefault="008213CE" w:rsidP="00575C9A">
      <w:pPr>
        <w:pStyle w:val="Heading2"/>
        <w:rPr>
          <w:color w:val="auto"/>
        </w:rPr>
      </w:pPr>
      <w:bookmarkStart w:id="24" w:name="_Toc517419555"/>
      <w:r w:rsidRPr="00647CD8">
        <w:rPr>
          <w:color w:val="auto"/>
        </w:rPr>
        <w:t xml:space="preserve">STOR, Triad, </w:t>
      </w:r>
      <w:r w:rsidR="00331097" w:rsidRPr="00647CD8">
        <w:rPr>
          <w:color w:val="auto"/>
        </w:rPr>
        <w:t xml:space="preserve">FFR, </w:t>
      </w:r>
      <w:r w:rsidRPr="00647CD8">
        <w:rPr>
          <w:color w:val="auto"/>
        </w:rPr>
        <w:t>frequency response</w:t>
      </w:r>
      <w:r w:rsidR="004B314A" w:rsidRPr="00647CD8">
        <w:rPr>
          <w:color w:val="auto"/>
        </w:rPr>
        <w:t xml:space="preserve"> FCDM</w:t>
      </w:r>
      <w:bookmarkEnd w:id="24"/>
    </w:p>
    <w:p w14:paraId="06A4EE21" w14:textId="77777777" w:rsidR="0073737A" w:rsidRPr="00647CD8" w:rsidRDefault="0073737A" w:rsidP="004B314A">
      <w:pPr>
        <w:rPr>
          <w:i/>
          <w:lang w:eastAsia="en-GB"/>
        </w:rPr>
      </w:pPr>
    </w:p>
    <w:p w14:paraId="470C8604" w14:textId="62E8E0BA" w:rsidR="0073737A" w:rsidRPr="00647CD8" w:rsidRDefault="0073737A" w:rsidP="004B314A">
      <w:pPr>
        <w:rPr>
          <w:i/>
          <w:lang w:eastAsia="en-GB"/>
        </w:rPr>
      </w:pPr>
      <w:r w:rsidRPr="00647CD8">
        <w:rPr>
          <w:i/>
          <w:lang w:eastAsia="en-GB"/>
        </w:rPr>
        <w:t>It should be noted that under the Medium Combustion Plant regulations these modes of operation over and above a purely grid standby role (defined by &lt;50 hours testing per generator) are in essence qualifying generation for the plant as ‘specified generators’. This section effectively outlines the additional data centre permit requirements, for chapter 2 aggregated to &gt;50MWth, embracing the aspects of obtaining an MCDP specified generator bespoke permit.</w:t>
      </w:r>
    </w:p>
    <w:p w14:paraId="00AE65AD" w14:textId="46844A91" w:rsidR="00911789" w:rsidRPr="00647CD8" w:rsidRDefault="004D508B" w:rsidP="00911789">
      <w:pPr>
        <w:rPr>
          <w:lang w:eastAsia="en-GB"/>
        </w:rPr>
      </w:pPr>
      <w:r w:rsidRPr="00647CD8">
        <w:rPr>
          <w:lang w:eastAsia="en-GB"/>
        </w:rPr>
        <w:t>Clearly a data centre’s combustion plant c</w:t>
      </w:r>
      <w:r w:rsidR="00BF40A6" w:rsidRPr="00647CD8">
        <w:rPr>
          <w:lang w:eastAsia="en-GB"/>
        </w:rPr>
        <w:t>ould</w:t>
      </w:r>
      <w:r w:rsidRPr="00647CD8">
        <w:rPr>
          <w:lang w:eastAsia="en-GB"/>
        </w:rPr>
        <w:t xml:space="preserve"> </w:t>
      </w:r>
      <w:r w:rsidR="00BA1158" w:rsidRPr="00647CD8">
        <w:rPr>
          <w:lang w:eastAsia="en-GB"/>
        </w:rPr>
        <w:t xml:space="preserve">be permitted to </w:t>
      </w:r>
      <w:r w:rsidRPr="00647CD8">
        <w:rPr>
          <w:lang w:eastAsia="en-GB"/>
        </w:rPr>
        <w:t>oper</w:t>
      </w:r>
      <w:r w:rsidR="004B314A" w:rsidRPr="00647CD8">
        <w:rPr>
          <w:lang w:eastAsia="en-GB"/>
        </w:rPr>
        <w:t xml:space="preserve">ate in the above </w:t>
      </w:r>
      <w:r w:rsidRPr="00647CD8">
        <w:rPr>
          <w:lang w:eastAsia="en-GB"/>
        </w:rPr>
        <w:t xml:space="preserve">modes </w:t>
      </w:r>
      <w:r w:rsidR="0073737A" w:rsidRPr="00647CD8">
        <w:rPr>
          <w:lang w:eastAsia="en-GB"/>
        </w:rPr>
        <w:t xml:space="preserve">(short term operating reserve STOR, fast frequency response FFR, frequency demand management FCDM, Triad) </w:t>
      </w:r>
      <w:r w:rsidRPr="00647CD8">
        <w:rPr>
          <w:lang w:eastAsia="en-GB"/>
        </w:rPr>
        <w:t xml:space="preserve">in addition to grid standby. The application would need to justify the impacts to local air quality. </w:t>
      </w:r>
      <w:r w:rsidRPr="00647CD8">
        <w:rPr>
          <w:u w:val="single"/>
          <w:lang w:eastAsia="en-GB"/>
        </w:rPr>
        <w:t>It should be borne in mind however that such offerings are considered as different to emergency operation in the context of data centres</w:t>
      </w:r>
      <w:r w:rsidRPr="00647CD8">
        <w:rPr>
          <w:lang w:eastAsia="en-GB"/>
        </w:rPr>
        <w:t xml:space="preserve">. This is because in addition to any Data Centre BAT, there is also the </w:t>
      </w:r>
      <w:r w:rsidR="004B314A" w:rsidRPr="00647CD8">
        <w:rPr>
          <w:lang w:eastAsia="en-GB"/>
        </w:rPr>
        <w:t>“</w:t>
      </w:r>
      <w:r w:rsidRPr="00647CD8">
        <w:rPr>
          <w:lang w:eastAsia="en-GB"/>
        </w:rPr>
        <w:t>DECC</w:t>
      </w:r>
      <w:r w:rsidR="004B314A" w:rsidRPr="00647CD8">
        <w:rPr>
          <w:lang w:eastAsia="en-GB"/>
        </w:rPr>
        <w:t>, now BIES,</w:t>
      </w:r>
      <w:r w:rsidRPr="00647CD8">
        <w:rPr>
          <w:lang w:eastAsia="en-GB"/>
        </w:rPr>
        <w:t xml:space="preserve"> BAT for</w:t>
      </w:r>
      <w:r w:rsidR="004C6F13" w:rsidRPr="00647CD8">
        <w:rPr>
          <w:lang w:eastAsia="en-GB"/>
        </w:rPr>
        <w:t xml:space="preserve"> the Balancing Market</w:t>
      </w:r>
      <w:r w:rsidR="004B314A" w:rsidRPr="00647CD8">
        <w:rPr>
          <w:lang w:eastAsia="en-GB"/>
        </w:rPr>
        <w:t>”</w:t>
      </w:r>
      <w:r w:rsidR="004C6F13" w:rsidRPr="00647CD8">
        <w:rPr>
          <w:lang w:eastAsia="en-GB"/>
        </w:rPr>
        <w:t xml:space="preserve"> </w:t>
      </w:r>
      <w:r w:rsidR="009F3B4C" w:rsidRPr="00647CD8">
        <w:rPr>
          <w:lang w:eastAsia="en-GB"/>
        </w:rPr>
        <w:t xml:space="preserve">and MCPD expectations </w:t>
      </w:r>
      <w:r w:rsidR="00371EF4" w:rsidRPr="00647CD8">
        <w:rPr>
          <w:lang w:eastAsia="en-GB"/>
        </w:rPr>
        <w:t xml:space="preserve">which the site needs to address, </w:t>
      </w:r>
      <w:r w:rsidR="004C6F13" w:rsidRPr="00647CD8">
        <w:rPr>
          <w:lang w:eastAsia="en-GB"/>
        </w:rPr>
        <w:t>and importantly there is clearly the potential that:-</w:t>
      </w:r>
    </w:p>
    <w:p w14:paraId="3D7F4410" w14:textId="77777777" w:rsidR="004C6F13" w:rsidRPr="00647CD8" w:rsidRDefault="004C6F13" w:rsidP="00CB57C9">
      <w:pPr>
        <w:pStyle w:val="ListParagraph"/>
        <w:numPr>
          <w:ilvl w:val="0"/>
          <w:numId w:val="7"/>
        </w:numPr>
        <w:rPr>
          <w:lang w:eastAsia="en-GB"/>
        </w:rPr>
      </w:pPr>
      <w:r w:rsidRPr="00647CD8">
        <w:rPr>
          <w:lang w:eastAsia="en-GB"/>
        </w:rPr>
        <w:t>The site may be more at risk of a grid outage if electricity export systems are in place</w:t>
      </w:r>
    </w:p>
    <w:p w14:paraId="5662E5B7" w14:textId="77777777" w:rsidR="004C6F13" w:rsidRPr="00647CD8" w:rsidRDefault="004C6F13" w:rsidP="00CB57C9">
      <w:pPr>
        <w:pStyle w:val="ListParagraph"/>
        <w:numPr>
          <w:ilvl w:val="0"/>
          <w:numId w:val="7"/>
        </w:numPr>
        <w:rPr>
          <w:lang w:eastAsia="en-GB"/>
        </w:rPr>
      </w:pPr>
      <w:r w:rsidRPr="00647CD8">
        <w:rPr>
          <w:lang w:eastAsia="en-GB"/>
        </w:rPr>
        <w:t xml:space="preserve">The site must necessarily </w:t>
      </w:r>
      <w:r w:rsidR="00371EF4" w:rsidRPr="00647CD8">
        <w:rPr>
          <w:lang w:eastAsia="en-GB"/>
        </w:rPr>
        <w:t>account/model</w:t>
      </w:r>
      <w:r w:rsidRPr="00647CD8">
        <w:rPr>
          <w:lang w:eastAsia="en-GB"/>
        </w:rPr>
        <w:t xml:space="preserve"> that any grid outage will be extended by</w:t>
      </w:r>
      <w:r w:rsidR="00371EF4" w:rsidRPr="00647CD8">
        <w:rPr>
          <w:lang w:eastAsia="en-GB"/>
        </w:rPr>
        <w:t xml:space="preserve"> an elective STOR like operation</w:t>
      </w:r>
      <w:r w:rsidR="00BA1158" w:rsidRPr="00647CD8">
        <w:rPr>
          <w:lang w:eastAsia="en-GB"/>
        </w:rPr>
        <w:t xml:space="preserve"> within the same period</w:t>
      </w:r>
      <w:r w:rsidR="00371EF4" w:rsidRPr="00647CD8">
        <w:rPr>
          <w:lang w:eastAsia="en-GB"/>
        </w:rPr>
        <w:t>.</w:t>
      </w:r>
    </w:p>
    <w:p w14:paraId="2B1382DC" w14:textId="77777777" w:rsidR="00BA1158" w:rsidRPr="00647CD8" w:rsidRDefault="00BA1158" w:rsidP="00CB57C9">
      <w:pPr>
        <w:pStyle w:val="ListParagraph"/>
        <w:numPr>
          <w:ilvl w:val="0"/>
          <w:numId w:val="7"/>
        </w:numPr>
        <w:rPr>
          <w:lang w:eastAsia="en-GB"/>
        </w:rPr>
      </w:pPr>
      <w:r w:rsidRPr="00647CD8">
        <w:rPr>
          <w:lang w:eastAsia="en-GB"/>
        </w:rPr>
        <w:t>STOR</w:t>
      </w:r>
      <w:r w:rsidR="004B314A" w:rsidRPr="00647CD8">
        <w:rPr>
          <w:lang w:eastAsia="en-GB"/>
        </w:rPr>
        <w:t>, FCDM</w:t>
      </w:r>
      <w:r w:rsidRPr="00647CD8">
        <w:rPr>
          <w:lang w:eastAsia="en-GB"/>
        </w:rPr>
        <w:t xml:space="preserve"> operation tends to be at the peak times for risk of LAQM impacts</w:t>
      </w:r>
    </w:p>
    <w:p w14:paraId="2690028C" w14:textId="34FD99D0" w:rsidR="00C64C3B" w:rsidRPr="00647CD8" w:rsidRDefault="00B105F5" w:rsidP="009B5289">
      <w:pPr>
        <w:rPr>
          <w:lang w:eastAsia="en-GB"/>
        </w:rPr>
      </w:pPr>
      <w:r w:rsidRPr="00647CD8">
        <w:rPr>
          <w:lang w:eastAsia="en-GB"/>
        </w:rPr>
        <w:t>T</w:t>
      </w:r>
      <w:r w:rsidR="00C64C3B" w:rsidRPr="00647CD8">
        <w:rPr>
          <w:lang w:eastAsia="en-GB"/>
        </w:rPr>
        <w:t>here is clearly some justification to want STOR</w:t>
      </w:r>
      <w:r w:rsidR="00C24342" w:rsidRPr="00647CD8">
        <w:rPr>
          <w:lang w:eastAsia="en-GB"/>
        </w:rPr>
        <w:t xml:space="preserve">, </w:t>
      </w:r>
      <w:r w:rsidR="0073737A" w:rsidRPr="00647CD8">
        <w:rPr>
          <w:lang w:eastAsia="en-GB"/>
        </w:rPr>
        <w:t xml:space="preserve">FFR, </w:t>
      </w:r>
      <w:r w:rsidR="00C24342" w:rsidRPr="00647CD8">
        <w:rPr>
          <w:lang w:eastAsia="en-GB"/>
        </w:rPr>
        <w:t>FCDM</w:t>
      </w:r>
      <w:r w:rsidR="00C64C3B" w:rsidRPr="00647CD8">
        <w:rPr>
          <w:lang w:eastAsia="en-GB"/>
        </w:rPr>
        <w:t xml:space="preserve"> or DSR and </w:t>
      </w:r>
      <w:r w:rsidR="003873C5" w:rsidRPr="00647CD8">
        <w:rPr>
          <w:lang w:eastAsia="en-GB"/>
        </w:rPr>
        <w:t xml:space="preserve">then </w:t>
      </w:r>
      <w:r w:rsidR="002E4464" w:rsidRPr="00647CD8">
        <w:rPr>
          <w:lang w:eastAsia="en-GB"/>
        </w:rPr>
        <w:t xml:space="preserve">offer to </w:t>
      </w:r>
      <w:r w:rsidR="00BA1158" w:rsidRPr="00647CD8">
        <w:rPr>
          <w:lang w:eastAsia="en-GB"/>
        </w:rPr>
        <w:t>dis</w:t>
      </w:r>
      <w:r w:rsidR="00C64C3B" w:rsidRPr="00647CD8">
        <w:rPr>
          <w:lang w:eastAsia="en-GB"/>
        </w:rPr>
        <w:t>count these</w:t>
      </w:r>
      <w:r w:rsidR="00BA1158" w:rsidRPr="00647CD8">
        <w:rPr>
          <w:lang w:eastAsia="en-GB"/>
        </w:rPr>
        <w:t xml:space="preserve"> </w:t>
      </w:r>
      <w:r w:rsidR="003873C5" w:rsidRPr="00647CD8">
        <w:rPr>
          <w:lang w:eastAsia="en-GB"/>
        </w:rPr>
        <w:t>hours by not doing the</w:t>
      </w:r>
      <w:r w:rsidR="00C64C3B" w:rsidRPr="00647CD8">
        <w:rPr>
          <w:lang w:eastAsia="en-GB"/>
        </w:rPr>
        <w:t xml:space="preserve"> </w:t>
      </w:r>
      <w:r w:rsidR="00BA1158" w:rsidRPr="00647CD8">
        <w:rPr>
          <w:lang w:eastAsia="en-GB"/>
        </w:rPr>
        <w:t xml:space="preserve">planned </w:t>
      </w:r>
      <w:r w:rsidR="00C64C3B" w:rsidRPr="00647CD8">
        <w:rPr>
          <w:lang w:eastAsia="en-GB"/>
        </w:rPr>
        <w:t xml:space="preserve">maintenance test runs or whole plant tests that would otherwise be carried out. Clearly the difference </w:t>
      </w:r>
      <w:r w:rsidR="00BF40A6" w:rsidRPr="00647CD8">
        <w:rPr>
          <w:lang w:eastAsia="en-GB"/>
        </w:rPr>
        <w:t xml:space="preserve">for STOR </w:t>
      </w:r>
      <w:r w:rsidR="002E4464" w:rsidRPr="00647CD8">
        <w:rPr>
          <w:lang w:eastAsia="en-GB"/>
        </w:rPr>
        <w:t xml:space="preserve">etc </w:t>
      </w:r>
      <w:r w:rsidRPr="00647CD8">
        <w:rPr>
          <w:lang w:eastAsia="en-GB"/>
        </w:rPr>
        <w:t xml:space="preserve">(compared to planned testing) </w:t>
      </w:r>
      <w:r w:rsidR="00BF40A6" w:rsidRPr="00647CD8">
        <w:rPr>
          <w:lang w:eastAsia="en-GB"/>
        </w:rPr>
        <w:t>is not being able to choose</w:t>
      </w:r>
      <w:r w:rsidR="00C64C3B" w:rsidRPr="00647CD8">
        <w:rPr>
          <w:lang w:eastAsia="en-GB"/>
        </w:rPr>
        <w:t xml:space="preserve"> the better air quality window and </w:t>
      </w:r>
      <w:r w:rsidR="005B60A4" w:rsidRPr="00647CD8">
        <w:rPr>
          <w:lang w:eastAsia="en-GB"/>
        </w:rPr>
        <w:t xml:space="preserve">also </w:t>
      </w:r>
      <w:r w:rsidR="00C64C3B" w:rsidRPr="00647CD8">
        <w:rPr>
          <w:lang w:eastAsia="en-GB"/>
        </w:rPr>
        <w:t>minimis</w:t>
      </w:r>
      <w:r w:rsidR="00BF40A6" w:rsidRPr="00647CD8">
        <w:rPr>
          <w:lang w:eastAsia="en-GB"/>
        </w:rPr>
        <w:t>ing the duration</w:t>
      </w:r>
      <w:r w:rsidR="007C3C80" w:rsidRPr="00647CD8">
        <w:rPr>
          <w:lang w:eastAsia="en-GB"/>
        </w:rPr>
        <w:t>s</w:t>
      </w:r>
      <w:r w:rsidR="00C64C3B" w:rsidRPr="00647CD8">
        <w:rPr>
          <w:lang w:eastAsia="en-GB"/>
        </w:rPr>
        <w:t>.</w:t>
      </w:r>
    </w:p>
    <w:p w14:paraId="7DBE796A" w14:textId="000284FA" w:rsidR="004B314A" w:rsidRPr="00647CD8" w:rsidRDefault="004B314A" w:rsidP="00161A9D">
      <w:pPr>
        <w:pStyle w:val="Heading3"/>
        <w:rPr>
          <w:color w:val="auto"/>
        </w:rPr>
      </w:pPr>
      <w:bookmarkStart w:id="25" w:name="_Toc517419556"/>
      <w:r w:rsidRPr="00647CD8">
        <w:rPr>
          <w:color w:val="auto"/>
          <w:lang w:val="en-US"/>
        </w:rPr>
        <w:t>Frequency Control by Demand Management (FCDM)</w:t>
      </w:r>
      <w:r w:rsidR="0073737A" w:rsidRPr="00647CD8">
        <w:rPr>
          <w:color w:val="auto"/>
          <w:lang w:val="en-US"/>
        </w:rPr>
        <w:t xml:space="preserve"> &amp; FFR</w:t>
      </w:r>
      <w:bookmarkEnd w:id="25"/>
    </w:p>
    <w:p w14:paraId="0F44DF6E" w14:textId="67AEE475" w:rsidR="00FB1FE0" w:rsidRPr="00647CD8" w:rsidRDefault="00FB1FE0" w:rsidP="00FB1FE0">
      <w:pPr>
        <w:rPr>
          <w:lang w:val="en-US"/>
        </w:rPr>
      </w:pPr>
      <w:r w:rsidRPr="00647CD8">
        <w:rPr>
          <w:lang w:val="en-US"/>
        </w:rPr>
        <w:t>Frequency Control by Demand Management (FCDM) - a demand side response (DSR) type mode using diesel Rotary</w:t>
      </w:r>
      <w:r w:rsidR="002E4464" w:rsidRPr="00647CD8">
        <w:rPr>
          <w:lang w:val="en-US"/>
        </w:rPr>
        <w:t>-</w:t>
      </w:r>
      <w:r w:rsidRPr="00647CD8">
        <w:rPr>
          <w:lang w:val="en-US"/>
        </w:rPr>
        <w:t>UPS</w:t>
      </w:r>
      <w:r w:rsidR="00023F6C" w:rsidRPr="00647CD8">
        <w:rPr>
          <w:lang w:val="en-US"/>
        </w:rPr>
        <w:t xml:space="preserve"> or generators</w:t>
      </w:r>
      <w:r w:rsidRPr="00647CD8">
        <w:rPr>
          <w:lang w:val="en-US"/>
        </w:rPr>
        <w:t xml:space="preserve">. The DRUPs </w:t>
      </w:r>
      <w:r w:rsidR="0073737A" w:rsidRPr="00647CD8">
        <w:rPr>
          <w:lang w:val="en-US"/>
        </w:rPr>
        <w:t xml:space="preserve">or generators </w:t>
      </w:r>
      <w:r w:rsidRPr="00647CD8">
        <w:rPr>
          <w:lang w:val="en-US"/>
        </w:rPr>
        <w:t>operate automatically for a short time (</w:t>
      </w:r>
      <w:r w:rsidR="002E4464" w:rsidRPr="00647CD8">
        <w:rPr>
          <w:lang w:val="en-US"/>
        </w:rPr>
        <w:t xml:space="preserve">perhaps </w:t>
      </w:r>
      <w:r w:rsidRPr="00647CD8">
        <w:rPr>
          <w:lang w:val="en-US"/>
        </w:rPr>
        <w:t>10 minutes</w:t>
      </w:r>
      <w:r w:rsidR="00C24342" w:rsidRPr="00647CD8">
        <w:rPr>
          <w:lang w:val="en-US"/>
        </w:rPr>
        <w:t xml:space="preserve"> – but </w:t>
      </w:r>
      <w:r w:rsidR="00023F6C" w:rsidRPr="00647CD8">
        <w:rPr>
          <w:lang w:val="en-US"/>
        </w:rPr>
        <w:t xml:space="preserve">durations are </w:t>
      </w:r>
      <w:r w:rsidR="00C24342" w:rsidRPr="00647CD8">
        <w:rPr>
          <w:lang w:val="en-US"/>
        </w:rPr>
        <w:t>subject to justification within the permitting process</w:t>
      </w:r>
      <w:r w:rsidRPr="00647CD8">
        <w:rPr>
          <w:lang w:val="en-US"/>
        </w:rPr>
        <w:t xml:space="preserve">) when there is a dip/deviation in grid frequency; this occurs depending on the grid provision to the site but may be about 6 to 12 times a year. A question arises regarding options, if requested </w:t>
      </w:r>
      <w:r w:rsidR="00023F6C" w:rsidRPr="00647CD8">
        <w:rPr>
          <w:lang w:val="en-US"/>
        </w:rPr>
        <w:t xml:space="preserve">under contract </w:t>
      </w:r>
      <w:r w:rsidRPr="00647CD8">
        <w:rPr>
          <w:lang w:val="en-US"/>
        </w:rPr>
        <w:t>by the UKPowernetworks, to provide an additional running time (perhaps another 20 minutes or more) in such events to ease the local grid loads</w:t>
      </w:r>
      <w:r w:rsidR="005651C9" w:rsidRPr="00647CD8">
        <w:rPr>
          <w:lang w:val="en-US"/>
        </w:rPr>
        <w:t xml:space="preserve">. </w:t>
      </w:r>
      <w:r w:rsidR="004B314A" w:rsidRPr="00647CD8">
        <w:rPr>
          <w:lang w:val="en-US"/>
        </w:rPr>
        <w:t>This mode may cause difficulties in justifying an emergency role 1.1A permit:-</w:t>
      </w:r>
    </w:p>
    <w:p w14:paraId="603C459E" w14:textId="77777777" w:rsidR="004B314A" w:rsidRPr="00647CD8" w:rsidRDefault="00FB1FE0" w:rsidP="00CB57C9">
      <w:pPr>
        <w:pStyle w:val="ListParagraph"/>
        <w:numPr>
          <w:ilvl w:val="0"/>
          <w:numId w:val="16"/>
        </w:numPr>
        <w:spacing w:after="0" w:line="240" w:lineRule="auto"/>
        <w:contextualSpacing w:val="0"/>
      </w:pPr>
      <w:r w:rsidRPr="00647CD8">
        <w:t>We expect that Data Centre BAT is to do everything to reduce emissions and impacts (maintenance, tests, stacks, grid reliability, action plan, engine standards</w:t>
      </w:r>
      <w:r w:rsidR="005651C9" w:rsidRPr="00647CD8">
        <w:t>, DRUPS frequency response run times</w:t>
      </w:r>
      <w:r w:rsidRPr="00647CD8">
        <w:t xml:space="preserve"> etc) especially give</w:t>
      </w:r>
      <w:r w:rsidR="002E4464" w:rsidRPr="00647CD8">
        <w:t>n</w:t>
      </w:r>
      <w:r w:rsidRPr="00647CD8">
        <w:t xml:space="preserve"> the &gt;50MWth size and NOx mass emission rates. So unnecessarily running more than needed </w:t>
      </w:r>
      <w:r w:rsidR="005651C9" w:rsidRPr="00647CD8">
        <w:t xml:space="preserve">for Data Centre reliability </w:t>
      </w:r>
      <w:r w:rsidR="00C24342" w:rsidRPr="00647CD8">
        <w:t xml:space="preserve">testing </w:t>
      </w:r>
      <w:r w:rsidR="002E4464" w:rsidRPr="00647CD8">
        <w:t>is not BAT nor an emergency.</w:t>
      </w:r>
    </w:p>
    <w:p w14:paraId="0347A342" w14:textId="77777777" w:rsidR="004B314A" w:rsidRPr="00647CD8" w:rsidRDefault="004B314A" w:rsidP="00CB57C9">
      <w:pPr>
        <w:pStyle w:val="ListParagraph"/>
        <w:numPr>
          <w:ilvl w:val="0"/>
          <w:numId w:val="16"/>
        </w:numPr>
        <w:spacing w:after="0" w:line="240" w:lineRule="auto"/>
        <w:contextualSpacing w:val="0"/>
      </w:pPr>
      <w:r w:rsidRPr="00647CD8">
        <w:t xml:space="preserve">Negating a planned test to compensation (i.e. within the same month) does not match well to planning and controllability to avoid the worst time of day of the original event. One could argue the EA could then look to putting permit conditions to fix the total of your annual test hours knowing </w:t>
      </w:r>
      <w:r w:rsidR="00C24342" w:rsidRPr="00647CD8">
        <w:t>the site is</w:t>
      </w:r>
      <w:r w:rsidRPr="00647CD8">
        <w:t xml:space="preserve"> in an FCDM scheme (e.g. for each FCDM choice, a month’s testing should stop, even if customers are expecting it)</w:t>
      </w:r>
    </w:p>
    <w:p w14:paraId="6E4EBAD2" w14:textId="77777777" w:rsidR="00FB1FE0" w:rsidRPr="00647CD8" w:rsidRDefault="00FB1FE0" w:rsidP="00CB57C9">
      <w:pPr>
        <w:pStyle w:val="ListParagraph"/>
        <w:numPr>
          <w:ilvl w:val="0"/>
          <w:numId w:val="16"/>
        </w:numPr>
        <w:spacing w:after="0" w:line="240" w:lineRule="auto"/>
        <w:contextualSpacing w:val="0"/>
      </w:pPr>
      <w:r w:rsidRPr="00647CD8">
        <w:lastRenderedPageBreak/>
        <w:t>Broadly DEFRA is considering proposals that diesel arrays, especially those not meeting an engine emission standard, aren’t the right thing for anything other than genuine backup i.e. looking like fuel oil diesel arrays may not be BAT even for</w:t>
      </w:r>
      <w:r w:rsidR="002E4464" w:rsidRPr="00647CD8">
        <w:t xml:space="preserve"> STOR (or a DSR equivalent) too.</w:t>
      </w:r>
    </w:p>
    <w:p w14:paraId="5D61EBB2" w14:textId="77777777" w:rsidR="004B314A" w:rsidRPr="00647CD8" w:rsidRDefault="004B314A" w:rsidP="00CB57C9">
      <w:pPr>
        <w:pStyle w:val="ListParagraph"/>
        <w:numPr>
          <w:ilvl w:val="0"/>
          <w:numId w:val="16"/>
        </w:numPr>
        <w:spacing w:after="0" w:line="240" w:lineRule="auto"/>
        <w:contextualSpacing w:val="0"/>
      </w:pPr>
      <w:r w:rsidRPr="00647CD8">
        <w:rPr>
          <w:b/>
        </w:rPr>
        <w:t>A risk is that elective FCDM now looks more like an equivalent unplanned full load grid outage scenario which the EA accept</w:t>
      </w:r>
      <w:r w:rsidR="00C24342" w:rsidRPr="00647CD8">
        <w:rPr>
          <w:b/>
        </w:rPr>
        <w:t>ed</w:t>
      </w:r>
      <w:r w:rsidRPr="00647CD8">
        <w:rPr>
          <w:b/>
        </w:rPr>
        <w:t xml:space="preserve"> as being very unlikely and infrequent</w:t>
      </w:r>
      <w:r w:rsidR="00C24342" w:rsidRPr="00647CD8">
        <w:rPr>
          <w:b/>
        </w:rPr>
        <w:t xml:space="preserve"> (which</w:t>
      </w:r>
      <w:r w:rsidR="002E4464" w:rsidRPr="00647CD8">
        <w:rPr>
          <w:b/>
        </w:rPr>
        <w:t xml:space="preserve"> </w:t>
      </w:r>
      <w:r w:rsidR="00884905" w:rsidRPr="00647CD8">
        <w:rPr>
          <w:b/>
        </w:rPr>
        <w:t xml:space="preserve">the permit application </w:t>
      </w:r>
      <w:r w:rsidR="002E4464" w:rsidRPr="00647CD8">
        <w:rPr>
          <w:b/>
        </w:rPr>
        <w:t>provide</w:t>
      </w:r>
      <w:r w:rsidR="00884905" w:rsidRPr="00647CD8">
        <w:rPr>
          <w:b/>
        </w:rPr>
        <w:t>d</w:t>
      </w:r>
      <w:r w:rsidR="002E4464" w:rsidRPr="00647CD8">
        <w:rPr>
          <w:b/>
        </w:rPr>
        <w:t xml:space="preserve"> evidence for</w:t>
      </w:r>
      <w:r w:rsidR="00C24342" w:rsidRPr="00647CD8">
        <w:rPr>
          <w:b/>
        </w:rPr>
        <w:t>)</w:t>
      </w:r>
      <w:r w:rsidRPr="00647CD8">
        <w:t xml:space="preserve">. </w:t>
      </w:r>
      <w:r w:rsidR="00C24342" w:rsidRPr="00647CD8">
        <w:t xml:space="preserve">{e.g. single 15minute outage in 5 years but minor frequency dips looks ok; but operating </w:t>
      </w:r>
      <w:r w:rsidR="00F86D92" w:rsidRPr="00647CD8">
        <w:t xml:space="preserve">such that </w:t>
      </w:r>
      <w:r w:rsidR="00C24342" w:rsidRPr="00647CD8">
        <w:t xml:space="preserve">12 minor frequency dips are </w:t>
      </w:r>
      <w:r w:rsidR="00F86D92" w:rsidRPr="00647CD8">
        <w:t xml:space="preserve">electively each </w:t>
      </w:r>
      <w:r w:rsidR="00C24342" w:rsidRPr="00647CD8">
        <w:t>extended to over twice as long as the single longest emergency outage doesn’t look so good}</w:t>
      </w:r>
    </w:p>
    <w:p w14:paraId="109C01AE" w14:textId="77777777" w:rsidR="004B314A" w:rsidRPr="00647CD8" w:rsidRDefault="004B314A" w:rsidP="00CB57C9">
      <w:pPr>
        <w:pStyle w:val="ListParagraph"/>
        <w:numPr>
          <w:ilvl w:val="0"/>
          <w:numId w:val="16"/>
        </w:numPr>
        <w:spacing w:after="0" w:line="240" w:lineRule="auto"/>
        <w:contextualSpacing w:val="0"/>
      </w:pPr>
      <w:r w:rsidRPr="00647CD8">
        <w:t xml:space="preserve">Possibly each extra extension (at site load even though less than 1 hour) could push an average hourly exceedance that wouldn’t otherwise be an issue (because the peak is so high even for a shorter than 1 hour duration). There is a concern about how many FCDM events and how long they can be under BAT, do we start thinking </w:t>
      </w:r>
      <w:r w:rsidR="00F86D92" w:rsidRPr="00647CD8">
        <w:t>about a mass emission limit?</w:t>
      </w:r>
    </w:p>
    <w:p w14:paraId="4BF926E8" w14:textId="77777777" w:rsidR="004B314A" w:rsidRPr="00647CD8" w:rsidRDefault="004B314A" w:rsidP="00CB57C9">
      <w:pPr>
        <w:pStyle w:val="ListParagraph"/>
        <w:numPr>
          <w:ilvl w:val="0"/>
          <w:numId w:val="16"/>
        </w:numPr>
        <w:spacing w:after="0" w:line="240" w:lineRule="auto"/>
        <w:contextualSpacing w:val="0"/>
      </w:pPr>
      <w:r w:rsidRPr="00647CD8">
        <w:t xml:space="preserve">If you were likely to have 18 (possibly minus the local number already predicted because it’s in a local AQ zone) FCDM events in the year and there was a reasonable chance each would cause an additional breach of hourly mean AQ because you’ve run longer than necessary </w:t>
      </w:r>
      <w:r w:rsidR="00F30EFA" w:rsidRPr="00647CD8">
        <w:t>then</w:t>
      </w:r>
      <w:r w:rsidRPr="00647CD8">
        <w:t xml:space="preserve"> the EA could legally </w:t>
      </w:r>
      <w:r w:rsidR="00B84890" w:rsidRPr="00647CD8">
        <w:t xml:space="preserve">not </w:t>
      </w:r>
      <w:r w:rsidRPr="00647CD8">
        <w:t>grant the permit.</w:t>
      </w:r>
    </w:p>
    <w:p w14:paraId="3056830D" w14:textId="10CD0497" w:rsidR="004B314A" w:rsidRPr="00647CD8" w:rsidRDefault="004B314A" w:rsidP="00CB57C9">
      <w:pPr>
        <w:pStyle w:val="ListParagraph"/>
        <w:numPr>
          <w:ilvl w:val="0"/>
          <w:numId w:val="16"/>
        </w:numPr>
        <w:spacing w:after="0" w:line="240" w:lineRule="auto"/>
        <w:contextualSpacing w:val="0"/>
      </w:pPr>
      <w:r w:rsidRPr="00647CD8">
        <w:t xml:space="preserve">Looking more like a </w:t>
      </w:r>
      <w:r w:rsidR="005D371B" w:rsidRPr="00647CD8">
        <w:t>‘</w:t>
      </w:r>
      <w:r w:rsidRPr="00647CD8">
        <w:t>dirty diesel</w:t>
      </w:r>
      <w:r w:rsidR="005D371B" w:rsidRPr="00647CD8">
        <w:t>’</w:t>
      </w:r>
      <w:r w:rsidRPr="00647CD8">
        <w:t xml:space="preserve"> array, one needs to consider that local planning for these would not be to locate them in central </w:t>
      </w:r>
      <w:r w:rsidR="00F86D92" w:rsidRPr="00647CD8">
        <w:t>urban area</w:t>
      </w:r>
      <w:r w:rsidRPr="00647CD8">
        <w:t xml:space="preserve"> or LAQMZ within already AQ focused concerns now. </w:t>
      </w:r>
      <w:r w:rsidR="00F30EFA" w:rsidRPr="00647CD8">
        <w:t>The EA</w:t>
      </w:r>
      <w:r w:rsidRPr="00647CD8">
        <w:t xml:space="preserve"> do</w:t>
      </w:r>
      <w:r w:rsidR="00F30EFA" w:rsidRPr="00647CD8">
        <w:t>es</w:t>
      </w:r>
      <w:r w:rsidRPr="00647CD8">
        <w:t>n’t want data centres to be a backdoor to diesel arrays or STOR</w:t>
      </w:r>
      <w:r w:rsidR="0063474D" w:rsidRPr="00647CD8">
        <w:t xml:space="preserve"> as MCPD specified generators</w:t>
      </w:r>
      <w:r w:rsidRPr="00647CD8">
        <w:t>.</w:t>
      </w:r>
    </w:p>
    <w:p w14:paraId="01EE4B5D" w14:textId="77777777" w:rsidR="004B314A" w:rsidRPr="00647CD8" w:rsidRDefault="004B314A" w:rsidP="00CB57C9">
      <w:pPr>
        <w:pStyle w:val="ListParagraph"/>
        <w:numPr>
          <w:ilvl w:val="0"/>
          <w:numId w:val="16"/>
        </w:numPr>
        <w:spacing w:after="0" w:line="240" w:lineRule="auto"/>
        <w:contextualSpacing w:val="0"/>
      </w:pPr>
      <w:r w:rsidRPr="00647CD8">
        <w:t>There would be likely separate BAT for diesel arrays (engine spec, stacks) in a STOR/DSR mode under MCPD/DEFRA – thus the EA might look more closely at the spec of current generator plant already installed and expect an accelerated upgrade programme i.e</w:t>
      </w:r>
      <w:r w:rsidR="005D371B" w:rsidRPr="00647CD8">
        <w:t>.</w:t>
      </w:r>
      <w:r w:rsidRPr="00647CD8">
        <w:t xml:space="preserve"> the FCDM mode is less like an emergency 500 hour permit.</w:t>
      </w:r>
    </w:p>
    <w:p w14:paraId="2435C15D" w14:textId="4E302127" w:rsidR="0063474D" w:rsidRPr="00647CD8" w:rsidRDefault="0063474D" w:rsidP="00CB57C9">
      <w:pPr>
        <w:pStyle w:val="ListParagraph"/>
        <w:numPr>
          <w:ilvl w:val="0"/>
          <w:numId w:val="16"/>
        </w:numPr>
        <w:spacing w:after="0" w:line="240" w:lineRule="auto"/>
        <w:contextualSpacing w:val="0"/>
      </w:pPr>
      <w:r w:rsidRPr="00647CD8">
        <w:t xml:space="preserve">BAT for specified generators to meet the MCPD </w:t>
      </w:r>
      <w:r w:rsidR="007D4A86" w:rsidRPr="00647CD8">
        <w:t>NOx E</w:t>
      </w:r>
      <w:r w:rsidRPr="00647CD8">
        <w:t>LV is to install SCR.</w:t>
      </w:r>
    </w:p>
    <w:p w14:paraId="09CC20C9" w14:textId="77126A66" w:rsidR="0063474D" w:rsidRPr="00647CD8" w:rsidRDefault="0063474D" w:rsidP="00CB57C9">
      <w:pPr>
        <w:pStyle w:val="ListParagraph"/>
        <w:numPr>
          <w:ilvl w:val="0"/>
          <w:numId w:val="16"/>
        </w:numPr>
        <w:spacing w:after="0" w:line="240" w:lineRule="auto"/>
        <w:contextualSpacing w:val="0"/>
      </w:pPr>
      <w:r w:rsidRPr="00647CD8">
        <w:t>Monitoring of emission in these modes may be expected.</w:t>
      </w:r>
    </w:p>
    <w:p w14:paraId="2DCDE6C2" w14:textId="77777777" w:rsidR="004B314A" w:rsidRPr="00647CD8" w:rsidRDefault="004B314A" w:rsidP="004B314A">
      <w:pPr>
        <w:pStyle w:val="ListParagraph"/>
        <w:spacing w:after="0" w:line="240" w:lineRule="auto"/>
        <w:contextualSpacing w:val="0"/>
      </w:pPr>
    </w:p>
    <w:p w14:paraId="4F1A6E41" w14:textId="2774C5B6" w:rsidR="00FB1FE0" w:rsidRPr="00647CD8" w:rsidRDefault="005651C9" w:rsidP="00FB1FE0">
      <w:pPr>
        <w:rPr>
          <w:lang w:eastAsia="en-GB"/>
        </w:rPr>
      </w:pPr>
      <w:r w:rsidRPr="00647CD8">
        <w:rPr>
          <w:b/>
          <w:lang w:val="en-US"/>
        </w:rPr>
        <w:t>We</w:t>
      </w:r>
      <w:r w:rsidR="00FB1FE0" w:rsidRPr="00647CD8">
        <w:rPr>
          <w:b/>
          <w:lang w:val="en-US"/>
        </w:rPr>
        <w:t xml:space="preserve"> would advise that it is very unlikely </w:t>
      </w:r>
      <w:r w:rsidRPr="00647CD8">
        <w:rPr>
          <w:b/>
          <w:lang w:val="en-US"/>
        </w:rPr>
        <w:t>operators c</w:t>
      </w:r>
      <w:r w:rsidR="00FB1FE0" w:rsidRPr="00647CD8">
        <w:rPr>
          <w:b/>
          <w:lang w:val="en-US"/>
        </w:rPr>
        <w:t xml:space="preserve">ould provide sufficient Impacts and BAT justification for FCDM and would be extremely difficult to extend more than the data centre operational </w:t>
      </w:r>
      <w:r w:rsidRPr="00647CD8">
        <w:rPr>
          <w:b/>
          <w:lang w:val="en-US"/>
        </w:rPr>
        <w:t>requirements for</w:t>
      </w:r>
      <w:r w:rsidR="00FB1FE0" w:rsidRPr="00647CD8">
        <w:rPr>
          <w:b/>
          <w:lang w:val="en-US"/>
        </w:rPr>
        <w:t xml:space="preserve"> DRUPs</w:t>
      </w:r>
      <w:r w:rsidR="007D4A86" w:rsidRPr="00647CD8">
        <w:rPr>
          <w:b/>
          <w:lang w:val="en-US"/>
        </w:rPr>
        <w:t xml:space="preserve"> or specified generators</w:t>
      </w:r>
      <w:r w:rsidR="00FB1FE0" w:rsidRPr="00647CD8">
        <w:rPr>
          <w:b/>
          <w:lang w:val="en-US"/>
        </w:rPr>
        <w:t>.</w:t>
      </w:r>
      <w:r w:rsidR="00CB57C9" w:rsidRPr="00647CD8">
        <w:rPr>
          <w:b/>
          <w:lang w:val="en-US"/>
        </w:rPr>
        <w:t xml:space="preserve"> However</w:t>
      </w:r>
    </w:p>
    <w:p w14:paraId="440492EC" w14:textId="45D1AA36" w:rsidR="00CB57C9" w:rsidRPr="00647CD8" w:rsidRDefault="00CB57C9" w:rsidP="00CB57C9">
      <w:pPr>
        <w:pStyle w:val="ListParagraph"/>
        <w:numPr>
          <w:ilvl w:val="0"/>
          <w:numId w:val="18"/>
        </w:numPr>
        <w:spacing w:after="0" w:line="240" w:lineRule="auto"/>
      </w:pPr>
      <w:r w:rsidRPr="00647CD8">
        <w:t xml:space="preserve">The operator can ask for an additional FCDM </w:t>
      </w:r>
      <w:r w:rsidR="007D4A86" w:rsidRPr="00647CD8">
        <w:t xml:space="preserve">or specified generator role </w:t>
      </w:r>
      <w:r w:rsidRPr="00647CD8">
        <w:t>but the application would need to be very clear about the justifications and mitigations. You would definitely need to model the emissions on top for a) plan</w:t>
      </w:r>
      <w:r w:rsidR="002E4464" w:rsidRPr="00647CD8">
        <w:t>ned</w:t>
      </w:r>
      <w:r w:rsidRPr="00647CD8">
        <w:t xml:space="preserve"> maintenance testing and b) outage scenarios to demo</w:t>
      </w:r>
      <w:r w:rsidR="00F30EFA" w:rsidRPr="00647CD8">
        <w:t>n</w:t>
      </w:r>
      <w:r w:rsidRPr="00647CD8">
        <w:t>strate few ‘planned’ and unlikely AQ breaches.</w:t>
      </w:r>
    </w:p>
    <w:p w14:paraId="7E85435E" w14:textId="77777777" w:rsidR="00FB1FE0" w:rsidRPr="00647CD8" w:rsidRDefault="00CB57C9" w:rsidP="00CB57C9">
      <w:pPr>
        <w:pStyle w:val="ListParagraph"/>
        <w:numPr>
          <w:ilvl w:val="0"/>
          <w:numId w:val="18"/>
        </w:numPr>
        <w:spacing w:after="0" w:line="240" w:lineRule="auto"/>
      </w:pPr>
      <w:r w:rsidRPr="00647CD8">
        <w:t xml:space="preserve">The EA can imagine the operator justifying a contract up to </w:t>
      </w:r>
      <w:r w:rsidR="00AD1D51" w:rsidRPr="00647CD8">
        <w:t>a definite limit of ‘</w:t>
      </w:r>
      <w:r w:rsidR="005D371B" w:rsidRPr="00647CD8">
        <w:t>m</w:t>
      </w:r>
      <w:r w:rsidR="00AD1D51" w:rsidRPr="00647CD8">
        <w:t>’</w:t>
      </w:r>
      <w:r w:rsidRPr="00647CD8">
        <w:t xml:space="preserve"> such FCDM support events </w:t>
      </w:r>
      <w:r w:rsidR="00AD1D51" w:rsidRPr="00647CD8">
        <w:t xml:space="preserve">with an individual maximum duration ‘t’ and total duration ‘T’ </w:t>
      </w:r>
      <w:r w:rsidR="00F86D92" w:rsidRPr="00647CD8">
        <w:t xml:space="preserve">of all </w:t>
      </w:r>
      <w:r w:rsidR="00AD1D51" w:rsidRPr="00647CD8">
        <w:t>BUT with a qualification and</w:t>
      </w:r>
      <w:r w:rsidRPr="00647CD8">
        <w:t xml:space="preserve"> use </w:t>
      </w:r>
      <w:r w:rsidR="00AD1D51" w:rsidRPr="00647CD8">
        <w:t xml:space="preserve">of </w:t>
      </w:r>
      <w:r w:rsidRPr="00647CD8">
        <w:t>t</w:t>
      </w:r>
      <w:r w:rsidR="00AD1D51" w:rsidRPr="00647CD8">
        <w:t xml:space="preserve">he main conclusions </w:t>
      </w:r>
      <w:r w:rsidRPr="00647CD8">
        <w:t xml:space="preserve">from an emergency outage AQMP to assess if any particular FCDM can be accepted </w:t>
      </w:r>
      <w:r w:rsidRPr="00647CD8">
        <w:rPr>
          <w:u w:val="single"/>
        </w:rPr>
        <w:t>and for how long</w:t>
      </w:r>
      <w:r w:rsidRPr="00647CD8">
        <w:t xml:space="preserve"> – thereby refusing to extend a brown out because AQ was at too much risk. The permit might then limit to </w:t>
      </w:r>
      <w:r w:rsidR="005D371B" w:rsidRPr="00647CD8">
        <w:t>m</w:t>
      </w:r>
      <w:r w:rsidR="00AD1D51" w:rsidRPr="00647CD8">
        <w:t>, t and T;</w:t>
      </w:r>
      <w:r w:rsidRPr="00647CD8">
        <w:t xml:space="preserve"> and need you to document</w:t>
      </w:r>
      <w:r w:rsidR="00AD1D51" w:rsidRPr="00647CD8">
        <w:t>/report</w:t>
      </w:r>
      <w:r w:rsidRPr="00647CD8">
        <w:t xml:space="preserve"> them to us to </w:t>
      </w:r>
      <w:r w:rsidR="00AD1D51" w:rsidRPr="00647CD8">
        <w:t>audit</w:t>
      </w:r>
      <w:r w:rsidRPr="00647CD8">
        <w:t>.</w:t>
      </w:r>
    </w:p>
    <w:p w14:paraId="597672F8" w14:textId="77777777" w:rsidR="00441067" w:rsidRPr="00647CD8" w:rsidRDefault="00995AA0" w:rsidP="00575C9A">
      <w:pPr>
        <w:pStyle w:val="Heading2"/>
        <w:rPr>
          <w:color w:val="auto"/>
        </w:rPr>
      </w:pPr>
      <w:bookmarkStart w:id="26" w:name="_Toc517419557"/>
      <w:r w:rsidRPr="00647CD8">
        <w:rPr>
          <w:color w:val="auto"/>
        </w:rPr>
        <w:t xml:space="preserve">Management </w:t>
      </w:r>
      <w:r w:rsidR="00441067" w:rsidRPr="00647CD8">
        <w:rPr>
          <w:color w:val="auto"/>
        </w:rPr>
        <w:t>Standards 9001, 14001</w:t>
      </w:r>
      <w:r w:rsidR="00D84D8F" w:rsidRPr="00647CD8">
        <w:rPr>
          <w:color w:val="auto"/>
        </w:rPr>
        <w:t>,</w:t>
      </w:r>
      <w:r w:rsidR="00441067" w:rsidRPr="00647CD8">
        <w:rPr>
          <w:color w:val="auto"/>
        </w:rPr>
        <w:t xml:space="preserve"> 18001</w:t>
      </w:r>
      <w:r w:rsidR="00D84D8F" w:rsidRPr="00647CD8">
        <w:rPr>
          <w:color w:val="auto"/>
        </w:rPr>
        <w:t xml:space="preserve"> and 27001</w:t>
      </w:r>
      <w:r w:rsidR="00441067" w:rsidRPr="00647CD8">
        <w:rPr>
          <w:color w:val="auto"/>
        </w:rPr>
        <w:t xml:space="preserve"> etc</w:t>
      </w:r>
      <w:bookmarkEnd w:id="26"/>
    </w:p>
    <w:p w14:paraId="30257DD2" w14:textId="77777777" w:rsidR="00AC2D7B" w:rsidRPr="00647CD8" w:rsidRDefault="00AC2D7B" w:rsidP="00AC2D7B">
      <w:pPr>
        <w:rPr>
          <w:lang w:eastAsia="en-GB"/>
        </w:rPr>
      </w:pPr>
      <w:r w:rsidRPr="00647CD8">
        <w:rPr>
          <w:lang w:eastAsia="en-GB"/>
        </w:rPr>
        <w:t xml:space="preserve">The EA expects the site’s management system to embrace aspects of environmental impacts this would include the non-combustion related requirements for the protection of </w:t>
      </w:r>
      <w:r w:rsidR="00BA1158" w:rsidRPr="00647CD8">
        <w:rPr>
          <w:lang w:eastAsia="en-GB"/>
        </w:rPr>
        <w:t>groundwater</w:t>
      </w:r>
      <w:r w:rsidRPr="00647CD8">
        <w:rPr>
          <w:lang w:eastAsia="en-GB"/>
        </w:rPr>
        <w:t xml:space="preserve"> (i.e. fuel oil storage regulations), noise, dust and odour.</w:t>
      </w:r>
    </w:p>
    <w:p w14:paraId="2958A015" w14:textId="77777777" w:rsidR="009F182B" w:rsidRPr="00647CD8" w:rsidRDefault="00D84D8F" w:rsidP="00BC612E">
      <w:pPr>
        <w:rPr>
          <w:lang w:eastAsia="en-GB"/>
        </w:rPr>
      </w:pPr>
      <w:r w:rsidRPr="00647CD8">
        <w:rPr>
          <w:lang w:eastAsia="en-GB"/>
        </w:rPr>
        <w:t>Standards like ISO27001:2003 IT Security techniques; TIA-568 Telecommunication industry Association Commercial Building Wiring and TIA-942 for Data Centres (w</w:t>
      </w:r>
      <w:r w:rsidR="00F9398E" w:rsidRPr="00647CD8">
        <w:rPr>
          <w:lang w:eastAsia="en-GB"/>
        </w:rPr>
        <w:t xml:space="preserve">hich defines Tier reliability) </w:t>
      </w:r>
      <w:r w:rsidRPr="00647CD8">
        <w:rPr>
          <w:lang w:eastAsia="en-GB"/>
        </w:rPr>
        <w:t>are a</w:t>
      </w:r>
      <w:r w:rsidR="00F9398E" w:rsidRPr="00647CD8">
        <w:rPr>
          <w:lang w:eastAsia="en-GB"/>
        </w:rPr>
        <w:t xml:space="preserve">pt for the data centre industry. These should form </w:t>
      </w:r>
      <w:r w:rsidR="005B60A4" w:rsidRPr="00647CD8">
        <w:rPr>
          <w:lang w:eastAsia="en-GB"/>
        </w:rPr>
        <w:t xml:space="preserve">a </w:t>
      </w:r>
      <w:r w:rsidR="00F9398E" w:rsidRPr="00647CD8">
        <w:rPr>
          <w:lang w:eastAsia="en-GB"/>
        </w:rPr>
        <w:t xml:space="preserve">BAT justifications for minimising </w:t>
      </w:r>
      <w:r w:rsidR="00945290" w:rsidRPr="00647CD8">
        <w:rPr>
          <w:lang w:eastAsia="en-GB"/>
        </w:rPr>
        <w:t xml:space="preserve">generator </w:t>
      </w:r>
      <w:r w:rsidR="00F9398E" w:rsidRPr="00647CD8">
        <w:rPr>
          <w:lang w:eastAsia="en-GB"/>
        </w:rPr>
        <w:t>operations due to grid reliability.</w:t>
      </w:r>
      <w:r w:rsidR="00BC612E" w:rsidRPr="00647CD8">
        <w:rPr>
          <w:lang w:eastAsia="en-GB"/>
        </w:rPr>
        <w:t xml:space="preserve"> </w:t>
      </w:r>
    </w:p>
    <w:p w14:paraId="48020159" w14:textId="77777777" w:rsidR="00BC612E" w:rsidRPr="00647CD8" w:rsidRDefault="00BC612E" w:rsidP="00BC612E">
      <w:pPr>
        <w:pStyle w:val="Heading2"/>
        <w:rPr>
          <w:color w:val="auto"/>
        </w:rPr>
      </w:pPr>
      <w:bookmarkStart w:id="27" w:name="_Toc517419558"/>
      <w:r w:rsidRPr="00647CD8">
        <w:rPr>
          <w:color w:val="auto"/>
        </w:rPr>
        <w:t>Engine Emission Standards</w:t>
      </w:r>
      <w:bookmarkEnd w:id="27"/>
    </w:p>
    <w:p w14:paraId="0FFA8442" w14:textId="77777777" w:rsidR="00513980" w:rsidRPr="00647CD8" w:rsidRDefault="00513980" w:rsidP="00513980">
      <w:pPr>
        <w:rPr>
          <w:lang w:eastAsia="en-GB"/>
        </w:rPr>
      </w:pPr>
    </w:p>
    <w:p w14:paraId="18B0920C" w14:textId="77777777" w:rsidR="00513980" w:rsidRPr="00647CD8" w:rsidRDefault="00513980" w:rsidP="00513980">
      <w:pPr>
        <w:rPr>
          <w:lang w:eastAsia="en-GB"/>
        </w:rPr>
      </w:pPr>
      <w:r w:rsidRPr="00647CD8">
        <w:rPr>
          <w:lang w:eastAsia="en-GB"/>
        </w:rPr>
        <w:lastRenderedPageBreak/>
        <w:t xml:space="preserve">It is generally accepted that the BAT for data centre back-up generation is </w:t>
      </w:r>
      <w:r w:rsidR="00F86D92" w:rsidRPr="00647CD8">
        <w:rPr>
          <w:lang w:eastAsia="en-GB"/>
        </w:rPr>
        <w:t xml:space="preserve">presently </w:t>
      </w:r>
      <w:r w:rsidRPr="00647CD8">
        <w:rPr>
          <w:lang w:eastAsia="en-GB"/>
        </w:rPr>
        <w:t>a set of diesel generators – this allows for a</w:t>
      </w:r>
      <w:r w:rsidR="004F5776" w:rsidRPr="00647CD8">
        <w:rPr>
          <w:lang w:eastAsia="en-GB"/>
        </w:rPr>
        <w:t>n</w:t>
      </w:r>
      <w:r w:rsidRPr="00647CD8">
        <w:rPr>
          <w:lang w:eastAsia="en-GB"/>
        </w:rPr>
        <w:t xml:space="preserve"> on-site store of fuel for reliability and a scalable provision of MWelec. However the permit application still requires a BAT discussion detailing the choice of engine, the particular configuration and plant sizing meeting the standby arrangement (e.g. 2n)</w:t>
      </w:r>
      <w:r w:rsidR="004F5776" w:rsidRPr="00647CD8">
        <w:rPr>
          <w:lang w:eastAsia="en-GB"/>
        </w:rPr>
        <w:t>.</w:t>
      </w:r>
    </w:p>
    <w:p w14:paraId="48DFA76E" w14:textId="77777777" w:rsidR="00BC612E" w:rsidRPr="00647CD8" w:rsidRDefault="00BC612E" w:rsidP="00BC612E">
      <w:pPr>
        <w:rPr>
          <w:lang w:eastAsia="en-GB"/>
        </w:rPr>
      </w:pPr>
      <w:r w:rsidRPr="00647CD8">
        <w:rPr>
          <w:lang w:eastAsia="en-GB"/>
        </w:rPr>
        <w:t>The EA would expect that combustion plant for new Data Centres generators would be to the latest emission standards for standby plant</w:t>
      </w:r>
      <w:r w:rsidR="00B105F5" w:rsidRPr="00647CD8">
        <w:rPr>
          <w:lang w:eastAsia="en-GB"/>
        </w:rPr>
        <w:t xml:space="preserve"> unless otherwise justified under BAT</w:t>
      </w:r>
      <w:r w:rsidRPr="00647CD8">
        <w:rPr>
          <w:lang w:eastAsia="en-GB"/>
        </w:rPr>
        <w:t>. The minimum appropriate is the ‘TA-Luft 2g’ or Tier II USEPA with guaranteed emissions: this has requirements for 2000mg/m</w:t>
      </w:r>
      <w:r w:rsidRPr="00647CD8">
        <w:rPr>
          <w:vertAlign w:val="superscript"/>
          <w:lang w:eastAsia="en-GB"/>
        </w:rPr>
        <w:t>3</w:t>
      </w:r>
      <w:r w:rsidRPr="00647CD8">
        <w:rPr>
          <w:lang w:eastAsia="en-GB"/>
        </w:rPr>
        <w:t xml:space="preserve"> NOx; 650 mg/m</w:t>
      </w:r>
      <w:r w:rsidRPr="00647CD8">
        <w:rPr>
          <w:vertAlign w:val="superscript"/>
          <w:lang w:eastAsia="en-GB"/>
        </w:rPr>
        <w:t>3</w:t>
      </w:r>
      <w:r w:rsidRPr="00647CD8">
        <w:rPr>
          <w:lang w:eastAsia="en-GB"/>
        </w:rPr>
        <w:t xml:space="preserve"> for CO; particulates and dust 130 mg/m</w:t>
      </w:r>
      <w:r w:rsidRPr="00647CD8">
        <w:rPr>
          <w:vertAlign w:val="superscript"/>
          <w:lang w:eastAsia="en-GB"/>
        </w:rPr>
        <w:t>3</w:t>
      </w:r>
      <w:r w:rsidRPr="00647CD8">
        <w:rPr>
          <w:lang w:eastAsia="en-GB"/>
        </w:rPr>
        <w:t xml:space="preserve"> and 150 mg/m</w:t>
      </w:r>
      <w:r w:rsidRPr="00647CD8">
        <w:rPr>
          <w:vertAlign w:val="superscript"/>
          <w:lang w:eastAsia="en-GB"/>
        </w:rPr>
        <w:t>3</w:t>
      </w:r>
      <w:r w:rsidRPr="00647CD8">
        <w:rPr>
          <w:lang w:eastAsia="en-GB"/>
        </w:rPr>
        <w:t xml:space="preserve"> for hydrocarbons (all at reference conditions and 5% O</w:t>
      </w:r>
      <w:r w:rsidRPr="00647CD8">
        <w:rPr>
          <w:lang w:eastAsia="en-GB"/>
        </w:rPr>
        <w:softHyphen/>
      </w:r>
      <w:r w:rsidRPr="00647CD8">
        <w:rPr>
          <w:vertAlign w:val="subscript"/>
          <w:lang w:eastAsia="en-GB"/>
        </w:rPr>
        <w:t>2</w:t>
      </w:r>
      <w:r w:rsidRPr="00647CD8">
        <w:rPr>
          <w:lang w:eastAsia="en-GB"/>
        </w:rPr>
        <w:t>).</w:t>
      </w:r>
    </w:p>
    <w:p w14:paraId="47271555" w14:textId="77777777" w:rsidR="00BC612E" w:rsidRPr="00647CD8" w:rsidRDefault="00BC612E" w:rsidP="00BC612E">
      <w:pPr>
        <w:rPr>
          <w:lang w:eastAsia="en-GB"/>
        </w:rPr>
      </w:pPr>
      <w:r w:rsidRPr="00647CD8">
        <w:rPr>
          <w:lang w:eastAsia="en-GB"/>
        </w:rPr>
        <w:t>Legacy plant may have worse emissions than the TA-Luft 2g for various reasons: sourced from a supplier ‘outside a regulatory regime’, containerised road going engines, older rental models</w:t>
      </w:r>
      <w:r w:rsidR="004F5776" w:rsidRPr="00647CD8">
        <w:rPr>
          <w:lang w:eastAsia="en-GB"/>
        </w:rPr>
        <w:t>, ‘TA-Luft 4g’</w:t>
      </w:r>
      <w:r w:rsidRPr="00647CD8">
        <w:rPr>
          <w:lang w:eastAsia="en-GB"/>
        </w:rPr>
        <w:t xml:space="preserve">. </w:t>
      </w:r>
      <w:r w:rsidR="004F5776" w:rsidRPr="00647CD8">
        <w:rPr>
          <w:lang w:eastAsia="en-GB"/>
        </w:rPr>
        <w:t>Without a BAT and CBA justification t</w:t>
      </w:r>
      <w:r w:rsidRPr="00647CD8">
        <w:rPr>
          <w:lang w:eastAsia="en-GB"/>
        </w:rPr>
        <w:t xml:space="preserve">his </w:t>
      </w:r>
      <w:r w:rsidR="00B105F5" w:rsidRPr="00647CD8">
        <w:rPr>
          <w:lang w:eastAsia="en-GB"/>
        </w:rPr>
        <w:t xml:space="preserve">plant </w:t>
      </w:r>
      <w:r w:rsidRPr="00647CD8">
        <w:rPr>
          <w:lang w:eastAsia="en-GB"/>
        </w:rPr>
        <w:t xml:space="preserve">may need to be </w:t>
      </w:r>
      <w:r w:rsidR="00513980" w:rsidRPr="00647CD8">
        <w:rPr>
          <w:lang w:eastAsia="en-GB"/>
        </w:rPr>
        <w:t xml:space="preserve">upgraded and </w:t>
      </w:r>
      <w:r w:rsidRPr="00647CD8">
        <w:rPr>
          <w:lang w:eastAsia="en-GB"/>
        </w:rPr>
        <w:t>improve</w:t>
      </w:r>
      <w:r w:rsidR="00513980" w:rsidRPr="00647CD8">
        <w:rPr>
          <w:lang w:eastAsia="en-GB"/>
        </w:rPr>
        <w:t>d</w:t>
      </w:r>
      <w:r w:rsidRPr="00647CD8">
        <w:rPr>
          <w:lang w:eastAsia="en-GB"/>
        </w:rPr>
        <w:t xml:space="preserve"> to reduce the impacts of maintenance and testing operation of the engines</w:t>
      </w:r>
      <w:r w:rsidR="00B105F5" w:rsidRPr="00647CD8">
        <w:rPr>
          <w:lang w:eastAsia="en-GB"/>
        </w:rPr>
        <w:t>, and the worst of emergency operations</w:t>
      </w:r>
      <w:r w:rsidRPr="00647CD8">
        <w:rPr>
          <w:lang w:eastAsia="en-GB"/>
        </w:rPr>
        <w:t xml:space="preserve">. </w:t>
      </w:r>
    </w:p>
    <w:p w14:paraId="416A26B6" w14:textId="77777777" w:rsidR="00BC612E" w:rsidRPr="00647CD8" w:rsidRDefault="00BC612E" w:rsidP="00161A9D">
      <w:pPr>
        <w:pStyle w:val="Heading3"/>
        <w:rPr>
          <w:color w:val="auto"/>
        </w:rPr>
      </w:pPr>
      <w:bookmarkStart w:id="28" w:name="_Toc517419559"/>
      <w:r w:rsidRPr="00647CD8">
        <w:rPr>
          <w:color w:val="auto"/>
        </w:rPr>
        <w:t>Retrofitting abatement</w:t>
      </w:r>
      <w:bookmarkEnd w:id="28"/>
    </w:p>
    <w:p w14:paraId="205BDCE0" w14:textId="77777777" w:rsidR="00BC612E" w:rsidRPr="00647CD8" w:rsidRDefault="00BC612E" w:rsidP="00BC612E">
      <w:pPr>
        <w:rPr>
          <w:lang w:eastAsia="en-GB"/>
        </w:rPr>
      </w:pPr>
      <w:r w:rsidRPr="00647CD8">
        <w:rPr>
          <w:lang w:eastAsia="en-GB"/>
        </w:rPr>
        <w:t>It is likely that the retro fitting of emissions abatement will be unsuitable for standby emergency plant but depending on the site the application may have to address the potential use of SCR, EGR and certainly modern Engine Control systems (injection retardation and increased compression pressure).</w:t>
      </w:r>
    </w:p>
    <w:p w14:paraId="7F353F29" w14:textId="77777777" w:rsidR="00BC612E" w:rsidRPr="00647CD8" w:rsidRDefault="00BC612E" w:rsidP="00161A9D">
      <w:pPr>
        <w:pStyle w:val="Heading3"/>
        <w:rPr>
          <w:color w:val="auto"/>
        </w:rPr>
      </w:pPr>
      <w:bookmarkStart w:id="29" w:name="_Toc517419560"/>
      <w:r w:rsidRPr="00647CD8">
        <w:rPr>
          <w:color w:val="auto"/>
        </w:rPr>
        <w:t>Stacks</w:t>
      </w:r>
      <w:bookmarkEnd w:id="29"/>
    </w:p>
    <w:p w14:paraId="38C4F42B" w14:textId="77777777" w:rsidR="00BC612E" w:rsidRPr="00647CD8" w:rsidRDefault="00BC612E" w:rsidP="00BC612E">
      <w:pPr>
        <w:rPr>
          <w:lang w:eastAsia="en-GB"/>
        </w:rPr>
      </w:pPr>
      <w:r w:rsidRPr="00647CD8">
        <w:rPr>
          <w:lang w:eastAsia="en-GB"/>
        </w:rPr>
        <w:t xml:space="preserve">Data Centres usually have very low profile sites and as such </w:t>
      </w:r>
      <w:r w:rsidR="00AD1D51" w:rsidRPr="00647CD8">
        <w:rPr>
          <w:lang w:eastAsia="en-GB"/>
        </w:rPr>
        <w:t xml:space="preserve">can </w:t>
      </w:r>
      <w:r w:rsidRPr="00647CD8">
        <w:rPr>
          <w:lang w:eastAsia="en-GB"/>
        </w:rPr>
        <w:t xml:space="preserve">have short, </w:t>
      </w:r>
      <w:r w:rsidR="00B105F5" w:rsidRPr="00647CD8">
        <w:rPr>
          <w:lang w:eastAsia="en-GB"/>
        </w:rPr>
        <w:t xml:space="preserve">below </w:t>
      </w:r>
      <w:r w:rsidRPr="00647CD8">
        <w:rPr>
          <w:lang w:eastAsia="en-GB"/>
        </w:rPr>
        <w:t xml:space="preserve">roof level emission stacks. This can impact on the </w:t>
      </w:r>
      <w:r w:rsidR="00B96994" w:rsidRPr="00647CD8">
        <w:rPr>
          <w:lang w:eastAsia="en-GB"/>
        </w:rPr>
        <w:t xml:space="preserve">efficiency of dispersion of </w:t>
      </w:r>
      <w:r w:rsidRPr="00647CD8">
        <w:rPr>
          <w:lang w:eastAsia="en-GB"/>
        </w:rPr>
        <w:t xml:space="preserve">emissions. It </w:t>
      </w:r>
      <w:r w:rsidR="00631AB6" w:rsidRPr="00647CD8">
        <w:rPr>
          <w:lang w:eastAsia="en-GB"/>
        </w:rPr>
        <w:t>is</w:t>
      </w:r>
      <w:r w:rsidRPr="00647CD8">
        <w:rPr>
          <w:lang w:eastAsia="en-GB"/>
        </w:rPr>
        <w:t xml:space="preserve"> appropriate to consider BAT for the adequate dispersion of exhaust emissions</w:t>
      </w:r>
      <w:r w:rsidR="00B96994" w:rsidRPr="00647CD8">
        <w:rPr>
          <w:lang w:eastAsia="en-GB"/>
        </w:rPr>
        <w:t xml:space="preserve"> as part of the permit application</w:t>
      </w:r>
      <w:r w:rsidRPr="00647CD8">
        <w:rPr>
          <w:lang w:eastAsia="en-GB"/>
        </w:rPr>
        <w:t>:</w:t>
      </w:r>
    </w:p>
    <w:p w14:paraId="76D7DB3A" w14:textId="77777777" w:rsidR="00BC612E" w:rsidRPr="00647CD8" w:rsidRDefault="00BC612E" w:rsidP="00CB57C9">
      <w:pPr>
        <w:pStyle w:val="ListParagraph"/>
        <w:numPr>
          <w:ilvl w:val="0"/>
          <w:numId w:val="9"/>
        </w:numPr>
        <w:rPr>
          <w:lang w:eastAsia="en-GB"/>
        </w:rPr>
      </w:pPr>
      <w:r w:rsidRPr="00647CD8">
        <w:rPr>
          <w:lang w:eastAsia="en-GB"/>
        </w:rPr>
        <w:t>Increased stack height</w:t>
      </w:r>
    </w:p>
    <w:p w14:paraId="52023675" w14:textId="77777777" w:rsidR="00BC612E" w:rsidRPr="00647CD8" w:rsidRDefault="00B105F5" w:rsidP="00CB57C9">
      <w:pPr>
        <w:pStyle w:val="ListParagraph"/>
        <w:numPr>
          <w:ilvl w:val="0"/>
          <w:numId w:val="9"/>
        </w:numPr>
        <w:rPr>
          <w:lang w:eastAsia="en-GB"/>
        </w:rPr>
      </w:pPr>
      <w:r w:rsidRPr="00647CD8">
        <w:rPr>
          <w:lang w:eastAsia="en-GB"/>
        </w:rPr>
        <w:t>V</w:t>
      </w:r>
      <w:r w:rsidR="00BC612E" w:rsidRPr="00647CD8">
        <w:rPr>
          <w:lang w:eastAsia="en-GB"/>
        </w:rPr>
        <w:t>ertical ports</w:t>
      </w:r>
    </w:p>
    <w:p w14:paraId="39F0000B" w14:textId="77777777" w:rsidR="00B105F5" w:rsidRPr="00647CD8" w:rsidRDefault="00BC612E" w:rsidP="00CB57C9">
      <w:pPr>
        <w:pStyle w:val="ListParagraph"/>
        <w:numPr>
          <w:ilvl w:val="0"/>
          <w:numId w:val="9"/>
        </w:numPr>
        <w:rPr>
          <w:lang w:eastAsia="en-GB"/>
        </w:rPr>
      </w:pPr>
      <w:r w:rsidRPr="00647CD8">
        <w:rPr>
          <w:lang w:eastAsia="en-GB"/>
        </w:rPr>
        <w:t>Increased distances from buildings</w:t>
      </w:r>
      <w:r w:rsidR="00B105F5" w:rsidRPr="00647CD8">
        <w:rPr>
          <w:lang w:eastAsia="en-GB"/>
        </w:rPr>
        <w:t xml:space="preserve"> to be above roof line</w:t>
      </w:r>
    </w:p>
    <w:p w14:paraId="473E8228" w14:textId="77777777" w:rsidR="00BC612E" w:rsidRPr="00647CD8" w:rsidRDefault="00B105F5" w:rsidP="00CB57C9">
      <w:pPr>
        <w:pStyle w:val="ListParagraph"/>
        <w:numPr>
          <w:ilvl w:val="0"/>
          <w:numId w:val="9"/>
        </w:numPr>
        <w:rPr>
          <w:lang w:eastAsia="en-GB"/>
        </w:rPr>
      </w:pPr>
      <w:r w:rsidRPr="00647CD8">
        <w:rPr>
          <w:lang w:eastAsia="en-GB"/>
        </w:rPr>
        <w:t>Common windshield combining several individual flues</w:t>
      </w:r>
    </w:p>
    <w:p w14:paraId="44142268" w14:textId="77777777" w:rsidR="009F182B" w:rsidRPr="00647CD8" w:rsidRDefault="00EB0BF1" w:rsidP="00AC2D7B">
      <w:pPr>
        <w:rPr>
          <w:lang w:eastAsia="en-GB"/>
        </w:rPr>
      </w:pPr>
      <w:r w:rsidRPr="00647CD8">
        <w:rPr>
          <w:lang w:eastAsia="en-GB"/>
        </w:rPr>
        <w:t>Stack design and modifications (if retrospective) for improved emission dispersion is reasonable</w:t>
      </w:r>
      <w:r w:rsidR="00B105F5" w:rsidRPr="00647CD8">
        <w:rPr>
          <w:lang w:eastAsia="en-GB"/>
        </w:rPr>
        <w:t>;</w:t>
      </w:r>
      <w:r w:rsidRPr="00647CD8">
        <w:rPr>
          <w:lang w:eastAsia="en-GB"/>
        </w:rPr>
        <w:t xml:space="preserve"> and permitting would require a BAT cost benefit justification why such modifications are disproportionate.</w:t>
      </w:r>
    </w:p>
    <w:p w14:paraId="5378BC82" w14:textId="77777777" w:rsidR="00631AB6" w:rsidRPr="00647CD8" w:rsidRDefault="00631AB6" w:rsidP="00631AB6">
      <w:pPr>
        <w:rPr>
          <w:lang w:eastAsia="en-GB"/>
        </w:rPr>
      </w:pPr>
      <w:r w:rsidRPr="00647CD8">
        <w:rPr>
          <w:lang w:eastAsia="en-GB"/>
        </w:rPr>
        <w:t>CBA for improved exhaust emissions, dispersion and mitigations from the plant is expected for the maintenance/testing and the emergency standby roles. We would be looking for improvements particularly if LAQM modelling (under H1) indicates anything other than an insignificant contribution to short term local air quality for the ‘planned’ maintenance emissions of the plant.</w:t>
      </w:r>
    </w:p>
    <w:p w14:paraId="59E4A110" w14:textId="77777777" w:rsidR="00631AB6" w:rsidRPr="00647CD8" w:rsidRDefault="00631AB6" w:rsidP="00631AB6">
      <w:pPr>
        <w:rPr>
          <w:lang w:eastAsia="en-GB"/>
        </w:rPr>
      </w:pPr>
      <w:r w:rsidRPr="00647CD8">
        <w:rPr>
          <w:lang w:eastAsia="en-GB"/>
        </w:rPr>
        <w:t>Retrofit abatement techniques for existing installations for engine emissions such as selective non-catalytic or catalytic reduction (SNCR or SCR) would not normally be expected for standby plant to mitigate the emissions for standby/emergency operation. BAT might include improved flue gas dispersion (e.g. stack modifications, increased height) or improved low NOx engine management controls.</w:t>
      </w:r>
    </w:p>
    <w:p w14:paraId="3303DAD9" w14:textId="77777777" w:rsidR="00AC2D7B" w:rsidRPr="00647CD8" w:rsidRDefault="00AC2D7B" w:rsidP="00AC2D7B">
      <w:pPr>
        <w:rPr>
          <w:lang w:eastAsia="en-GB"/>
        </w:rPr>
      </w:pPr>
    </w:p>
    <w:p w14:paraId="35EF9039" w14:textId="77777777" w:rsidR="007C5220" w:rsidRPr="00647CD8" w:rsidRDefault="007C5220" w:rsidP="00575C9A">
      <w:pPr>
        <w:pStyle w:val="Heading2"/>
        <w:rPr>
          <w:color w:val="auto"/>
        </w:rPr>
      </w:pPr>
      <w:bookmarkStart w:id="30" w:name="_Toc517419561"/>
      <w:r w:rsidRPr="00647CD8">
        <w:rPr>
          <w:color w:val="auto"/>
        </w:rPr>
        <w:t>Other Issues</w:t>
      </w:r>
      <w:bookmarkEnd w:id="30"/>
    </w:p>
    <w:p w14:paraId="427CA8EF" w14:textId="77777777" w:rsidR="00E9120B" w:rsidRPr="00647CD8" w:rsidRDefault="00E9120B" w:rsidP="00E9120B">
      <w:pPr>
        <w:rPr>
          <w:lang w:eastAsia="en-GB"/>
        </w:rPr>
      </w:pPr>
    </w:p>
    <w:p w14:paraId="4369A494" w14:textId="04D8D2BD" w:rsidR="006265E4" w:rsidRPr="00647CD8" w:rsidRDefault="006265E4" w:rsidP="00161A9D">
      <w:pPr>
        <w:pStyle w:val="Heading3"/>
        <w:rPr>
          <w:color w:val="auto"/>
        </w:rPr>
      </w:pPr>
      <w:bookmarkStart w:id="31" w:name="_Toc517419562"/>
      <w:r w:rsidRPr="00647CD8">
        <w:rPr>
          <w:color w:val="auto"/>
        </w:rPr>
        <w:lastRenderedPageBreak/>
        <w:t xml:space="preserve">Commercial in Confidence </w:t>
      </w:r>
      <w:r w:rsidR="00702CD6" w:rsidRPr="00647CD8">
        <w:rPr>
          <w:color w:val="auto"/>
        </w:rPr>
        <w:t xml:space="preserve">(CinC) </w:t>
      </w:r>
      <w:r w:rsidRPr="00647CD8">
        <w:rPr>
          <w:color w:val="auto"/>
        </w:rPr>
        <w:t xml:space="preserve">and National </w:t>
      </w:r>
      <w:r w:rsidR="00EC4CB4" w:rsidRPr="00647CD8">
        <w:rPr>
          <w:color w:val="auto"/>
        </w:rPr>
        <w:t>Security</w:t>
      </w:r>
      <w:bookmarkEnd w:id="31"/>
    </w:p>
    <w:p w14:paraId="46DB8DBE" w14:textId="77777777" w:rsidR="00E67AE3" w:rsidRPr="00647CD8" w:rsidRDefault="00E67AE3" w:rsidP="006265E4">
      <w:pPr>
        <w:rPr>
          <w:lang w:eastAsia="en-GB"/>
        </w:rPr>
      </w:pPr>
      <w:r w:rsidRPr="00647CD8">
        <w:rPr>
          <w:lang w:eastAsia="en-GB"/>
        </w:rPr>
        <w:t xml:space="preserve">You can find guidance on national security and confidentiality in ‘Core Environmental Permitting Guidance’ published by Defra and available at </w:t>
      </w:r>
      <w:hyperlink r:id="rId14" w:history="1">
        <w:r w:rsidR="00D117B1" w:rsidRPr="00647CD8">
          <w:rPr>
            <w:rStyle w:val="Hyperlink"/>
            <w:color w:val="auto"/>
            <w:lang w:eastAsia="en-GB"/>
          </w:rPr>
          <w:t>https://www.gov.uk/government/publications/environmental-permitting-guidance-core-guidance--2</w:t>
        </w:r>
      </w:hyperlink>
    </w:p>
    <w:p w14:paraId="6FD992E7" w14:textId="180A9672" w:rsidR="00E67AE3" w:rsidRPr="00647CD8" w:rsidRDefault="00E67AE3" w:rsidP="006265E4">
      <w:pPr>
        <w:rPr>
          <w:lang w:eastAsia="en-GB"/>
        </w:rPr>
      </w:pPr>
      <w:r w:rsidRPr="00647CD8">
        <w:rPr>
          <w:lang w:eastAsia="en-GB"/>
        </w:rPr>
        <w:t xml:space="preserve">The </w:t>
      </w:r>
      <w:r w:rsidR="008A0B4C" w:rsidRPr="00647CD8">
        <w:rPr>
          <w:lang w:eastAsia="en-GB"/>
        </w:rPr>
        <w:t xml:space="preserve">National permitting service (NPS) of the </w:t>
      </w:r>
      <w:r w:rsidRPr="00647CD8">
        <w:rPr>
          <w:lang w:eastAsia="en-GB"/>
        </w:rPr>
        <w:t xml:space="preserve">EA has dedicated internal processes for looking at these issues specifically “Environmental Permitting: dealing with claims for national security 201_08” and “Dealing with claims for confidentiality 202_08”. The operator can write to NPS to </w:t>
      </w:r>
      <w:r w:rsidR="00DB0E13" w:rsidRPr="00647CD8">
        <w:rPr>
          <w:lang w:eastAsia="en-GB"/>
        </w:rPr>
        <w:t>claim CinC or to inform us that an application to the Secretary of State has been made for National Security.</w:t>
      </w:r>
    </w:p>
    <w:p w14:paraId="08E5A2CE" w14:textId="77777777" w:rsidR="006265E4" w:rsidRPr="00647CD8" w:rsidRDefault="006265E4" w:rsidP="006265E4">
      <w:pPr>
        <w:rPr>
          <w:lang w:eastAsia="en-GB"/>
        </w:rPr>
      </w:pPr>
      <w:r w:rsidRPr="00647CD8">
        <w:rPr>
          <w:lang w:eastAsia="en-GB"/>
        </w:rPr>
        <w:t xml:space="preserve">The permit application is for the combustion plant and associated environmental concerns and </w:t>
      </w:r>
      <w:r w:rsidRPr="00647CD8">
        <w:rPr>
          <w:u w:val="single"/>
          <w:lang w:eastAsia="en-GB"/>
        </w:rPr>
        <w:t>not for the Data Centre itself</w:t>
      </w:r>
      <w:r w:rsidRPr="00647CD8">
        <w:rPr>
          <w:lang w:eastAsia="en-GB"/>
        </w:rPr>
        <w:t>. The applicant should be aware that the application is accessible to the public</w:t>
      </w:r>
      <w:r w:rsidR="00B27F04" w:rsidRPr="00647CD8">
        <w:rPr>
          <w:lang w:eastAsia="en-GB"/>
        </w:rPr>
        <w:t xml:space="preserve"> on our ‘Citizen Space</w:t>
      </w:r>
      <w:r w:rsidR="00357B86" w:rsidRPr="00647CD8">
        <w:rPr>
          <w:lang w:eastAsia="en-GB"/>
        </w:rPr>
        <w:t>,</w:t>
      </w:r>
      <w:r w:rsidRPr="00647CD8">
        <w:rPr>
          <w:lang w:eastAsia="en-GB"/>
        </w:rPr>
        <w:t xml:space="preserve"> </w:t>
      </w:r>
      <w:r w:rsidR="00357B86" w:rsidRPr="00647CD8">
        <w:rPr>
          <w:lang w:eastAsia="en-GB"/>
        </w:rPr>
        <w:t xml:space="preserve">immediately after the duly-making stage, </w:t>
      </w:r>
      <w:r w:rsidRPr="00647CD8">
        <w:rPr>
          <w:lang w:eastAsia="en-GB"/>
        </w:rPr>
        <w:t xml:space="preserve">so the operator should have regard to ‘Commercial in Confidence’ and </w:t>
      </w:r>
      <w:r w:rsidR="00702CD6" w:rsidRPr="00647CD8">
        <w:rPr>
          <w:lang w:eastAsia="en-GB"/>
        </w:rPr>
        <w:t xml:space="preserve">separately </w:t>
      </w:r>
      <w:r w:rsidRPr="00647CD8">
        <w:rPr>
          <w:lang w:eastAsia="en-GB"/>
        </w:rPr>
        <w:t xml:space="preserve">National </w:t>
      </w:r>
      <w:r w:rsidR="00844548" w:rsidRPr="00647CD8">
        <w:rPr>
          <w:lang w:eastAsia="en-GB"/>
        </w:rPr>
        <w:t>security.</w:t>
      </w:r>
    </w:p>
    <w:p w14:paraId="6CA3681D" w14:textId="7DB86ABD" w:rsidR="00A84793" w:rsidRPr="00647CD8" w:rsidRDefault="00A84793" w:rsidP="00A84793">
      <w:pPr>
        <w:rPr>
          <w:lang w:eastAsia="en-GB"/>
        </w:rPr>
      </w:pPr>
      <w:r w:rsidRPr="00647CD8">
        <w:rPr>
          <w:lang w:eastAsia="en-GB"/>
        </w:rPr>
        <w:t>However the EA permits many industrial sectors</w:t>
      </w:r>
      <w:r w:rsidR="00902118" w:rsidRPr="00647CD8">
        <w:rPr>
          <w:lang w:eastAsia="en-GB"/>
        </w:rPr>
        <w:t xml:space="preserve"> that include </w:t>
      </w:r>
      <w:r w:rsidR="00844548" w:rsidRPr="00647CD8">
        <w:rPr>
          <w:lang w:eastAsia="en-GB"/>
        </w:rPr>
        <w:t>“</w:t>
      </w:r>
      <w:r w:rsidR="00902118" w:rsidRPr="00647CD8">
        <w:rPr>
          <w:lang w:eastAsia="en-GB"/>
        </w:rPr>
        <w:t>National Critical Infrastructure</w:t>
      </w:r>
      <w:r w:rsidR="00844548" w:rsidRPr="00647CD8">
        <w:rPr>
          <w:lang w:eastAsia="en-GB"/>
        </w:rPr>
        <w:t>” NCI</w:t>
      </w:r>
      <w:r w:rsidRPr="00647CD8">
        <w:rPr>
          <w:lang w:eastAsia="en-GB"/>
        </w:rPr>
        <w:t xml:space="preserve"> including power stations, chemical sites (COMAH)</w:t>
      </w:r>
      <w:r w:rsidR="00902118" w:rsidRPr="00647CD8">
        <w:rPr>
          <w:lang w:eastAsia="en-GB"/>
        </w:rPr>
        <w:t xml:space="preserve"> and</w:t>
      </w:r>
      <w:r w:rsidRPr="00647CD8">
        <w:rPr>
          <w:lang w:eastAsia="en-GB"/>
        </w:rPr>
        <w:t xml:space="preserve"> incinerators</w:t>
      </w:r>
      <w:r w:rsidR="00902118" w:rsidRPr="00647CD8">
        <w:rPr>
          <w:lang w:eastAsia="en-GB"/>
        </w:rPr>
        <w:t xml:space="preserve"> which are also required to consider CinC and National Security</w:t>
      </w:r>
      <w:r w:rsidRPr="00647CD8">
        <w:rPr>
          <w:lang w:eastAsia="en-GB"/>
        </w:rPr>
        <w:t>. Generally we have few requests for exclusions of information from the public domain during the permitting process.</w:t>
      </w:r>
      <w:r w:rsidR="00844548" w:rsidRPr="00647CD8">
        <w:rPr>
          <w:lang w:eastAsia="en-GB"/>
        </w:rPr>
        <w:t xml:space="preserve">  </w:t>
      </w:r>
      <w:r w:rsidR="00DB0E13" w:rsidRPr="00647CD8">
        <w:rPr>
          <w:lang w:eastAsia="en-GB"/>
        </w:rPr>
        <w:t xml:space="preserve">Being classified as </w:t>
      </w:r>
      <w:r w:rsidR="00844548" w:rsidRPr="00647CD8">
        <w:rPr>
          <w:lang w:eastAsia="en-GB"/>
        </w:rPr>
        <w:t>“National Critical Infrastructure” does not automatically mean the application falls under our guidance for guidance for national security</w:t>
      </w:r>
      <w:r w:rsidR="00DB0E13" w:rsidRPr="00647CD8">
        <w:rPr>
          <w:lang w:eastAsia="en-GB"/>
        </w:rPr>
        <w:t xml:space="preserve"> or CinC</w:t>
      </w:r>
      <w:r w:rsidR="00844548" w:rsidRPr="00647CD8">
        <w:rPr>
          <w:lang w:eastAsia="en-GB"/>
        </w:rPr>
        <w:t>.</w:t>
      </w:r>
    </w:p>
    <w:p w14:paraId="53DE11FA" w14:textId="26E3CEF2" w:rsidR="00753BD3" w:rsidRPr="00647CD8" w:rsidRDefault="00357B86" w:rsidP="00A84793">
      <w:r w:rsidRPr="00647CD8">
        <w:t xml:space="preserve">In practice we </w:t>
      </w:r>
      <w:r w:rsidR="00362AC9" w:rsidRPr="00647CD8">
        <w:t>do not generally require</w:t>
      </w:r>
      <w:r w:rsidRPr="00647CD8">
        <w:t xml:space="preserve"> information that </w:t>
      </w:r>
      <w:r w:rsidR="00362AC9" w:rsidRPr="00647CD8">
        <w:t>would be</w:t>
      </w:r>
      <w:r w:rsidRPr="00647CD8">
        <w:t xml:space="preserve"> considered CinC – we have a test</w:t>
      </w:r>
      <w:r w:rsidR="00362AC9" w:rsidRPr="00647CD8">
        <w:t xml:space="preserve"> for determining this</w:t>
      </w:r>
      <w:r w:rsidRPr="00647CD8">
        <w:t xml:space="preserve"> and </w:t>
      </w:r>
      <w:r w:rsidR="00362AC9" w:rsidRPr="00647CD8">
        <w:t>it based on our guidance and legislation</w:t>
      </w:r>
      <w:r w:rsidR="00A82753" w:rsidRPr="00647CD8">
        <w:t xml:space="preserve">; </w:t>
      </w:r>
      <w:r w:rsidR="00844548" w:rsidRPr="00647CD8">
        <w:t>an example</w:t>
      </w:r>
      <w:r w:rsidR="00A82753" w:rsidRPr="00647CD8">
        <w:t xml:space="preserve"> might relate to a novel technology proposal linked to the combustion plant being permitted</w:t>
      </w:r>
      <w:r w:rsidRPr="00647CD8">
        <w:t>. During any pre-application you can be advised of what we require or not</w:t>
      </w:r>
      <w:r w:rsidR="009004D2" w:rsidRPr="00647CD8">
        <w:t xml:space="preserve"> to be included in a permit application</w:t>
      </w:r>
      <w:r w:rsidR="00844548" w:rsidRPr="00647CD8">
        <w:t>.</w:t>
      </w:r>
    </w:p>
    <w:p w14:paraId="09647DF6" w14:textId="5E183162" w:rsidR="009004D2" w:rsidRPr="00647CD8" w:rsidRDefault="00753BD3" w:rsidP="00A84793">
      <w:r w:rsidRPr="00647CD8">
        <w:t xml:space="preserve">Generally we would consider any information available through the internet i.e. </w:t>
      </w:r>
      <w:r w:rsidR="00362AC9" w:rsidRPr="00647CD8">
        <w:t xml:space="preserve">search engines </w:t>
      </w:r>
      <w:r w:rsidRPr="00647CD8">
        <w:t>or your website, or already covered in Local Authority planning applications or company details etc</w:t>
      </w:r>
      <w:r w:rsidR="00907259" w:rsidRPr="00647CD8">
        <w:t>.</w:t>
      </w:r>
      <w:r w:rsidRPr="00647CD8">
        <w:t xml:space="preserve"> </w:t>
      </w:r>
      <w:r w:rsidR="00362AC9" w:rsidRPr="00647CD8">
        <w:t xml:space="preserve">would </w:t>
      </w:r>
      <w:r w:rsidRPr="00647CD8">
        <w:t>not be CinC</w:t>
      </w:r>
      <w:r w:rsidR="00BB6100" w:rsidRPr="00647CD8">
        <w:t>.</w:t>
      </w:r>
    </w:p>
    <w:p w14:paraId="6F410D8C" w14:textId="77777777" w:rsidR="009004D2" w:rsidRPr="00647CD8" w:rsidRDefault="009004D2" w:rsidP="00A84793">
      <w:pPr>
        <w:rPr>
          <w:lang w:eastAsia="en-GB"/>
        </w:rPr>
      </w:pPr>
      <w:r w:rsidRPr="00647CD8">
        <w:t>The Environmental Information Regulations (EU 2003/4/CE) mean the EA cannot exclude from public access anything relating to emissions.</w:t>
      </w:r>
    </w:p>
    <w:p w14:paraId="7025A1D6" w14:textId="77777777" w:rsidR="009F3ADA" w:rsidRPr="00647CD8" w:rsidRDefault="009F3ADA" w:rsidP="006265E4">
      <w:r w:rsidRPr="00647CD8">
        <w:t xml:space="preserve">Our general guidance outlining what we need for an environmental permit is associated with the application forms see </w:t>
      </w:r>
      <w:hyperlink r:id="rId15" w:history="1">
        <w:r w:rsidRPr="00647CD8">
          <w:rPr>
            <w:rStyle w:val="Hyperlink"/>
            <w:color w:val="auto"/>
          </w:rPr>
          <w:t>https://www.gov.uk/government/collections/environmental-permit-application-forms-for-a-new-bespoke-permit</w:t>
        </w:r>
      </w:hyperlink>
      <w:r w:rsidRPr="00647CD8">
        <w:t xml:space="preserve"> </w:t>
      </w:r>
    </w:p>
    <w:p w14:paraId="6D57512C" w14:textId="13F797A5" w:rsidR="00BB6100" w:rsidRPr="00647CD8" w:rsidRDefault="009F3ADA" w:rsidP="002B324F">
      <w:pPr>
        <w:rPr>
          <w:lang w:eastAsia="en-GB"/>
        </w:rPr>
      </w:pPr>
      <w:r w:rsidRPr="00647CD8">
        <w:t>Broadly this includes</w:t>
      </w:r>
      <w:r w:rsidRPr="00647CD8">
        <w:rPr>
          <w:lang w:eastAsia="en-GB"/>
        </w:rPr>
        <w:t xml:space="preserve"> items like </w:t>
      </w:r>
      <w:r w:rsidR="004A0575" w:rsidRPr="00647CD8">
        <w:rPr>
          <w:lang w:eastAsia="en-GB"/>
        </w:rPr>
        <w:t>Company</w:t>
      </w:r>
      <w:r w:rsidR="00BB6100" w:rsidRPr="00647CD8">
        <w:rPr>
          <w:lang w:eastAsia="en-GB"/>
        </w:rPr>
        <w:t xml:space="preserve"> name</w:t>
      </w:r>
      <w:r w:rsidRPr="00647CD8">
        <w:rPr>
          <w:lang w:eastAsia="en-GB"/>
        </w:rPr>
        <w:t xml:space="preserve">; </w:t>
      </w:r>
      <w:r w:rsidR="004A0575" w:rsidRPr="00647CD8">
        <w:rPr>
          <w:lang w:eastAsia="en-GB"/>
        </w:rPr>
        <w:t>site address</w:t>
      </w:r>
      <w:r w:rsidRPr="00647CD8">
        <w:rPr>
          <w:lang w:eastAsia="en-GB"/>
        </w:rPr>
        <w:t xml:space="preserve">; </w:t>
      </w:r>
      <w:r w:rsidR="009004D2" w:rsidRPr="00647CD8">
        <w:rPr>
          <w:lang w:eastAsia="en-GB"/>
        </w:rPr>
        <w:t xml:space="preserve">non technical </w:t>
      </w:r>
      <w:r w:rsidR="004A0575" w:rsidRPr="00647CD8">
        <w:rPr>
          <w:lang w:eastAsia="en-GB"/>
        </w:rPr>
        <w:t>summary</w:t>
      </w:r>
      <w:r w:rsidRPr="00647CD8">
        <w:rPr>
          <w:lang w:eastAsia="en-GB"/>
        </w:rPr>
        <w:t xml:space="preserve">; </w:t>
      </w:r>
      <w:r w:rsidR="004A0575" w:rsidRPr="00647CD8">
        <w:rPr>
          <w:lang w:eastAsia="en-GB"/>
        </w:rPr>
        <w:t>site</w:t>
      </w:r>
      <w:r w:rsidR="009004D2" w:rsidRPr="00647CD8">
        <w:rPr>
          <w:lang w:eastAsia="en-GB"/>
        </w:rPr>
        <w:t xml:space="preserve"> installation</w:t>
      </w:r>
      <w:r w:rsidR="004A0575" w:rsidRPr="00647CD8">
        <w:rPr>
          <w:lang w:eastAsia="en-GB"/>
        </w:rPr>
        <w:t xml:space="preserve"> boundary</w:t>
      </w:r>
      <w:r w:rsidRPr="00647CD8">
        <w:rPr>
          <w:lang w:eastAsia="en-GB"/>
        </w:rPr>
        <w:t xml:space="preserve">; </w:t>
      </w:r>
      <w:r w:rsidR="006265E4" w:rsidRPr="00647CD8">
        <w:rPr>
          <w:lang w:eastAsia="en-GB"/>
        </w:rPr>
        <w:t xml:space="preserve">a </w:t>
      </w:r>
      <w:r w:rsidR="002A1AF2" w:rsidRPr="00647CD8">
        <w:rPr>
          <w:lang w:eastAsia="en-GB"/>
        </w:rPr>
        <w:t>plan of the</w:t>
      </w:r>
      <w:r w:rsidR="006265E4" w:rsidRPr="00647CD8">
        <w:rPr>
          <w:lang w:eastAsia="en-GB"/>
        </w:rPr>
        <w:t xml:space="preserve"> emission points (i.e. the standby generator exhaust)</w:t>
      </w:r>
      <w:r w:rsidR="00753BD3" w:rsidRPr="00647CD8">
        <w:rPr>
          <w:lang w:eastAsia="en-GB"/>
        </w:rPr>
        <w:t xml:space="preserve"> and the MWth</w:t>
      </w:r>
      <w:r w:rsidRPr="00647CD8">
        <w:rPr>
          <w:lang w:eastAsia="en-GB"/>
        </w:rPr>
        <w:t xml:space="preserve">; </w:t>
      </w:r>
      <w:r w:rsidR="007B2535" w:rsidRPr="00647CD8">
        <w:rPr>
          <w:lang w:eastAsia="en-GB"/>
        </w:rPr>
        <w:t xml:space="preserve"> plan showing the locations of the fuel tanks (</w:t>
      </w:r>
      <w:r w:rsidR="009004D2" w:rsidRPr="00647CD8">
        <w:rPr>
          <w:lang w:eastAsia="en-GB"/>
        </w:rPr>
        <w:t xml:space="preserve">especially </w:t>
      </w:r>
      <w:r w:rsidR="007B2535" w:rsidRPr="00647CD8">
        <w:rPr>
          <w:lang w:eastAsia="en-GB"/>
        </w:rPr>
        <w:t>where underground tanks)</w:t>
      </w:r>
      <w:r w:rsidRPr="00647CD8">
        <w:rPr>
          <w:lang w:eastAsia="en-GB"/>
        </w:rPr>
        <w:t xml:space="preserve">;  </w:t>
      </w:r>
      <w:r w:rsidR="00362AC9" w:rsidRPr="00647CD8">
        <w:rPr>
          <w:lang w:eastAsia="en-GB"/>
        </w:rPr>
        <w:t xml:space="preserve">Groundwater </w:t>
      </w:r>
      <w:r w:rsidR="00EB520E" w:rsidRPr="00647CD8">
        <w:rPr>
          <w:lang w:eastAsia="en-GB"/>
        </w:rPr>
        <w:t>sampling points if needed</w:t>
      </w:r>
      <w:r w:rsidRPr="00647CD8">
        <w:rPr>
          <w:lang w:eastAsia="en-GB"/>
        </w:rPr>
        <w:t>;</w:t>
      </w:r>
      <w:r w:rsidRPr="00647CD8">
        <w:rPr>
          <w:rFonts w:eastAsia="Times New Roman"/>
        </w:rPr>
        <w:t xml:space="preserve"> </w:t>
      </w:r>
      <w:r w:rsidR="00BB6100" w:rsidRPr="00647CD8">
        <w:rPr>
          <w:rFonts w:eastAsia="Times New Roman"/>
        </w:rPr>
        <w:t>Details about the EMS and pollution prevention measures related to the permit i.e. pollution notification procedures, waste handling, AQ action plan, fuel procedures related to the permit i.e. waste engine oils, test regime and reporting and containment.</w:t>
      </w:r>
    </w:p>
    <w:p w14:paraId="49D202B7" w14:textId="1BCDE4A9" w:rsidR="006265E4" w:rsidRPr="00647CD8" w:rsidRDefault="002A1AF2" w:rsidP="006265E4">
      <w:pPr>
        <w:rPr>
          <w:lang w:eastAsia="en-GB"/>
        </w:rPr>
      </w:pPr>
      <w:r w:rsidRPr="00647CD8">
        <w:t xml:space="preserve">We don’t </w:t>
      </w:r>
      <w:r w:rsidR="009F3ADA" w:rsidRPr="00647CD8">
        <w:t xml:space="preserve">generally </w:t>
      </w:r>
      <w:r w:rsidRPr="00647CD8">
        <w:t>need to include a plan of the emission points or fuel tanks in the permit</w:t>
      </w:r>
      <w:r w:rsidR="009004D2" w:rsidRPr="00647CD8">
        <w:t xml:space="preserve"> itself</w:t>
      </w:r>
      <w:r w:rsidRPr="00647CD8">
        <w:t xml:space="preserve">. </w:t>
      </w:r>
    </w:p>
    <w:p w14:paraId="715128E8" w14:textId="2B7F278D" w:rsidR="0083112F" w:rsidRPr="00647CD8" w:rsidRDefault="0083112F" w:rsidP="006265E4">
      <w:pPr>
        <w:rPr>
          <w:lang w:eastAsia="en-GB"/>
        </w:rPr>
      </w:pPr>
      <w:r w:rsidRPr="00647CD8">
        <w:rPr>
          <w:rFonts w:eastAsia="Times New Roman"/>
        </w:rPr>
        <w:t xml:space="preserve">We are unlikely to need </w:t>
      </w:r>
      <w:r w:rsidR="00D108F8" w:rsidRPr="00647CD8">
        <w:rPr>
          <w:rFonts w:eastAsia="Times New Roman"/>
        </w:rPr>
        <w:t>the following information</w:t>
      </w:r>
      <w:r w:rsidR="009F3ADA" w:rsidRPr="00647CD8">
        <w:rPr>
          <w:rFonts w:eastAsia="Times New Roman"/>
        </w:rPr>
        <w:t xml:space="preserve"> in an application</w:t>
      </w:r>
      <w:r w:rsidR="00D108F8" w:rsidRPr="00647CD8">
        <w:rPr>
          <w:rFonts w:eastAsia="Times New Roman"/>
        </w:rPr>
        <w:t xml:space="preserve">: </w:t>
      </w:r>
    </w:p>
    <w:p w14:paraId="519B52A0" w14:textId="77777777" w:rsidR="004A0575" w:rsidRPr="00647CD8" w:rsidRDefault="0083112F" w:rsidP="004A0575">
      <w:pPr>
        <w:numPr>
          <w:ilvl w:val="0"/>
          <w:numId w:val="43"/>
        </w:numPr>
        <w:spacing w:after="0" w:line="240" w:lineRule="auto"/>
        <w:rPr>
          <w:rFonts w:eastAsia="Times New Roman"/>
        </w:rPr>
      </w:pPr>
      <w:r w:rsidRPr="00647CD8">
        <w:rPr>
          <w:rFonts w:eastAsia="Times New Roman"/>
        </w:rPr>
        <w:t>Site drawings of detailed Data Centre infrastructure like halls, electrical circuits, transformers, security,</w:t>
      </w:r>
    </w:p>
    <w:p w14:paraId="4EBDB830" w14:textId="77777777" w:rsidR="004A0575" w:rsidRPr="00647CD8" w:rsidRDefault="004A0575" w:rsidP="004A0575">
      <w:pPr>
        <w:numPr>
          <w:ilvl w:val="0"/>
          <w:numId w:val="43"/>
        </w:numPr>
        <w:spacing w:after="0" w:line="240" w:lineRule="auto"/>
        <w:rPr>
          <w:rFonts w:eastAsia="Times New Roman"/>
        </w:rPr>
      </w:pPr>
      <w:r w:rsidRPr="00647CD8">
        <w:rPr>
          <w:rFonts w:eastAsia="Times New Roman"/>
        </w:rPr>
        <w:t>Contact details of site staff</w:t>
      </w:r>
    </w:p>
    <w:p w14:paraId="5F4FF123" w14:textId="2F1BEC8A" w:rsidR="004A0575" w:rsidRPr="00647CD8" w:rsidRDefault="0083112F" w:rsidP="004A0575">
      <w:pPr>
        <w:numPr>
          <w:ilvl w:val="0"/>
          <w:numId w:val="43"/>
        </w:numPr>
        <w:spacing w:after="0" w:line="240" w:lineRule="auto"/>
        <w:rPr>
          <w:rFonts w:eastAsia="Times New Roman"/>
          <w:sz w:val="20"/>
          <w:szCs w:val="20"/>
        </w:rPr>
      </w:pPr>
      <w:r w:rsidRPr="00647CD8">
        <w:rPr>
          <w:rFonts w:eastAsia="Times New Roman"/>
        </w:rPr>
        <w:lastRenderedPageBreak/>
        <w:t xml:space="preserve">Data Centre </w:t>
      </w:r>
      <w:r w:rsidR="004A0575" w:rsidRPr="00647CD8">
        <w:rPr>
          <w:rFonts w:eastAsia="Times New Roman"/>
        </w:rPr>
        <w:t>Sit</w:t>
      </w:r>
      <w:r w:rsidRPr="00647CD8">
        <w:rPr>
          <w:rFonts w:eastAsia="Times New Roman"/>
        </w:rPr>
        <w:t>e specific operating procedures</w:t>
      </w:r>
      <w:r w:rsidRPr="00647CD8">
        <w:rPr>
          <w:rFonts w:eastAsia="Times New Roman"/>
          <w:sz w:val="20"/>
          <w:szCs w:val="20"/>
        </w:rPr>
        <w:t xml:space="preserve"> </w:t>
      </w:r>
      <w:r w:rsidR="00BB6100" w:rsidRPr="00647CD8">
        <w:rPr>
          <w:rFonts w:eastAsia="Times New Roman"/>
          <w:sz w:val="20"/>
          <w:szCs w:val="20"/>
        </w:rPr>
        <w:t xml:space="preserve">which don’t relate to the permitted combustion process. </w:t>
      </w:r>
    </w:p>
    <w:p w14:paraId="18E2B48B" w14:textId="77777777" w:rsidR="009B70A5" w:rsidRPr="00647CD8" w:rsidRDefault="009B70A5" w:rsidP="006265E4">
      <w:pPr>
        <w:rPr>
          <w:lang w:eastAsia="en-GB"/>
        </w:rPr>
      </w:pPr>
    </w:p>
    <w:p w14:paraId="4C34F064" w14:textId="77777777" w:rsidR="006265E4" w:rsidRPr="00647CD8" w:rsidRDefault="008D4883" w:rsidP="006265E4">
      <w:pPr>
        <w:rPr>
          <w:lang w:eastAsia="en-GB"/>
        </w:rPr>
      </w:pPr>
      <w:r w:rsidRPr="00647CD8">
        <w:rPr>
          <w:lang w:eastAsia="en-GB"/>
        </w:rPr>
        <w:t>We recommend a</w:t>
      </w:r>
      <w:r w:rsidR="0083112F" w:rsidRPr="00647CD8">
        <w:rPr>
          <w:lang w:eastAsia="en-GB"/>
        </w:rPr>
        <w:t>ny detailed drawings</w:t>
      </w:r>
      <w:r w:rsidRPr="00647CD8">
        <w:rPr>
          <w:lang w:eastAsia="en-GB"/>
        </w:rPr>
        <w:t xml:space="preserve"> or select </w:t>
      </w:r>
      <w:r w:rsidR="0083112F" w:rsidRPr="00647CD8">
        <w:rPr>
          <w:lang w:eastAsia="en-GB"/>
        </w:rPr>
        <w:t>info</w:t>
      </w:r>
      <w:r w:rsidRPr="00647CD8">
        <w:rPr>
          <w:lang w:eastAsia="en-GB"/>
        </w:rPr>
        <w:t>rmation</w:t>
      </w:r>
      <w:r w:rsidR="0083112F" w:rsidRPr="00647CD8">
        <w:rPr>
          <w:lang w:eastAsia="en-GB"/>
        </w:rPr>
        <w:t xml:space="preserve"> contained in specialist reports e.g. noise </w:t>
      </w:r>
      <w:r w:rsidR="008A0B4C" w:rsidRPr="00647CD8">
        <w:rPr>
          <w:lang w:eastAsia="en-GB"/>
        </w:rPr>
        <w:t>or</w:t>
      </w:r>
      <w:r w:rsidR="0083112F" w:rsidRPr="00647CD8">
        <w:rPr>
          <w:lang w:eastAsia="en-GB"/>
        </w:rPr>
        <w:t xml:space="preserve"> air quality assessments will need to be reviewed </w:t>
      </w:r>
      <w:r w:rsidRPr="00647CD8">
        <w:rPr>
          <w:lang w:eastAsia="en-GB"/>
        </w:rPr>
        <w:t>by the operator prior to submission to the EA – if you identify areas for concern, i</w:t>
      </w:r>
      <w:r w:rsidR="006265E4" w:rsidRPr="00647CD8">
        <w:rPr>
          <w:lang w:eastAsia="en-GB"/>
        </w:rPr>
        <w:t xml:space="preserve">n the first instance discuss </w:t>
      </w:r>
      <w:r w:rsidRPr="00647CD8">
        <w:rPr>
          <w:lang w:eastAsia="en-GB"/>
        </w:rPr>
        <w:t>these</w:t>
      </w:r>
      <w:r w:rsidR="006265E4" w:rsidRPr="00647CD8">
        <w:rPr>
          <w:lang w:eastAsia="en-GB"/>
        </w:rPr>
        <w:t xml:space="preserve"> directly with the </w:t>
      </w:r>
      <w:r w:rsidR="008A0B4C" w:rsidRPr="00647CD8">
        <w:rPr>
          <w:lang w:eastAsia="en-GB"/>
        </w:rPr>
        <w:t>NPS</w:t>
      </w:r>
      <w:r w:rsidRPr="00647CD8">
        <w:rPr>
          <w:lang w:eastAsia="en-GB"/>
        </w:rPr>
        <w:t>.</w:t>
      </w:r>
      <w:r w:rsidR="006265E4" w:rsidRPr="00647CD8">
        <w:rPr>
          <w:lang w:eastAsia="en-GB"/>
        </w:rPr>
        <w:t xml:space="preserve"> </w:t>
      </w:r>
      <w:r w:rsidRPr="00647CD8">
        <w:rPr>
          <w:lang w:eastAsia="en-GB"/>
        </w:rPr>
        <w:t>If in doubt you may</w:t>
      </w:r>
      <w:r w:rsidR="006265E4" w:rsidRPr="00647CD8">
        <w:rPr>
          <w:lang w:eastAsia="en-GB"/>
        </w:rPr>
        <w:t xml:space="preserve"> exclude such information from the application but indicate that </w:t>
      </w:r>
      <w:r w:rsidR="008A0B4C" w:rsidRPr="00647CD8">
        <w:rPr>
          <w:lang w:eastAsia="en-GB"/>
        </w:rPr>
        <w:t xml:space="preserve">it </w:t>
      </w:r>
      <w:r w:rsidR="006265E4" w:rsidRPr="00647CD8">
        <w:rPr>
          <w:lang w:eastAsia="en-GB"/>
        </w:rPr>
        <w:t>is ‘available on request’</w:t>
      </w:r>
      <w:r w:rsidRPr="00647CD8">
        <w:rPr>
          <w:lang w:eastAsia="en-GB"/>
        </w:rPr>
        <w:t xml:space="preserve">; if the information is critical to the application NPS can make </w:t>
      </w:r>
      <w:r w:rsidR="008A0B4C" w:rsidRPr="00647CD8">
        <w:rPr>
          <w:lang w:eastAsia="en-GB"/>
        </w:rPr>
        <w:t>that</w:t>
      </w:r>
      <w:r w:rsidRPr="00647CD8">
        <w:rPr>
          <w:lang w:eastAsia="en-GB"/>
        </w:rPr>
        <w:t xml:space="preserve"> request or </w:t>
      </w:r>
      <w:r w:rsidR="008A0B4C" w:rsidRPr="00647CD8">
        <w:rPr>
          <w:lang w:eastAsia="en-GB"/>
        </w:rPr>
        <w:t xml:space="preserve">formally </w:t>
      </w:r>
      <w:r w:rsidRPr="00647CD8">
        <w:rPr>
          <w:lang w:eastAsia="en-GB"/>
        </w:rPr>
        <w:t>issue a notice to gain access to it.</w:t>
      </w:r>
    </w:p>
    <w:p w14:paraId="25F71980" w14:textId="77777777" w:rsidR="009B70A5" w:rsidRPr="00647CD8" w:rsidRDefault="009B70A5" w:rsidP="006265E4">
      <w:pPr>
        <w:rPr>
          <w:b/>
          <w:lang w:eastAsia="en-GB"/>
        </w:rPr>
      </w:pPr>
      <w:r w:rsidRPr="00647CD8">
        <w:rPr>
          <w:b/>
          <w:lang w:eastAsia="en-GB"/>
        </w:rPr>
        <w:t xml:space="preserve">Remember </w:t>
      </w:r>
      <w:r w:rsidR="000C7241" w:rsidRPr="00647CD8">
        <w:rPr>
          <w:b/>
          <w:lang w:eastAsia="en-GB"/>
        </w:rPr>
        <w:t xml:space="preserve">that </w:t>
      </w:r>
      <w:r w:rsidRPr="00647CD8">
        <w:rPr>
          <w:b/>
          <w:lang w:eastAsia="en-GB"/>
        </w:rPr>
        <w:t>after permit issue annual reports, hours run for the generators, pollution incidents (e.g. reported fuel spill), the permit, the determination document, EA enforcement and inspection reports will be publically viewable.</w:t>
      </w:r>
    </w:p>
    <w:p w14:paraId="139A0FEE" w14:textId="77777777" w:rsidR="000C7241" w:rsidRPr="00647CD8" w:rsidRDefault="000C7241" w:rsidP="007C3A6C">
      <w:pPr>
        <w:pStyle w:val="Heading4"/>
        <w:rPr>
          <w:b w:val="0"/>
        </w:rPr>
      </w:pPr>
      <w:bookmarkStart w:id="32" w:name="_Toc517419563"/>
      <w:r w:rsidRPr="00647CD8">
        <w:rPr>
          <w:b w:val="0"/>
        </w:rPr>
        <w:t>Freedom of Information</w:t>
      </w:r>
      <w:bookmarkEnd w:id="32"/>
    </w:p>
    <w:p w14:paraId="1861DB6E" w14:textId="77777777" w:rsidR="000C7241" w:rsidRPr="00647CD8" w:rsidRDefault="000C7241" w:rsidP="000C7241">
      <w:r w:rsidRPr="00647CD8">
        <w:t xml:space="preserve">We are an open and transparent organisation and take our responsibilities to provide information under the Freedom of Information Act (FOIA) and the associated Environmental Information Regulations (EIR) seriously. </w:t>
      </w:r>
    </w:p>
    <w:p w14:paraId="7D2BC6C0" w14:textId="77777777" w:rsidR="000C7241" w:rsidRPr="00647CD8" w:rsidRDefault="000C7241" w:rsidP="000C7241">
      <w:r w:rsidRPr="00647CD8">
        <w:t>These responsibilities include providing access to the information in response to a request, normally within 20 working days.  The legislation applies to all the information we hold, whether created by the Environment Agency, received from third parties or even held by a third party on our behalf.</w:t>
      </w:r>
    </w:p>
    <w:p w14:paraId="1374B202" w14:textId="77777777" w:rsidR="000C7241" w:rsidRPr="00647CD8" w:rsidRDefault="000C7241" w:rsidP="000C7241">
      <w:r w:rsidRPr="00647CD8">
        <w:t>The provision of information is subject to a number of exemptions set out in the legislation.  These include, for example, national security and public safety, commercial confidentiality.</w:t>
      </w:r>
    </w:p>
    <w:p w14:paraId="7EDDACBF" w14:textId="77777777" w:rsidR="000C7241" w:rsidRPr="00647CD8" w:rsidRDefault="000C7241" w:rsidP="000C7241">
      <w:pPr>
        <w:rPr>
          <w:b/>
          <w:lang w:eastAsia="en-GB"/>
        </w:rPr>
      </w:pPr>
    </w:p>
    <w:p w14:paraId="19391A2B" w14:textId="77777777" w:rsidR="000315E5" w:rsidRPr="00647CD8" w:rsidRDefault="000315E5" w:rsidP="00161A9D">
      <w:pPr>
        <w:pStyle w:val="Heading3"/>
        <w:rPr>
          <w:color w:val="auto"/>
        </w:rPr>
      </w:pPr>
      <w:bookmarkStart w:id="33" w:name="_Toc517419564"/>
      <w:r w:rsidRPr="00647CD8">
        <w:rPr>
          <w:color w:val="auto"/>
        </w:rPr>
        <w:t>Pollution Inventory Reporting</w:t>
      </w:r>
      <w:bookmarkEnd w:id="33"/>
    </w:p>
    <w:p w14:paraId="3EADA3FC" w14:textId="77777777" w:rsidR="000315E5" w:rsidRPr="00647CD8" w:rsidRDefault="000315E5" w:rsidP="000315E5">
      <w:pPr>
        <w:rPr>
          <w:lang w:eastAsia="en-GB"/>
        </w:rPr>
      </w:pPr>
      <w:r w:rsidRPr="00647CD8">
        <w:rPr>
          <w:lang w:eastAsia="en-GB"/>
        </w:rPr>
        <w:t xml:space="preserve">There is an annual reporting requirement to detail the mass emissions from the permitted activity see </w:t>
      </w:r>
      <w:hyperlink r:id="rId16" w:history="1">
        <w:r w:rsidRPr="00647CD8">
          <w:rPr>
            <w:rStyle w:val="Hyperlink"/>
            <w:color w:val="auto"/>
            <w:lang w:eastAsia="en-GB"/>
          </w:rPr>
          <w:t>https://www.gov.uk/government/collections/pollution-inventory-reporting</w:t>
        </w:r>
      </w:hyperlink>
      <w:r w:rsidRPr="00647CD8">
        <w:rPr>
          <w:lang w:eastAsia="en-GB"/>
        </w:rPr>
        <w:t>. This is not technically an EPR permit requirement but because of permitti</w:t>
      </w:r>
      <w:r w:rsidR="00153DF5" w:rsidRPr="00647CD8">
        <w:rPr>
          <w:lang w:eastAsia="en-GB"/>
        </w:rPr>
        <w:t>ng this becomes a requirement f</w:t>
      </w:r>
      <w:r w:rsidRPr="00647CD8">
        <w:rPr>
          <w:lang w:eastAsia="en-GB"/>
        </w:rPr>
        <w:t>r</w:t>
      </w:r>
      <w:r w:rsidR="00153DF5" w:rsidRPr="00647CD8">
        <w:rPr>
          <w:lang w:eastAsia="en-GB"/>
        </w:rPr>
        <w:t>om</w:t>
      </w:r>
      <w:r w:rsidRPr="00647CD8">
        <w:rPr>
          <w:lang w:eastAsia="en-GB"/>
        </w:rPr>
        <w:t xml:space="preserve"> associated legislation.</w:t>
      </w:r>
    </w:p>
    <w:p w14:paraId="2678D583" w14:textId="77777777" w:rsidR="000315E5" w:rsidRPr="00647CD8" w:rsidRDefault="000315E5" w:rsidP="000315E5">
      <w:pPr>
        <w:rPr>
          <w:lang w:eastAsia="en-GB"/>
        </w:rPr>
      </w:pPr>
      <w:r w:rsidRPr="00647CD8">
        <w:rPr>
          <w:lang w:eastAsia="en-GB"/>
        </w:rPr>
        <w:t>This includes emissions to air, controlled water, land and wastes. Broadly it is unlikely that even the largest data centre would emit enough CO</w:t>
      </w:r>
      <w:r w:rsidRPr="00647CD8">
        <w:rPr>
          <w:vertAlign w:val="subscript"/>
          <w:lang w:eastAsia="en-GB"/>
        </w:rPr>
        <w:t>2</w:t>
      </w:r>
      <w:r w:rsidRPr="00647CD8">
        <w:rPr>
          <w:lang w:eastAsia="en-GB"/>
        </w:rPr>
        <w:t>, NOx, CO, particulates etc to hit the reporting thresholds e.g.100,000kg NOx. Most often exhaust emissions would be below reporting threshold (BRT).</w:t>
      </w:r>
    </w:p>
    <w:p w14:paraId="1751BAF4" w14:textId="4520DF29" w:rsidR="001E55A6" w:rsidRPr="00647CD8" w:rsidRDefault="001E55A6" w:rsidP="000315E5">
      <w:pPr>
        <w:rPr>
          <w:lang w:eastAsia="en-GB"/>
        </w:rPr>
      </w:pPr>
      <w:r w:rsidRPr="00647CD8">
        <w:rPr>
          <w:lang w:eastAsia="en-GB"/>
        </w:rPr>
        <w:t>PI does include the reporting of wastes generated from the permitted activity – so quantities of used engine oil would be included.</w:t>
      </w:r>
    </w:p>
    <w:p w14:paraId="04A3C9B3" w14:textId="77777777" w:rsidR="00DD6471" w:rsidRPr="00647CD8" w:rsidRDefault="00DD6471" w:rsidP="00161A9D">
      <w:pPr>
        <w:pStyle w:val="Heading3"/>
        <w:rPr>
          <w:color w:val="auto"/>
        </w:rPr>
      </w:pPr>
      <w:bookmarkStart w:id="34" w:name="_Toc517419565"/>
      <w:r w:rsidRPr="00647CD8">
        <w:rPr>
          <w:color w:val="auto"/>
        </w:rPr>
        <w:t>Wastes</w:t>
      </w:r>
      <w:bookmarkEnd w:id="34"/>
    </w:p>
    <w:p w14:paraId="1A7D99F8" w14:textId="77777777" w:rsidR="00510B3C" w:rsidRPr="00647CD8" w:rsidRDefault="00AE15F2" w:rsidP="00AE15F2">
      <w:pPr>
        <w:rPr>
          <w:lang w:eastAsia="en-GB"/>
        </w:rPr>
      </w:pPr>
      <w:r w:rsidRPr="00647CD8">
        <w:rPr>
          <w:lang w:eastAsia="en-GB"/>
        </w:rPr>
        <w:t>T</w:t>
      </w:r>
      <w:r w:rsidR="00023DB9" w:rsidRPr="00647CD8">
        <w:rPr>
          <w:lang w:eastAsia="en-GB"/>
        </w:rPr>
        <w:t xml:space="preserve">he permit application should detail the likely quantities of waste engine oil </w:t>
      </w:r>
      <w:r w:rsidRPr="00647CD8">
        <w:rPr>
          <w:lang w:eastAsia="en-GB"/>
        </w:rPr>
        <w:t xml:space="preserve">(probably </w:t>
      </w:r>
      <w:r w:rsidR="00510B3C" w:rsidRPr="00647CD8">
        <w:rPr>
          <w:lang w:eastAsia="en-GB"/>
        </w:rPr>
        <w:t xml:space="preserve">classed as </w:t>
      </w:r>
      <w:r w:rsidRPr="00647CD8">
        <w:rPr>
          <w:lang w:eastAsia="en-GB"/>
        </w:rPr>
        <w:t xml:space="preserve">hazardous) </w:t>
      </w:r>
      <w:r w:rsidR="00023DB9" w:rsidRPr="00647CD8">
        <w:rPr>
          <w:lang w:eastAsia="en-GB"/>
        </w:rPr>
        <w:t>generated annually</w:t>
      </w:r>
      <w:r w:rsidRPr="00647CD8">
        <w:rPr>
          <w:lang w:eastAsia="en-GB"/>
        </w:rPr>
        <w:t xml:space="preserve"> -</w:t>
      </w:r>
      <w:r w:rsidR="00023DB9" w:rsidRPr="00647CD8">
        <w:rPr>
          <w:lang w:eastAsia="en-GB"/>
        </w:rPr>
        <w:t xml:space="preserve"> EWC 13 02 waste oils following servicing for example. </w:t>
      </w:r>
    </w:p>
    <w:p w14:paraId="5F886C93" w14:textId="77777777" w:rsidR="00AE15F2" w:rsidRPr="00647CD8" w:rsidRDefault="00023DB9" w:rsidP="00AE15F2">
      <w:pPr>
        <w:rPr>
          <w:lang w:eastAsia="en-GB"/>
        </w:rPr>
      </w:pPr>
      <w:r w:rsidRPr="00647CD8">
        <w:rPr>
          <w:lang w:eastAsia="en-GB"/>
        </w:rPr>
        <w:t>Although unlikely to be huge P</w:t>
      </w:r>
      <w:r w:rsidR="00AE15F2" w:rsidRPr="00647CD8">
        <w:rPr>
          <w:lang w:eastAsia="en-GB"/>
        </w:rPr>
        <w:t xml:space="preserve">ollution </w:t>
      </w:r>
      <w:r w:rsidRPr="00647CD8">
        <w:rPr>
          <w:lang w:eastAsia="en-GB"/>
        </w:rPr>
        <w:t>I</w:t>
      </w:r>
      <w:r w:rsidR="00AE15F2" w:rsidRPr="00647CD8">
        <w:rPr>
          <w:lang w:eastAsia="en-GB"/>
        </w:rPr>
        <w:t xml:space="preserve">nventory has </w:t>
      </w:r>
      <w:r w:rsidR="000315E5" w:rsidRPr="00647CD8">
        <w:rPr>
          <w:lang w:eastAsia="en-GB"/>
        </w:rPr>
        <w:t xml:space="preserve">the </w:t>
      </w:r>
      <w:r w:rsidR="00AE15F2" w:rsidRPr="00647CD8">
        <w:rPr>
          <w:lang w:eastAsia="en-GB"/>
        </w:rPr>
        <w:t xml:space="preserve">below reporting threshold (BRT) as </w:t>
      </w:r>
      <w:r w:rsidRPr="00647CD8">
        <w:rPr>
          <w:lang w:eastAsia="en-GB"/>
        </w:rPr>
        <w:t>1 t</w:t>
      </w:r>
      <w:r w:rsidR="000315E5" w:rsidRPr="00647CD8">
        <w:rPr>
          <w:lang w:eastAsia="en-GB"/>
        </w:rPr>
        <w:t>onne for non-hazardous waste and</w:t>
      </w:r>
      <w:r w:rsidRPr="00647CD8">
        <w:rPr>
          <w:lang w:eastAsia="en-GB"/>
        </w:rPr>
        <w:t xml:space="preserve"> technically no BRT for hazardous waste oil.</w:t>
      </w:r>
      <w:r w:rsidR="00AE15F2" w:rsidRPr="00647CD8">
        <w:rPr>
          <w:lang w:eastAsia="en-GB"/>
        </w:rPr>
        <w:t xml:space="preserve"> </w:t>
      </w:r>
    </w:p>
    <w:p w14:paraId="73793440" w14:textId="77777777" w:rsidR="00504A13" w:rsidRPr="00647CD8" w:rsidRDefault="00504A13" w:rsidP="00161A9D">
      <w:pPr>
        <w:pStyle w:val="Heading3"/>
        <w:rPr>
          <w:color w:val="auto"/>
        </w:rPr>
      </w:pPr>
      <w:bookmarkStart w:id="35" w:name="_Toc517419566"/>
      <w:r w:rsidRPr="00647CD8">
        <w:rPr>
          <w:color w:val="auto"/>
        </w:rPr>
        <w:t>Expanding the Data Centre</w:t>
      </w:r>
      <w:r w:rsidR="004F5776" w:rsidRPr="00647CD8">
        <w:rPr>
          <w:color w:val="auto"/>
        </w:rPr>
        <w:t>’s</w:t>
      </w:r>
      <w:r w:rsidRPr="00647CD8">
        <w:rPr>
          <w:color w:val="auto"/>
        </w:rPr>
        <w:t xml:space="preserve"> on</w:t>
      </w:r>
      <w:r w:rsidR="004F5776" w:rsidRPr="00647CD8">
        <w:rPr>
          <w:color w:val="auto"/>
        </w:rPr>
        <w:t>-</w:t>
      </w:r>
      <w:r w:rsidRPr="00647CD8">
        <w:rPr>
          <w:color w:val="auto"/>
        </w:rPr>
        <w:t>site provision</w:t>
      </w:r>
      <w:bookmarkEnd w:id="35"/>
    </w:p>
    <w:p w14:paraId="0BD6783C" w14:textId="77777777" w:rsidR="0037559D" w:rsidRPr="00647CD8" w:rsidRDefault="0037559D" w:rsidP="0037559D">
      <w:pPr>
        <w:rPr>
          <w:lang w:eastAsia="en-GB"/>
        </w:rPr>
      </w:pPr>
      <w:r w:rsidRPr="00647CD8">
        <w:rPr>
          <w:lang w:eastAsia="en-GB"/>
        </w:rPr>
        <w:t>The permit will need to be varied if additional plant is added to the site which wasn’t included in the original permit application.</w:t>
      </w:r>
      <w:r w:rsidR="00B96994" w:rsidRPr="00647CD8">
        <w:rPr>
          <w:lang w:eastAsia="en-GB"/>
        </w:rPr>
        <w:t xml:space="preserve"> This is particularly relevant for data centres expanding in phases.</w:t>
      </w:r>
    </w:p>
    <w:p w14:paraId="3DCF4860" w14:textId="77777777" w:rsidR="001F0F66" w:rsidRPr="00647CD8" w:rsidRDefault="001F0F66" w:rsidP="0037559D">
      <w:pPr>
        <w:rPr>
          <w:lang w:eastAsia="en-GB"/>
        </w:rPr>
      </w:pPr>
      <w:r w:rsidRPr="00647CD8">
        <w:rPr>
          <w:lang w:eastAsia="en-GB"/>
        </w:rPr>
        <w:lastRenderedPageBreak/>
        <w:t>It is best to apply for the permit to include the likely future expansion of the site (Data Centres tend to be developed in phases as the</w:t>
      </w:r>
      <w:r w:rsidR="004F5776" w:rsidRPr="00647CD8">
        <w:rPr>
          <w:lang w:eastAsia="en-GB"/>
        </w:rPr>
        <w:t>y</w:t>
      </w:r>
      <w:r w:rsidRPr="00647CD8">
        <w:rPr>
          <w:lang w:eastAsia="en-GB"/>
        </w:rPr>
        <w:t xml:space="preserve"> expand and attract customers)</w:t>
      </w:r>
      <w:r w:rsidR="00513980" w:rsidRPr="00647CD8">
        <w:rPr>
          <w:lang w:eastAsia="en-GB"/>
        </w:rPr>
        <w:t>.</w:t>
      </w:r>
    </w:p>
    <w:p w14:paraId="541855A7" w14:textId="77777777" w:rsidR="007C5220" w:rsidRPr="00647CD8" w:rsidRDefault="007C5220" w:rsidP="00161A9D">
      <w:pPr>
        <w:pStyle w:val="Heading3"/>
        <w:rPr>
          <w:color w:val="auto"/>
        </w:rPr>
      </w:pPr>
      <w:bookmarkStart w:id="36" w:name="_Toc517419567"/>
      <w:r w:rsidRPr="00647CD8">
        <w:rPr>
          <w:color w:val="auto"/>
        </w:rPr>
        <w:t>Site Condition Report (SCR) and baseline monitoring</w:t>
      </w:r>
      <w:r w:rsidR="009C5EDE" w:rsidRPr="00647CD8">
        <w:rPr>
          <w:color w:val="auto"/>
        </w:rPr>
        <w:t xml:space="preserve"> for the ground</w:t>
      </w:r>
      <w:bookmarkEnd w:id="36"/>
    </w:p>
    <w:p w14:paraId="449ACC26" w14:textId="77777777" w:rsidR="009C5EDE" w:rsidRPr="00647CD8" w:rsidRDefault="009C5EDE" w:rsidP="007C5220">
      <w:pPr>
        <w:rPr>
          <w:lang w:eastAsia="en-GB"/>
        </w:rPr>
      </w:pPr>
      <w:r w:rsidRPr="00647CD8">
        <w:rPr>
          <w:lang w:eastAsia="en-GB"/>
        </w:rPr>
        <w:t xml:space="preserve">Permit applications require a detailed report of the status of the land on which the permit boundary is determined. </w:t>
      </w:r>
      <w:r w:rsidR="00B84890" w:rsidRPr="00647CD8">
        <w:rPr>
          <w:lang w:eastAsia="en-GB"/>
        </w:rPr>
        <w:t xml:space="preserve">See </w:t>
      </w:r>
      <w:hyperlink r:id="rId17" w:history="1">
        <w:r w:rsidR="00B84890" w:rsidRPr="00647CD8">
          <w:rPr>
            <w:rStyle w:val="Hyperlink"/>
            <w:color w:val="auto"/>
          </w:rPr>
          <w:t>https://www.gov.uk/government/publications/environmental-permitting-h5-site-condition-report</w:t>
        </w:r>
      </w:hyperlink>
    </w:p>
    <w:p w14:paraId="0196978A" w14:textId="77777777" w:rsidR="007C5220" w:rsidRPr="00647CD8" w:rsidRDefault="007C5220" w:rsidP="007C5220">
      <w:pPr>
        <w:rPr>
          <w:lang w:eastAsia="en-GB"/>
        </w:rPr>
      </w:pPr>
      <w:r w:rsidRPr="00647CD8">
        <w:rPr>
          <w:lang w:eastAsia="en-GB"/>
        </w:rPr>
        <w:t xml:space="preserve">SCRs can use due diligence investigations and historic assessments. However depending on risks and what may have happened on site during the ongoing operations (i.e. retrospectively) there may be a requirement to conduct a baseline soil and groundwater investigation (i.e. including installation of </w:t>
      </w:r>
      <w:r w:rsidR="00AE15F2" w:rsidRPr="00647CD8">
        <w:rPr>
          <w:lang w:eastAsia="en-GB"/>
        </w:rPr>
        <w:t xml:space="preserve">ground water </w:t>
      </w:r>
      <w:r w:rsidRPr="00647CD8">
        <w:rPr>
          <w:lang w:eastAsia="en-GB"/>
        </w:rPr>
        <w:t>GW monitoring b</w:t>
      </w:r>
      <w:r w:rsidR="00B96994" w:rsidRPr="00647CD8">
        <w:rPr>
          <w:lang w:eastAsia="en-GB"/>
        </w:rPr>
        <w:t xml:space="preserve">oreholes etc). </w:t>
      </w:r>
    </w:p>
    <w:p w14:paraId="0940326C" w14:textId="77777777" w:rsidR="007C5220" w:rsidRPr="00647CD8" w:rsidRDefault="007C5220" w:rsidP="007C5220">
      <w:pPr>
        <w:rPr>
          <w:lang w:eastAsia="en-GB"/>
        </w:rPr>
      </w:pPr>
      <w:r w:rsidRPr="00647CD8">
        <w:rPr>
          <w:lang w:eastAsia="en-GB"/>
        </w:rPr>
        <w:t xml:space="preserve">We would not normally expect IED </w:t>
      </w:r>
      <w:r w:rsidR="009C5EDE" w:rsidRPr="00647CD8">
        <w:rPr>
          <w:lang w:eastAsia="en-GB"/>
        </w:rPr>
        <w:t xml:space="preserve">ongoing </w:t>
      </w:r>
      <w:r w:rsidRPr="00647CD8">
        <w:rPr>
          <w:lang w:eastAsia="en-GB"/>
        </w:rPr>
        <w:t>10-yearly periodic soil sampling</w:t>
      </w:r>
      <w:r w:rsidR="00B84890" w:rsidRPr="00647CD8">
        <w:rPr>
          <w:lang w:eastAsia="en-GB"/>
        </w:rPr>
        <w:t xml:space="preserve"> though technically </w:t>
      </w:r>
      <w:r w:rsidR="00B84890" w:rsidRPr="00647CD8">
        <w:t>this still needs to be based upon a ‘systematic appraisal of the risk of contamination’</w:t>
      </w:r>
    </w:p>
    <w:p w14:paraId="7EDB0FEE" w14:textId="77777777" w:rsidR="00B96994" w:rsidRPr="00647CD8" w:rsidRDefault="00B105F5" w:rsidP="007C5220">
      <w:pPr>
        <w:rPr>
          <w:lang w:eastAsia="en-GB"/>
        </w:rPr>
      </w:pPr>
      <w:r w:rsidRPr="00647CD8">
        <w:rPr>
          <w:lang w:eastAsia="en-GB"/>
        </w:rPr>
        <w:t>The groundwater monitoring of fuel storage tanks and distribution pipework us</w:t>
      </w:r>
      <w:r w:rsidR="00B96994" w:rsidRPr="00647CD8">
        <w:rPr>
          <w:lang w:eastAsia="en-GB"/>
        </w:rPr>
        <w:t xml:space="preserve">ing GW boreholes is risk based to satisfy </w:t>
      </w:r>
      <w:r w:rsidRPr="00647CD8">
        <w:rPr>
          <w:lang w:eastAsia="en-GB"/>
        </w:rPr>
        <w:t xml:space="preserve">the site condition report (SCR) and IED </w:t>
      </w:r>
      <w:r w:rsidR="009C5EDE" w:rsidRPr="00647CD8">
        <w:rPr>
          <w:lang w:eastAsia="en-GB"/>
        </w:rPr>
        <w:t xml:space="preserve">ongoing </w:t>
      </w:r>
      <w:r w:rsidRPr="00647CD8">
        <w:rPr>
          <w:lang w:eastAsia="en-GB"/>
        </w:rPr>
        <w:t>5-yearly monitoring</w:t>
      </w:r>
      <w:r w:rsidR="00B96994" w:rsidRPr="00647CD8">
        <w:rPr>
          <w:lang w:eastAsia="en-GB"/>
        </w:rPr>
        <w:t xml:space="preserve"> requirements</w:t>
      </w:r>
      <w:r w:rsidRPr="00647CD8">
        <w:rPr>
          <w:lang w:eastAsia="en-GB"/>
        </w:rPr>
        <w:t xml:space="preserve">. </w:t>
      </w:r>
    </w:p>
    <w:p w14:paraId="34FF19BB" w14:textId="77777777" w:rsidR="00B105F5" w:rsidRPr="00647CD8" w:rsidRDefault="00DE7FD7" w:rsidP="007C5220">
      <w:pPr>
        <w:rPr>
          <w:lang w:eastAsia="en-GB"/>
        </w:rPr>
      </w:pPr>
      <w:r w:rsidRPr="00647CD8">
        <w:rPr>
          <w:lang w:eastAsia="en-GB"/>
        </w:rPr>
        <w:t xml:space="preserve">Should GW monitoring be required for underground tanks and/or the SCR, the boreholes should </w:t>
      </w:r>
      <w:r w:rsidR="00153DF5" w:rsidRPr="00647CD8">
        <w:rPr>
          <w:lang w:eastAsia="en-GB"/>
        </w:rPr>
        <w:t xml:space="preserve">generally </w:t>
      </w:r>
      <w:r w:rsidRPr="00647CD8">
        <w:rPr>
          <w:lang w:eastAsia="en-GB"/>
        </w:rPr>
        <w:t xml:space="preserve">be positioned for whole site surveillance (for the SCR) rather than as a very local control </w:t>
      </w:r>
      <w:r w:rsidR="00153DF5" w:rsidRPr="00647CD8">
        <w:rPr>
          <w:lang w:eastAsia="en-GB"/>
        </w:rPr>
        <w:t xml:space="preserve">measure </w:t>
      </w:r>
      <w:r w:rsidRPr="00647CD8">
        <w:rPr>
          <w:lang w:eastAsia="en-GB"/>
        </w:rPr>
        <w:t xml:space="preserve">immediately around the buried fuel oil tanks (i.e. not be just an addition to double skinned tanks already protected by leak detection and hence ignoring distribution pipework etc). </w:t>
      </w:r>
    </w:p>
    <w:p w14:paraId="398AEB55" w14:textId="77777777" w:rsidR="00AE15F2" w:rsidRPr="00647CD8" w:rsidRDefault="00B96994" w:rsidP="00AE15F2">
      <w:pPr>
        <w:rPr>
          <w:lang w:eastAsia="en-GB"/>
        </w:rPr>
      </w:pPr>
      <w:r w:rsidRPr="00647CD8">
        <w:rPr>
          <w:lang w:eastAsia="en-GB"/>
        </w:rPr>
        <w:t>W</w:t>
      </w:r>
      <w:r w:rsidR="007C5220" w:rsidRPr="00647CD8">
        <w:rPr>
          <w:lang w:eastAsia="en-GB"/>
        </w:rPr>
        <w:t>e would expect GW periodic monitoring for below ground fuel tanks</w:t>
      </w:r>
      <w:r w:rsidRPr="00647CD8">
        <w:rPr>
          <w:lang w:eastAsia="en-GB"/>
        </w:rPr>
        <w:t>,</w:t>
      </w:r>
      <w:r w:rsidR="007C5220" w:rsidRPr="00647CD8">
        <w:rPr>
          <w:lang w:eastAsia="en-GB"/>
        </w:rPr>
        <w:t xml:space="preserve"> unless a very clear BAT argument is provided – this should include discussion on fuel distribution pipework and day tanks across the whole site.</w:t>
      </w:r>
      <w:r w:rsidR="00AE15F2" w:rsidRPr="00647CD8">
        <w:rPr>
          <w:lang w:eastAsia="en-GB"/>
        </w:rPr>
        <w:t xml:space="preserve"> </w:t>
      </w:r>
    </w:p>
    <w:p w14:paraId="2172F1E6" w14:textId="77777777" w:rsidR="00AE15F2" w:rsidRPr="00647CD8" w:rsidRDefault="00AE15F2" w:rsidP="00AE15F2">
      <w:pPr>
        <w:rPr>
          <w:lang w:eastAsia="en-GB"/>
        </w:rPr>
      </w:pPr>
      <w:r w:rsidRPr="00647CD8">
        <w:rPr>
          <w:lang w:eastAsia="en-GB"/>
        </w:rPr>
        <w:t xml:space="preserve">For operating sites we will accept proposals for the retrospective </w:t>
      </w:r>
      <w:r w:rsidR="00B96994" w:rsidRPr="00647CD8">
        <w:rPr>
          <w:lang w:eastAsia="en-GB"/>
        </w:rPr>
        <w:t xml:space="preserve">GW </w:t>
      </w:r>
      <w:r w:rsidRPr="00647CD8">
        <w:rPr>
          <w:lang w:eastAsia="en-GB"/>
        </w:rPr>
        <w:t>borehole position in respect of risks to utility inputs to the site i.e. nearness to HV cabling and transformers.</w:t>
      </w:r>
    </w:p>
    <w:p w14:paraId="51B6CC1C" w14:textId="77777777" w:rsidR="007C5220" w:rsidRPr="00647CD8" w:rsidRDefault="007C5220" w:rsidP="00161A9D">
      <w:pPr>
        <w:pStyle w:val="Heading3"/>
        <w:rPr>
          <w:color w:val="auto"/>
        </w:rPr>
      </w:pPr>
      <w:bookmarkStart w:id="37" w:name="_Toc517419568"/>
      <w:r w:rsidRPr="00647CD8">
        <w:rPr>
          <w:color w:val="auto"/>
        </w:rPr>
        <w:t>Noise</w:t>
      </w:r>
      <w:bookmarkEnd w:id="37"/>
    </w:p>
    <w:p w14:paraId="6CC139EB" w14:textId="77777777" w:rsidR="007C5220" w:rsidRPr="00647CD8" w:rsidRDefault="007C5220" w:rsidP="007C5220">
      <w:pPr>
        <w:rPr>
          <w:lang w:eastAsia="en-GB"/>
        </w:rPr>
      </w:pPr>
      <w:r w:rsidRPr="00647CD8">
        <w:rPr>
          <w:lang w:eastAsia="en-GB"/>
        </w:rPr>
        <w:t>Generally same rules acceptable for planning though clearly noise control is a BAT issue within the permit application</w:t>
      </w:r>
      <w:r w:rsidR="00932E65" w:rsidRPr="00647CD8">
        <w:rPr>
          <w:lang w:eastAsia="en-GB"/>
        </w:rPr>
        <w:t>.</w:t>
      </w:r>
      <w:r w:rsidR="00B84890" w:rsidRPr="00647CD8">
        <w:rPr>
          <w:lang w:eastAsia="en-GB"/>
        </w:rPr>
        <w:t xml:space="preserve"> See </w:t>
      </w:r>
      <w:hyperlink r:id="rId18" w:history="1">
        <w:r w:rsidR="00B84890" w:rsidRPr="00647CD8">
          <w:rPr>
            <w:rStyle w:val="Hyperlink"/>
            <w:color w:val="auto"/>
          </w:rPr>
          <w:t>https://www.gov.uk/government/publications/environmental-permitting-h3-part-2-noise-assessment-and-control</w:t>
        </w:r>
      </w:hyperlink>
    </w:p>
    <w:p w14:paraId="4BD7CDDA" w14:textId="77777777" w:rsidR="00B96994" w:rsidRPr="00647CD8" w:rsidRDefault="007C5220" w:rsidP="00575C9A">
      <w:pPr>
        <w:pStyle w:val="Heading2"/>
        <w:rPr>
          <w:color w:val="auto"/>
        </w:rPr>
      </w:pPr>
      <w:bookmarkStart w:id="38" w:name="_Toc517419569"/>
      <w:r w:rsidRPr="00647CD8">
        <w:rPr>
          <w:color w:val="auto"/>
        </w:rPr>
        <w:t>Fuel Storage</w:t>
      </w:r>
      <w:bookmarkEnd w:id="38"/>
      <w:r w:rsidR="00B96994" w:rsidRPr="00647CD8">
        <w:rPr>
          <w:color w:val="auto"/>
        </w:rPr>
        <w:t xml:space="preserve"> </w:t>
      </w:r>
    </w:p>
    <w:p w14:paraId="31010A2D" w14:textId="77777777" w:rsidR="00B96994" w:rsidRPr="00647CD8" w:rsidRDefault="00B96994" w:rsidP="00B96994">
      <w:pPr>
        <w:rPr>
          <w:lang w:eastAsia="en-GB"/>
        </w:rPr>
      </w:pPr>
    </w:p>
    <w:p w14:paraId="0FF01BFE" w14:textId="77777777" w:rsidR="008213CE" w:rsidRPr="00647CD8" w:rsidRDefault="00B96994" w:rsidP="00B96994">
      <w:pPr>
        <w:rPr>
          <w:lang w:eastAsia="en-GB"/>
        </w:rPr>
      </w:pPr>
      <w:r w:rsidRPr="00647CD8">
        <w:rPr>
          <w:lang w:eastAsia="en-GB"/>
        </w:rPr>
        <w:t>Depending on the location and risk to groundwater there may be a requirement to install groundwater monitoring as part of the SCR and IED.</w:t>
      </w:r>
    </w:p>
    <w:p w14:paraId="096EA93B" w14:textId="77777777" w:rsidR="008213CE" w:rsidRPr="00647CD8" w:rsidRDefault="008213CE" w:rsidP="00161A9D">
      <w:pPr>
        <w:pStyle w:val="Heading3"/>
        <w:rPr>
          <w:color w:val="auto"/>
        </w:rPr>
      </w:pPr>
      <w:bookmarkStart w:id="39" w:name="_Toc517419570"/>
      <w:r w:rsidRPr="00647CD8">
        <w:rPr>
          <w:color w:val="auto"/>
        </w:rPr>
        <w:t>Above ground fuel storage</w:t>
      </w:r>
      <w:bookmarkEnd w:id="39"/>
    </w:p>
    <w:p w14:paraId="755EFA9F" w14:textId="77777777" w:rsidR="00FE4707" w:rsidRPr="00647CD8" w:rsidRDefault="00260603" w:rsidP="00FE4707">
      <w:pPr>
        <w:rPr>
          <w:lang w:eastAsia="en-GB"/>
        </w:rPr>
      </w:pPr>
      <w:r w:rsidRPr="00647CD8">
        <w:rPr>
          <w:lang w:eastAsia="en-GB"/>
        </w:rPr>
        <w:t xml:space="preserve">If the oil storage is above ground the oil storage regulations apply and are </w:t>
      </w:r>
      <w:r w:rsidR="0020607E" w:rsidRPr="00647CD8">
        <w:rPr>
          <w:lang w:eastAsia="en-GB"/>
        </w:rPr>
        <w:t xml:space="preserve">covered by </w:t>
      </w:r>
      <w:r w:rsidRPr="00647CD8">
        <w:rPr>
          <w:lang w:eastAsia="en-GB"/>
        </w:rPr>
        <w:t>permit</w:t>
      </w:r>
      <w:r w:rsidR="0020607E" w:rsidRPr="00647CD8">
        <w:rPr>
          <w:lang w:eastAsia="en-GB"/>
        </w:rPr>
        <w:t xml:space="preserve"> conditions</w:t>
      </w:r>
      <w:r w:rsidR="009C5EDE" w:rsidRPr="00647CD8">
        <w:rPr>
          <w:lang w:eastAsia="en-GB"/>
        </w:rPr>
        <w:t xml:space="preserve"> as a</w:t>
      </w:r>
      <w:r w:rsidR="00B96994" w:rsidRPr="00647CD8">
        <w:rPr>
          <w:lang w:eastAsia="en-GB"/>
        </w:rPr>
        <w:t xml:space="preserve"> </w:t>
      </w:r>
      <w:r w:rsidR="009C5EDE" w:rsidRPr="00647CD8">
        <w:rPr>
          <w:lang w:eastAsia="en-GB"/>
        </w:rPr>
        <w:t xml:space="preserve">directly </w:t>
      </w:r>
      <w:r w:rsidR="00B96994" w:rsidRPr="00647CD8">
        <w:rPr>
          <w:lang w:eastAsia="en-GB"/>
        </w:rPr>
        <w:t>associated activity</w:t>
      </w:r>
      <w:r w:rsidR="009C5EDE" w:rsidRPr="00647CD8">
        <w:rPr>
          <w:lang w:eastAsia="en-GB"/>
        </w:rPr>
        <w:t xml:space="preserve"> (DAA)</w:t>
      </w:r>
      <w:r w:rsidRPr="00647CD8">
        <w:rPr>
          <w:lang w:eastAsia="en-GB"/>
        </w:rPr>
        <w:t xml:space="preserve">.  Bunding and management control for deliveries are expected in the permit application. </w:t>
      </w:r>
    </w:p>
    <w:p w14:paraId="57C19CD2" w14:textId="77777777" w:rsidR="008213CE" w:rsidRPr="00647CD8" w:rsidRDefault="008213CE" w:rsidP="00161A9D">
      <w:pPr>
        <w:pStyle w:val="Heading3"/>
        <w:rPr>
          <w:color w:val="auto"/>
        </w:rPr>
      </w:pPr>
      <w:bookmarkStart w:id="40" w:name="_Toc517419571"/>
      <w:r w:rsidRPr="00647CD8">
        <w:rPr>
          <w:color w:val="auto"/>
        </w:rPr>
        <w:t xml:space="preserve">Below ground </w:t>
      </w:r>
      <w:r w:rsidR="00E60B43" w:rsidRPr="00647CD8">
        <w:rPr>
          <w:color w:val="auto"/>
        </w:rPr>
        <w:t xml:space="preserve">and in building (basement) </w:t>
      </w:r>
      <w:r w:rsidRPr="00647CD8">
        <w:rPr>
          <w:color w:val="auto"/>
        </w:rPr>
        <w:t>fuel storage</w:t>
      </w:r>
      <w:bookmarkEnd w:id="40"/>
    </w:p>
    <w:p w14:paraId="39AA1641" w14:textId="77777777" w:rsidR="00260603" w:rsidRPr="00647CD8" w:rsidRDefault="00E60B43" w:rsidP="00260603">
      <w:pPr>
        <w:rPr>
          <w:lang w:eastAsia="en-GB"/>
        </w:rPr>
      </w:pPr>
      <w:r w:rsidRPr="00647CD8">
        <w:rPr>
          <w:lang w:eastAsia="en-GB"/>
        </w:rPr>
        <w:t xml:space="preserve">Oil storage regulations don’t apply but </w:t>
      </w:r>
      <w:r w:rsidR="007C5220" w:rsidRPr="00647CD8">
        <w:rPr>
          <w:lang w:eastAsia="en-GB"/>
        </w:rPr>
        <w:t xml:space="preserve">we still </w:t>
      </w:r>
      <w:r w:rsidRPr="00647CD8">
        <w:rPr>
          <w:lang w:eastAsia="en-GB"/>
        </w:rPr>
        <w:t xml:space="preserve">expect BAT. </w:t>
      </w:r>
    </w:p>
    <w:p w14:paraId="4D24A004" w14:textId="77777777" w:rsidR="00E60B43" w:rsidRPr="00647CD8" w:rsidRDefault="00E60B43" w:rsidP="00CB57C9">
      <w:pPr>
        <w:pStyle w:val="ListParagraph"/>
        <w:numPr>
          <w:ilvl w:val="0"/>
          <w:numId w:val="10"/>
        </w:numPr>
        <w:rPr>
          <w:lang w:eastAsia="en-GB"/>
        </w:rPr>
      </w:pPr>
      <w:r w:rsidRPr="00647CD8">
        <w:rPr>
          <w:lang w:eastAsia="en-GB"/>
        </w:rPr>
        <w:t>Leak detection</w:t>
      </w:r>
      <w:r w:rsidR="0020607E" w:rsidRPr="00647CD8">
        <w:rPr>
          <w:lang w:eastAsia="en-GB"/>
        </w:rPr>
        <w:t xml:space="preserve"> (pipes and tanks)</w:t>
      </w:r>
    </w:p>
    <w:p w14:paraId="111BA295" w14:textId="77777777" w:rsidR="00E60B43" w:rsidRPr="00647CD8" w:rsidRDefault="00E60B43" w:rsidP="00CB57C9">
      <w:pPr>
        <w:pStyle w:val="ListParagraph"/>
        <w:numPr>
          <w:ilvl w:val="0"/>
          <w:numId w:val="10"/>
        </w:numPr>
        <w:rPr>
          <w:lang w:eastAsia="en-GB"/>
        </w:rPr>
      </w:pPr>
      <w:r w:rsidRPr="00647CD8">
        <w:rPr>
          <w:lang w:eastAsia="en-GB"/>
        </w:rPr>
        <w:lastRenderedPageBreak/>
        <w:t>Bunding and procedures at the filling points</w:t>
      </w:r>
    </w:p>
    <w:p w14:paraId="6C38DB88" w14:textId="77777777" w:rsidR="00E60B43" w:rsidRPr="00647CD8" w:rsidRDefault="00E60B43" w:rsidP="00CB57C9">
      <w:pPr>
        <w:pStyle w:val="ListParagraph"/>
        <w:numPr>
          <w:ilvl w:val="0"/>
          <w:numId w:val="10"/>
        </w:numPr>
        <w:rPr>
          <w:lang w:eastAsia="en-GB"/>
        </w:rPr>
      </w:pPr>
      <w:r w:rsidRPr="00647CD8">
        <w:rPr>
          <w:lang w:eastAsia="en-GB"/>
        </w:rPr>
        <w:t xml:space="preserve">Spill </w:t>
      </w:r>
      <w:r w:rsidR="009132AB" w:rsidRPr="00647CD8">
        <w:rPr>
          <w:lang w:eastAsia="en-GB"/>
        </w:rPr>
        <w:t xml:space="preserve">procedure and </w:t>
      </w:r>
      <w:r w:rsidRPr="00647CD8">
        <w:rPr>
          <w:lang w:eastAsia="en-GB"/>
        </w:rPr>
        <w:t>kits</w:t>
      </w:r>
    </w:p>
    <w:p w14:paraId="5C4AF374" w14:textId="77777777" w:rsidR="00E60B43" w:rsidRPr="00647CD8" w:rsidRDefault="00E60B43" w:rsidP="00CB57C9">
      <w:pPr>
        <w:pStyle w:val="ListParagraph"/>
        <w:numPr>
          <w:ilvl w:val="0"/>
          <w:numId w:val="10"/>
        </w:numPr>
        <w:rPr>
          <w:lang w:eastAsia="en-GB"/>
        </w:rPr>
      </w:pPr>
      <w:r w:rsidRPr="00647CD8">
        <w:rPr>
          <w:lang w:eastAsia="en-GB"/>
        </w:rPr>
        <w:t>Double skinned</w:t>
      </w:r>
      <w:r w:rsidR="009132AB" w:rsidRPr="00647CD8">
        <w:rPr>
          <w:lang w:eastAsia="en-GB"/>
        </w:rPr>
        <w:t xml:space="preserve"> for tank</w:t>
      </w:r>
      <w:r w:rsidR="0020607E" w:rsidRPr="00647CD8">
        <w:rPr>
          <w:lang w:eastAsia="en-GB"/>
        </w:rPr>
        <w:t>s</w:t>
      </w:r>
      <w:r w:rsidR="009132AB" w:rsidRPr="00647CD8">
        <w:rPr>
          <w:lang w:eastAsia="en-GB"/>
        </w:rPr>
        <w:t xml:space="preserve"> and </w:t>
      </w:r>
      <w:r w:rsidR="0020607E" w:rsidRPr="00647CD8">
        <w:rPr>
          <w:lang w:eastAsia="en-GB"/>
        </w:rPr>
        <w:t>minimisation of</w:t>
      </w:r>
      <w:r w:rsidR="009132AB" w:rsidRPr="00647CD8">
        <w:rPr>
          <w:lang w:eastAsia="en-GB"/>
        </w:rPr>
        <w:t xml:space="preserve"> </w:t>
      </w:r>
      <w:r w:rsidR="0020607E" w:rsidRPr="00647CD8">
        <w:rPr>
          <w:lang w:eastAsia="en-GB"/>
        </w:rPr>
        <w:t>underground</w:t>
      </w:r>
      <w:r w:rsidR="009132AB" w:rsidRPr="00647CD8">
        <w:rPr>
          <w:lang w:eastAsia="en-GB"/>
        </w:rPr>
        <w:t xml:space="preserve"> pipework</w:t>
      </w:r>
      <w:r w:rsidR="007C5220" w:rsidRPr="00647CD8">
        <w:rPr>
          <w:lang w:eastAsia="en-GB"/>
        </w:rPr>
        <w:t xml:space="preserve"> i.e. </w:t>
      </w:r>
      <w:r w:rsidR="0020607E" w:rsidRPr="00647CD8">
        <w:rPr>
          <w:lang w:eastAsia="en-GB"/>
        </w:rPr>
        <w:t xml:space="preserve">maximising </w:t>
      </w:r>
      <w:r w:rsidR="007C5220" w:rsidRPr="00647CD8">
        <w:rPr>
          <w:lang w:eastAsia="en-GB"/>
        </w:rPr>
        <w:t>inspectab</w:t>
      </w:r>
      <w:r w:rsidR="0020607E" w:rsidRPr="00647CD8">
        <w:rPr>
          <w:lang w:eastAsia="en-GB"/>
        </w:rPr>
        <w:t>i</w:t>
      </w:r>
      <w:r w:rsidR="007C5220" w:rsidRPr="00647CD8">
        <w:rPr>
          <w:lang w:eastAsia="en-GB"/>
        </w:rPr>
        <w:t>l</w:t>
      </w:r>
      <w:r w:rsidR="0020607E" w:rsidRPr="00647CD8">
        <w:rPr>
          <w:lang w:eastAsia="en-GB"/>
        </w:rPr>
        <w:t>ity</w:t>
      </w:r>
      <w:r w:rsidR="007C5220" w:rsidRPr="00647CD8">
        <w:rPr>
          <w:lang w:eastAsia="en-GB"/>
        </w:rPr>
        <w:t xml:space="preserve"> for leaks</w:t>
      </w:r>
      <w:r w:rsidR="009132AB" w:rsidRPr="00647CD8">
        <w:rPr>
          <w:lang w:eastAsia="en-GB"/>
        </w:rPr>
        <w:t>.</w:t>
      </w:r>
    </w:p>
    <w:p w14:paraId="426A9D81" w14:textId="77777777" w:rsidR="00504A13" w:rsidRPr="00647CD8" w:rsidRDefault="00504A13" w:rsidP="00575C9A">
      <w:pPr>
        <w:pStyle w:val="Heading2"/>
        <w:rPr>
          <w:color w:val="auto"/>
        </w:rPr>
      </w:pPr>
      <w:bookmarkStart w:id="41" w:name="_Ref485803545"/>
      <w:bookmarkStart w:id="42" w:name="_Ref485803548"/>
      <w:bookmarkStart w:id="43" w:name="_Toc517419572"/>
      <w:r w:rsidRPr="00647CD8">
        <w:rPr>
          <w:color w:val="auto"/>
        </w:rPr>
        <w:t>Air Impacts Modelling</w:t>
      </w:r>
      <w:bookmarkEnd w:id="41"/>
      <w:bookmarkEnd w:id="42"/>
      <w:bookmarkEnd w:id="43"/>
    </w:p>
    <w:p w14:paraId="0F293B14" w14:textId="77777777" w:rsidR="009D274C" w:rsidRPr="00647CD8" w:rsidRDefault="009D274C" w:rsidP="001F0F66">
      <w:pPr>
        <w:rPr>
          <w:lang w:eastAsia="en-GB"/>
        </w:rPr>
      </w:pPr>
    </w:p>
    <w:p w14:paraId="3BCC203E" w14:textId="77777777" w:rsidR="00B84890" w:rsidRPr="00647CD8" w:rsidRDefault="00200961" w:rsidP="00153DF5">
      <w:pPr>
        <w:rPr>
          <w:lang w:eastAsia="en-GB"/>
        </w:rPr>
      </w:pPr>
      <w:r w:rsidRPr="00647CD8">
        <w:rPr>
          <w:lang w:eastAsia="en-GB"/>
        </w:rPr>
        <w:t>The air quality impacts need to be modelled to justify permitting the operation</w:t>
      </w:r>
      <w:r w:rsidR="009C5EDE" w:rsidRPr="00647CD8">
        <w:rPr>
          <w:lang w:eastAsia="en-GB"/>
        </w:rPr>
        <w:t xml:space="preserve"> (testing and grid outage)</w:t>
      </w:r>
      <w:r w:rsidRPr="00647CD8">
        <w:rPr>
          <w:lang w:eastAsia="en-GB"/>
        </w:rPr>
        <w:t>.</w:t>
      </w:r>
      <w:r w:rsidR="00B84890" w:rsidRPr="00647CD8">
        <w:rPr>
          <w:lang w:eastAsia="en-GB"/>
        </w:rPr>
        <w:t xml:space="preserve"> Refer to web guide on risk assessment for emissions to air:</w:t>
      </w:r>
    </w:p>
    <w:p w14:paraId="20FDCA49" w14:textId="77777777" w:rsidR="00B84890" w:rsidRPr="00647CD8" w:rsidRDefault="004956DE" w:rsidP="00B84890">
      <w:pPr>
        <w:pStyle w:val="CommentText"/>
        <w:rPr>
          <w:rStyle w:val="Hyperlink"/>
          <w:color w:val="auto"/>
        </w:rPr>
      </w:pPr>
      <w:hyperlink r:id="rId19" w:history="1">
        <w:r w:rsidR="00B84890" w:rsidRPr="00647CD8">
          <w:rPr>
            <w:rStyle w:val="Hyperlink"/>
            <w:color w:val="auto"/>
          </w:rPr>
          <w:t>https://www.gov.uk/guidance/air-emissions-risk-assessment-for-your-environmental-permit</w:t>
        </w:r>
      </w:hyperlink>
      <w:r w:rsidR="00B84890" w:rsidRPr="00647CD8">
        <w:rPr>
          <w:rStyle w:val="Hyperlink"/>
          <w:color w:val="auto"/>
        </w:rPr>
        <w:t xml:space="preserve"> </w:t>
      </w:r>
    </w:p>
    <w:p w14:paraId="43460B3E" w14:textId="77777777" w:rsidR="00B84890" w:rsidRPr="00647CD8" w:rsidRDefault="00B84890" w:rsidP="00153DF5">
      <w:pPr>
        <w:rPr>
          <w:lang w:eastAsia="en-GB"/>
        </w:rPr>
      </w:pPr>
      <w:r w:rsidRPr="00647CD8">
        <w:rPr>
          <w:lang w:eastAsia="en-GB"/>
        </w:rPr>
        <w:t>and the requirements for AQ submission:</w:t>
      </w:r>
    </w:p>
    <w:p w14:paraId="712A1041" w14:textId="77777777" w:rsidR="00B84890" w:rsidRPr="00647CD8" w:rsidRDefault="004956DE" w:rsidP="00B84890">
      <w:pPr>
        <w:pStyle w:val="CommentText"/>
      </w:pPr>
      <w:hyperlink r:id="rId20" w:history="1">
        <w:r w:rsidR="00B84890" w:rsidRPr="00647CD8">
          <w:rPr>
            <w:rStyle w:val="Hyperlink"/>
            <w:color w:val="auto"/>
          </w:rPr>
          <w:t>https://www.gov.uk/guidance/environmental-permitting-air-dispersion-modelling-reports</w:t>
        </w:r>
      </w:hyperlink>
    </w:p>
    <w:p w14:paraId="75BE796F" w14:textId="77777777" w:rsidR="00530E96" w:rsidRPr="00647CD8" w:rsidRDefault="00530E96" w:rsidP="00B43113">
      <w:pPr>
        <w:pStyle w:val="CommentText"/>
        <w:rPr>
          <w:lang w:eastAsia="en-GB"/>
        </w:rPr>
      </w:pPr>
    </w:p>
    <w:p w14:paraId="27457FDA" w14:textId="77777777" w:rsidR="00680A42" w:rsidRPr="00647CD8" w:rsidRDefault="009D274C" w:rsidP="009D274C">
      <w:pPr>
        <w:pStyle w:val="Heading3"/>
        <w:rPr>
          <w:color w:val="auto"/>
        </w:rPr>
      </w:pPr>
      <w:bookmarkStart w:id="44" w:name="_Toc517419573"/>
      <w:r w:rsidRPr="00647CD8">
        <w:rPr>
          <w:color w:val="auto"/>
        </w:rPr>
        <w:t>Scenario m</w:t>
      </w:r>
      <w:r w:rsidR="00530E96" w:rsidRPr="00647CD8">
        <w:rPr>
          <w:color w:val="auto"/>
        </w:rPr>
        <w:t>odelling of the impacts of the emissions to air is largely split into</w:t>
      </w:r>
      <w:r w:rsidR="00680A42" w:rsidRPr="00647CD8">
        <w:rPr>
          <w:color w:val="auto"/>
        </w:rPr>
        <w:t>:</w:t>
      </w:r>
      <w:bookmarkEnd w:id="44"/>
    </w:p>
    <w:p w14:paraId="304690A8" w14:textId="77777777" w:rsidR="009D274C" w:rsidRPr="00647CD8" w:rsidRDefault="001F3E48" w:rsidP="00884905">
      <w:pPr>
        <w:pStyle w:val="ListParagraph"/>
        <w:numPr>
          <w:ilvl w:val="0"/>
          <w:numId w:val="23"/>
        </w:numPr>
        <w:rPr>
          <w:lang w:eastAsia="en-GB"/>
        </w:rPr>
      </w:pPr>
      <w:r w:rsidRPr="00647CD8">
        <w:rPr>
          <w:u w:val="single"/>
          <w:lang w:eastAsia="en-GB"/>
        </w:rPr>
        <w:t>Maintenance Schedule Model</w:t>
      </w:r>
      <w:r w:rsidRPr="00647CD8">
        <w:rPr>
          <w:lang w:eastAsia="en-GB"/>
        </w:rPr>
        <w:t xml:space="preserve"> - </w:t>
      </w:r>
      <w:r w:rsidR="00530E96" w:rsidRPr="00647CD8">
        <w:rPr>
          <w:lang w:eastAsia="en-GB"/>
        </w:rPr>
        <w:t>the predictable, managed testing and maintenance activity for the standby plant</w:t>
      </w:r>
      <w:r w:rsidR="005D371B" w:rsidRPr="00647CD8">
        <w:rPr>
          <w:lang w:eastAsia="en-GB"/>
        </w:rPr>
        <w:t xml:space="preserve"> (including some scope for changes</w:t>
      </w:r>
      <w:r w:rsidR="009C5EDE" w:rsidRPr="00647CD8">
        <w:rPr>
          <w:lang w:eastAsia="en-GB"/>
        </w:rPr>
        <w:t xml:space="preserve"> and flexibility</w:t>
      </w:r>
      <w:r w:rsidR="005D371B" w:rsidRPr="00647CD8">
        <w:rPr>
          <w:lang w:eastAsia="en-GB"/>
        </w:rPr>
        <w:t>)</w:t>
      </w:r>
      <w:r w:rsidR="00530E96" w:rsidRPr="00647CD8">
        <w:rPr>
          <w:lang w:eastAsia="en-GB"/>
        </w:rPr>
        <w:t>, and then</w:t>
      </w:r>
      <w:r w:rsidR="009D274C" w:rsidRPr="00647CD8">
        <w:rPr>
          <w:lang w:eastAsia="en-GB"/>
        </w:rPr>
        <w:t xml:space="preserve"> </w:t>
      </w:r>
    </w:p>
    <w:p w14:paraId="1E285B4B" w14:textId="77777777" w:rsidR="009D274C" w:rsidRPr="00647CD8" w:rsidRDefault="001F3E48" w:rsidP="00884905">
      <w:pPr>
        <w:pStyle w:val="ListParagraph"/>
        <w:numPr>
          <w:ilvl w:val="0"/>
          <w:numId w:val="23"/>
        </w:numPr>
        <w:rPr>
          <w:lang w:eastAsia="en-GB"/>
        </w:rPr>
      </w:pPr>
      <w:bookmarkStart w:id="45" w:name="_Ref485803488"/>
      <w:r w:rsidRPr="00647CD8">
        <w:rPr>
          <w:u w:val="single"/>
          <w:lang w:eastAsia="en-GB"/>
        </w:rPr>
        <w:t>Outage Model</w:t>
      </w:r>
      <w:r w:rsidRPr="00647CD8">
        <w:rPr>
          <w:lang w:eastAsia="en-GB"/>
        </w:rPr>
        <w:t xml:space="preserve"> - </w:t>
      </w:r>
      <w:r w:rsidR="00530E96" w:rsidRPr="00647CD8">
        <w:rPr>
          <w:lang w:eastAsia="en-GB"/>
        </w:rPr>
        <w:t xml:space="preserve">the unpredictable emergency grid outage </w:t>
      </w:r>
      <w:r w:rsidR="009D274C" w:rsidRPr="00647CD8">
        <w:rPr>
          <w:lang w:eastAsia="en-GB"/>
        </w:rPr>
        <w:t xml:space="preserve">any time during the year </w:t>
      </w:r>
      <w:r w:rsidR="00530E96" w:rsidRPr="00647CD8">
        <w:rPr>
          <w:lang w:eastAsia="en-GB"/>
        </w:rPr>
        <w:t>requiring the maximum plant to operate</w:t>
      </w:r>
      <w:r w:rsidR="009D274C" w:rsidRPr="00647CD8">
        <w:rPr>
          <w:lang w:eastAsia="en-GB"/>
        </w:rPr>
        <w:t xml:space="preserve"> for the required outage duration </w:t>
      </w:r>
      <w:r w:rsidR="009C5EDE" w:rsidRPr="00647CD8">
        <w:rPr>
          <w:lang w:eastAsia="en-GB"/>
        </w:rPr>
        <w:t>i.e.</w:t>
      </w:r>
      <w:r w:rsidR="009D274C" w:rsidRPr="00647CD8">
        <w:rPr>
          <w:lang w:eastAsia="en-GB"/>
        </w:rPr>
        <w:t xml:space="preserve"> ‘likely maximum’ specified by the company</w:t>
      </w:r>
      <w:r w:rsidR="00530E96" w:rsidRPr="00647CD8">
        <w:rPr>
          <w:lang w:eastAsia="en-GB"/>
        </w:rPr>
        <w:t>.</w:t>
      </w:r>
      <w:bookmarkEnd w:id="45"/>
    </w:p>
    <w:p w14:paraId="0D43130F" w14:textId="77777777" w:rsidR="00153DF5" w:rsidRPr="00647CD8" w:rsidRDefault="001F3E48" w:rsidP="002774FE">
      <w:pPr>
        <w:pStyle w:val="ListParagraph"/>
        <w:numPr>
          <w:ilvl w:val="0"/>
          <w:numId w:val="23"/>
        </w:numPr>
        <w:rPr>
          <w:lang w:eastAsia="en-GB"/>
        </w:rPr>
      </w:pPr>
      <w:r w:rsidRPr="00647CD8">
        <w:rPr>
          <w:u w:val="single"/>
          <w:lang w:eastAsia="en-GB"/>
        </w:rPr>
        <w:t>Non-emergency E</w:t>
      </w:r>
      <w:r w:rsidR="002705EA" w:rsidRPr="00647CD8">
        <w:rPr>
          <w:u w:val="single"/>
          <w:lang w:eastAsia="en-GB"/>
        </w:rPr>
        <w:t>lective P</w:t>
      </w:r>
      <w:r w:rsidRPr="00647CD8">
        <w:rPr>
          <w:u w:val="single"/>
          <w:lang w:eastAsia="en-GB"/>
        </w:rPr>
        <w:t>ower Model</w:t>
      </w:r>
      <w:r w:rsidRPr="00647CD8">
        <w:rPr>
          <w:lang w:eastAsia="en-GB"/>
        </w:rPr>
        <w:t xml:space="preserve"> - </w:t>
      </w:r>
      <w:r w:rsidR="00153DF5" w:rsidRPr="00647CD8">
        <w:rPr>
          <w:lang w:eastAsia="en-GB"/>
        </w:rPr>
        <w:t>If the site is seeking a STOR, DRS or FCDM mode too then this needs to be modelled separately but in addition to 1. &amp; 2.</w:t>
      </w:r>
    </w:p>
    <w:p w14:paraId="613ECC83" w14:textId="77777777" w:rsidR="009D274C" w:rsidRPr="00647CD8" w:rsidRDefault="009D274C" w:rsidP="009D274C">
      <w:pPr>
        <w:rPr>
          <w:lang w:eastAsia="en-GB"/>
        </w:rPr>
      </w:pPr>
      <w:r w:rsidRPr="00647CD8">
        <w:rPr>
          <w:lang w:eastAsia="en-GB"/>
        </w:rPr>
        <w:t>The impacts of each is largely treated separately during the permitting determination.</w:t>
      </w:r>
    </w:p>
    <w:p w14:paraId="4138A1EB" w14:textId="77777777" w:rsidR="00D23D74" w:rsidRPr="00647CD8" w:rsidRDefault="00D23D74" w:rsidP="00D23D74">
      <w:pPr>
        <w:rPr>
          <w:lang w:eastAsia="en-GB"/>
        </w:rPr>
      </w:pPr>
      <w:r w:rsidRPr="00647CD8">
        <w:rPr>
          <w:lang w:eastAsia="en-GB"/>
        </w:rPr>
        <w:t>One of the issues is the potential of having to rely on the engines’ certified emission ‘worst case’ parameters and then needing to justify that practically the emissions and hence impacts would be expected to lower. Three approaches delivering a more accurate and AQ impacts assessment model:</w:t>
      </w:r>
    </w:p>
    <w:p w14:paraId="34A89687" w14:textId="77777777" w:rsidR="00D23D74" w:rsidRPr="00647CD8" w:rsidRDefault="00D23D74" w:rsidP="00D23D74">
      <w:pPr>
        <w:pStyle w:val="ListParagraph"/>
        <w:numPr>
          <w:ilvl w:val="0"/>
          <w:numId w:val="11"/>
        </w:numPr>
        <w:rPr>
          <w:lang w:eastAsia="en-GB"/>
        </w:rPr>
      </w:pPr>
      <w:r w:rsidRPr="00647CD8">
        <w:rPr>
          <w:lang w:eastAsia="en-GB"/>
        </w:rPr>
        <w:t>Simply use the certified technical standard provided by the manufacturer (as has been the case for other sites) – worst case and confirms basic BAT for the engine design.</w:t>
      </w:r>
    </w:p>
    <w:p w14:paraId="42A390EF" w14:textId="77777777" w:rsidR="00D23D74" w:rsidRPr="00647CD8" w:rsidRDefault="00D23D74" w:rsidP="00D23D74">
      <w:pPr>
        <w:pStyle w:val="ListParagraph"/>
        <w:numPr>
          <w:ilvl w:val="0"/>
          <w:numId w:val="11"/>
        </w:numPr>
        <w:rPr>
          <w:lang w:eastAsia="en-GB"/>
        </w:rPr>
      </w:pPr>
      <w:r w:rsidRPr="00647CD8">
        <w:rPr>
          <w:lang w:eastAsia="en-GB"/>
        </w:rPr>
        <w:t>Using the certified technical standard as above but provide some evidence or justification as to the realistic (hopefully lower) emission values as practically measured on site across many units (which have already been installed). Such monitoring clearly would need to be fit for purpose (e.g. calibrated Testo used for maintenance testing but correct O</w:t>
      </w:r>
      <w:r w:rsidRPr="00647CD8">
        <w:rPr>
          <w:vertAlign w:val="subscript"/>
          <w:lang w:eastAsia="en-GB"/>
        </w:rPr>
        <w:t>2</w:t>
      </w:r>
      <w:r w:rsidRPr="00647CD8">
        <w:rPr>
          <w:lang w:eastAsia="en-GB"/>
        </w:rPr>
        <w:t xml:space="preserve"> standardisation etc) </w:t>
      </w:r>
    </w:p>
    <w:p w14:paraId="17FBFD23" w14:textId="77777777" w:rsidR="00D23D74" w:rsidRPr="00647CD8" w:rsidRDefault="00D23D74" w:rsidP="00D23D74">
      <w:pPr>
        <w:pStyle w:val="ListParagraph"/>
        <w:numPr>
          <w:ilvl w:val="0"/>
          <w:numId w:val="11"/>
        </w:numPr>
        <w:rPr>
          <w:lang w:eastAsia="en-GB"/>
        </w:rPr>
      </w:pPr>
      <w:r w:rsidRPr="00647CD8">
        <w:rPr>
          <w:lang w:eastAsia="en-GB"/>
        </w:rPr>
        <w:t>Site specific values only and not referring to the engine certified specification; we need extensive field testing to a high standard for the majority of the plant deployed e.g. MCERTS &amp; CEN.</w:t>
      </w:r>
    </w:p>
    <w:p w14:paraId="392AF92A" w14:textId="77777777" w:rsidR="00D23D74" w:rsidRPr="00647CD8" w:rsidRDefault="00D23D74" w:rsidP="009D274C">
      <w:pPr>
        <w:rPr>
          <w:lang w:eastAsia="en-GB"/>
        </w:rPr>
      </w:pPr>
    </w:p>
    <w:p w14:paraId="40A584BE" w14:textId="77777777" w:rsidR="009D274C" w:rsidRPr="00647CD8" w:rsidRDefault="009D274C" w:rsidP="009D274C">
      <w:pPr>
        <w:pStyle w:val="Heading3"/>
        <w:rPr>
          <w:color w:val="auto"/>
        </w:rPr>
      </w:pPr>
      <w:bookmarkStart w:id="46" w:name="_Toc517419574"/>
      <w:r w:rsidRPr="00647CD8">
        <w:rPr>
          <w:color w:val="auto"/>
        </w:rPr>
        <w:t>Maintenance Schedule Model</w:t>
      </w:r>
      <w:bookmarkEnd w:id="46"/>
    </w:p>
    <w:p w14:paraId="28E2479D" w14:textId="77777777" w:rsidR="009C5EDE" w:rsidRPr="00647CD8" w:rsidRDefault="009D274C" w:rsidP="009D274C">
      <w:pPr>
        <w:rPr>
          <w:lang w:eastAsia="en-GB"/>
        </w:rPr>
      </w:pPr>
      <w:r w:rsidRPr="00647CD8">
        <w:rPr>
          <w:lang w:eastAsia="en-GB"/>
        </w:rPr>
        <w:t>The</w:t>
      </w:r>
      <w:r w:rsidR="002774FE" w:rsidRPr="00647CD8">
        <w:rPr>
          <w:lang w:eastAsia="en-GB"/>
        </w:rPr>
        <w:t xml:space="preserve"> aim of the maintenance schedule model is to get the most accurate assessment of the worst case emissions of what can be controlled by the operator. However it is unrealistic to model the full installed capacity </w:t>
      </w:r>
      <w:r w:rsidR="00C81738" w:rsidRPr="00647CD8">
        <w:rPr>
          <w:lang w:eastAsia="en-GB"/>
        </w:rPr>
        <w:t xml:space="preserve">(e.g. 2n) </w:t>
      </w:r>
      <w:r w:rsidR="002774FE" w:rsidRPr="00647CD8">
        <w:rPr>
          <w:lang w:eastAsia="en-GB"/>
        </w:rPr>
        <w:t xml:space="preserve">for an outage test; </w:t>
      </w:r>
      <w:r w:rsidR="00C81738" w:rsidRPr="00647CD8">
        <w:rPr>
          <w:lang w:eastAsia="en-GB"/>
        </w:rPr>
        <w:t xml:space="preserve">at the very least the </w:t>
      </w:r>
      <w:r w:rsidR="00D23D74" w:rsidRPr="00647CD8">
        <w:rPr>
          <w:lang w:eastAsia="en-GB"/>
        </w:rPr>
        <w:t xml:space="preserve">absolute maximum specified output load is needed i.e. </w:t>
      </w:r>
      <w:r w:rsidR="00C81738" w:rsidRPr="00647CD8">
        <w:rPr>
          <w:lang w:eastAsia="en-GB"/>
        </w:rPr>
        <w:t xml:space="preserve">n of 2n for example is require. </w:t>
      </w:r>
    </w:p>
    <w:p w14:paraId="0BE21CAB" w14:textId="77777777" w:rsidR="009D274C" w:rsidRPr="00647CD8" w:rsidRDefault="00C81738" w:rsidP="009D274C">
      <w:pPr>
        <w:rPr>
          <w:lang w:eastAsia="en-GB"/>
        </w:rPr>
      </w:pPr>
      <w:r w:rsidRPr="00647CD8">
        <w:rPr>
          <w:lang w:eastAsia="en-GB"/>
        </w:rPr>
        <w:lastRenderedPageBreak/>
        <w:t xml:space="preserve">If however the operator can provide justification that the maximum realistic load is best represented in taking account of the customers’ built in resilience into the original </w:t>
      </w:r>
      <w:r w:rsidR="00D23D74" w:rsidRPr="00647CD8">
        <w:rPr>
          <w:lang w:eastAsia="en-GB"/>
        </w:rPr>
        <w:t>‘</w:t>
      </w:r>
      <w:r w:rsidRPr="00647CD8">
        <w:rPr>
          <w:lang w:eastAsia="en-GB"/>
        </w:rPr>
        <w:t>n</w:t>
      </w:r>
      <w:r w:rsidR="00D23D74" w:rsidRPr="00647CD8">
        <w:rPr>
          <w:lang w:eastAsia="en-GB"/>
        </w:rPr>
        <w:t>’</w:t>
      </w:r>
      <w:r w:rsidRPr="00647CD8">
        <w:rPr>
          <w:lang w:eastAsia="en-GB"/>
        </w:rPr>
        <w:t xml:space="preserve"> specified </w:t>
      </w:r>
      <w:r w:rsidR="00D23D74" w:rsidRPr="00647CD8">
        <w:rPr>
          <w:lang w:eastAsia="en-GB"/>
        </w:rPr>
        <w:t xml:space="preserve">then this too can be factored in </w:t>
      </w:r>
      <w:r w:rsidRPr="00647CD8">
        <w:rPr>
          <w:lang w:eastAsia="en-GB"/>
        </w:rPr>
        <w:t>i.e. that n itself includes additional spare load headroom</w:t>
      </w:r>
      <w:r w:rsidR="00D23D74" w:rsidRPr="00647CD8">
        <w:rPr>
          <w:lang w:eastAsia="en-GB"/>
        </w:rPr>
        <w:t xml:space="preserve"> which can be reasonable discounted</w:t>
      </w:r>
      <w:r w:rsidRPr="00647CD8">
        <w:rPr>
          <w:lang w:eastAsia="en-GB"/>
        </w:rPr>
        <w:t>.</w:t>
      </w:r>
    </w:p>
    <w:p w14:paraId="7C727C4C" w14:textId="77777777" w:rsidR="007C5220" w:rsidRPr="00647CD8" w:rsidRDefault="00530E96" w:rsidP="009D274C">
      <w:pPr>
        <w:rPr>
          <w:lang w:eastAsia="en-GB"/>
        </w:rPr>
      </w:pPr>
      <w:r w:rsidRPr="00647CD8">
        <w:rPr>
          <w:lang w:eastAsia="en-GB"/>
        </w:rPr>
        <w:t xml:space="preserve">Maintenance and testing would include the </w:t>
      </w:r>
      <w:r w:rsidR="002C79EF" w:rsidRPr="00647CD8">
        <w:rPr>
          <w:lang w:eastAsia="en-GB"/>
        </w:rPr>
        <w:t xml:space="preserve">15minute or </w:t>
      </w:r>
      <w:r w:rsidRPr="00647CD8">
        <w:rPr>
          <w:lang w:eastAsia="en-GB"/>
        </w:rPr>
        <w:t>1 hour testing of individual plant</w:t>
      </w:r>
      <w:r w:rsidR="002C79EF" w:rsidRPr="00647CD8">
        <w:rPr>
          <w:lang w:eastAsia="en-GB"/>
        </w:rPr>
        <w:t xml:space="preserve"> (on load or tick-over)</w:t>
      </w:r>
      <w:r w:rsidRPr="00647CD8">
        <w:rPr>
          <w:lang w:eastAsia="en-GB"/>
        </w:rPr>
        <w:t xml:space="preserve">; the site black-out tests simulating a grid outage; any </w:t>
      </w:r>
      <w:r w:rsidR="00153DF5" w:rsidRPr="00647CD8">
        <w:rPr>
          <w:lang w:eastAsia="en-GB"/>
        </w:rPr>
        <w:t xml:space="preserve">predictable </w:t>
      </w:r>
      <w:r w:rsidRPr="00647CD8">
        <w:rPr>
          <w:lang w:eastAsia="en-GB"/>
        </w:rPr>
        <w:t>planned electrical infrastructure maintenance needing the gene</w:t>
      </w:r>
      <w:r w:rsidR="009C5EDE" w:rsidRPr="00647CD8">
        <w:rPr>
          <w:lang w:eastAsia="en-GB"/>
        </w:rPr>
        <w:t>rators to cover for the grid</w:t>
      </w:r>
      <w:r w:rsidRPr="00647CD8">
        <w:rPr>
          <w:lang w:eastAsia="en-GB"/>
        </w:rPr>
        <w:t>.</w:t>
      </w:r>
    </w:p>
    <w:p w14:paraId="4F1767F2" w14:textId="77777777" w:rsidR="009D274C" w:rsidRPr="00647CD8" w:rsidRDefault="009D274C" w:rsidP="00D23D74">
      <w:pPr>
        <w:rPr>
          <w:lang w:eastAsia="en-GB"/>
        </w:rPr>
      </w:pPr>
      <w:r w:rsidRPr="00647CD8">
        <w:rPr>
          <w:lang w:eastAsia="en-GB"/>
        </w:rPr>
        <w:t xml:space="preserve">If most of the time generators </w:t>
      </w:r>
      <w:r w:rsidR="002774FE" w:rsidRPr="00647CD8">
        <w:rPr>
          <w:lang w:eastAsia="en-GB"/>
        </w:rPr>
        <w:t xml:space="preserve">are </w:t>
      </w:r>
      <w:r w:rsidRPr="00647CD8">
        <w:rPr>
          <w:lang w:eastAsia="en-GB"/>
        </w:rPr>
        <w:t xml:space="preserve">tested at reduced load </w:t>
      </w:r>
      <w:r w:rsidR="002774FE" w:rsidRPr="00647CD8">
        <w:rPr>
          <w:lang w:eastAsia="en-GB"/>
        </w:rPr>
        <w:t xml:space="preserve">because a set ‘shares’ the actual demand load across a resilience configuration </w:t>
      </w:r>
      <w:r w:rsidR="00701ED0" w:rsidRPr="00647CD8">
        <w:rPr>
          <w:lang w:eastAsia="en-GB"/>
        </w:rPr>
        <w:t xml:space="preserve">and may well not be at the optimum emissions-load operation </w:t>
      </w:r>
      <w:r w:rsidRPr="00647CD8">
        <w:rPr>
          <w:lang w:eastAsia="en-GB"/>
        </w:rPr>
        <w:t>e.g. 25% load</w:t>
      </w:r>
      <w:r w:rsidR="002774FE" w:rsidRPr="00647CD8">
        <w:rPr>
          <w:lang w:eastAsia="en-GB"/>
        </w:rPr>
        <w:t>, the model should</w:t>
      </w:r>
      <w:r w:rsidRPr="00647CD8">
        <w:rPr>
          <w:lang w:eastAsia="en-GB"/>
        </w:rPr>
        <w:t xml:space="preserve"> provide some evidence of emission rates at </w:t>
      </w:r>
      <w:r w:rsidR="002774FE" w:rsidRPr="00647CD8">
        <w:rPr>
          <w:lang w:eastAsia="en-GB"/>
        </w:rPr>
        <w:t>this load</w:t>
      </w:r>
      <w:r w:rsidR="00701ED0" w:rsidRPr="00647CD8">
        <w:rPr>
          <w:lang w:eastAsia="en-GB"/>
        </w:rPr>
        <w:t xml:space="preserve"> rather than simply assume a pro-rata </w:t>
      </w:r>
      <w:r w:rsidR="001B4E63" w:rsidRPr="00647CD8">
        <w:rPr>
          <w:lang w:eastAsia="en-GB"/>
        </w:rPr>
        <w:t xml:space="preserve">reduction </w:t>
      </w:r>
      <w:r w:rsidR="00701ED0" w:rsidRPr="00647CD8">
        <w:rPr>
          <w:lang w:eastAsia="en-GB"/>
        </w:rPr>
        <w:t>of the emissions at 100% load.</w:t>
      </w:r>
    </w:p>
    <w:p w14:paraId="4FFB7DF6" w14:textId="77777777" w:rsidR="0011183D" w:rsidRPr="00647CD8" w:rsidRDefault="0011183D" w:rsidP="0011183D">
      <w:pPr>
        <w:rPr>
          <w:lang w:eastAsia="en-GB"/>
        </w:rPr>
      </w:pPr>
      <w:r w:rsidRPr="00647CD8">
        <w:rPr>
          <w:lang w:eastAsia="en-GB"/>
        </w:rPr>
        <w:t xml:space="preserve">The main impacts issue for modelling is the likely short term ambient air quality standard for hourly mean NOx. The significant risk is the allowance of up to 18 hourly exceedances in a calendar year and the data centres modelled contribution. </w:t>
      </w:r>
      <w:r w:rsidRPr="00647CD8">
        <w:rPr>
          <w:b/>
          <w:lang w:eastAsia="en-GB"/>
        </w:rPr>
        <w:t xml:space="preserve">All else being equal the EA considers the receptor at which an exceedance notionally impacts to be any within a representative area (of at least 250 m x 250 m indicated by the EU Air Quality Directive 2008/50/EC); and not that a </w:t>
      </w:r>
      <w:r w:rsidR="00153DF5" w:rsidRPr="00647CD8">
        <w:rPr>
          <w:b/>
          <w:lang w:eastAsia="en-GB"/>
        </w:rPr>
        <w:t xml:space="preserve">single </w:t>
      </w:r>
      <w:r w:rsidRPr="00647CD8">
        <w:rPr>
          <w:b/>
          <w:lang w:eastAsia="en-GB"/>
        </w:rPr>
        <w:t>specific receptor needs to have all 18 occurrences</w:t>
      </w:r>
      <w:r w:rsidR="001F3E48" w:rsidRPr="00647CD8">
        <w:rPr>
          <w:b/>
          <w:lang w:eastAsia="en-GB"/>
        </w:rPr>
        <w:t xml:space="preserve"> alone</w:t>
      </w:r>
      <w:r w:rsidRPr="00647CD8">
        <w:rPr>
          <w:b/>
          <w:lang w:eastAsia="en-GB"/>
        </w:rPr>
        <w:t>, or indeed that the receptor notionally needs to be a specific DEFRA monitoring station.</w:t>
      </w:r>
    </w:p>
    <w:p w14:paraId="7E1C3868" w14:textId="77777777" w:rsidR="002C79EF" w:rsidRPr="00647CD8" w:rsidRDefault="002C79EF" w:rsidP="00D23D74">
      <w:pPr>
        <w:rPr>
          <w:b/>
          <w:lang w:eastAsia="en-GB"/>
        </w:rPr>
      </w:pPr>
      <w:r w:rsidRPr="00647CD8">
        <w:rPr>
          <w:b/>
          <w:lang w:eastAsia="en-GB"/>
        </w:rPr>
        <w:t>We would expect the controllable maintenance schedule to cause</w:t>
      </w:r>
      <w:r w:rsidR="0011183D" w:rsidRPr="00647CD8">
        <w:rPr>
          <w:b/>
          <w:lang w:eastAsia="en-GB"/>
        </w:rPr>
        <w:t>/model</w:t>
      </w:r>
      <w:r w:rsidRPr="00647CD8">
        <w:rPr>
          <w:b/>
          <w:lang w:eastAsia="en-GB"/>
        </w:rPr>
        <w:t xml:space="preserve"> no or minimal numbers of individual hourly mean NOx exceedances</w:t>
      </w:r>
      <w:r w:rsidR="0011183D" w:rsidRPr="00647CD8">
        <w:rPr>
          <w:b/>
          <w:lang w:eastAsia="en-GB"/>
        </w:rPr>
        <w:t xml:space="preserve">. We would need clear justifications and BAT review if maintenance </w:t>
      </w:r>
      <w:r w:rsidR="001B4E63" w:rsidRPr="00647CD8">
        <w:rPr>
          <w:b/>
          <w:lang w:eastAsia="en-GB"/>
        </w:rPr>
        <w:t>was predicted to risk causing</w:t>
      </w:r>
      <w:r w:rsidR="0011183D" w:rsidRPr="00647CD8">
        <w:rPr>
          <w:b/>
          <w:lang w:eastAsia="en-GB"/>
        </w:rPr>
        <w:t xml:space="preserve"> 18 or more hourly exceedances (wherever that may be) and especially if the same single receptor was implicated.</w:t>
      </w:r>
    </w:p>
    <w:p w14:paraId="1BACD928" w14:textId="77777777" w:rsidR="00D23D74" w:rsidRPr="00647CD8" w:rsidRDefault="00D23D74" w:rsidP="00D23D74">
      <w:pPr>
        <w:pStyle w:val="Heading3"/>
        <w:rPr>
          <w:color w:val="auto"/>
        </w:rPr>
      </w:pPr>
      <w:bookmarkStart w:id="47" w:name="_Toc517419575"/>
      <w:r w:rsidRPr="00647CD8">
        <w:rPr>
          <w:color w:val="auto"/>
        </w:rPr>
        <w:t>Outage Model</w:t>
      </w:r>
      <w:bookmarkEnd w:id="47"/>
    </w:p>
    <w:p w14:paraId="5113923F" w14:textId="77777777" w:rsidR="00530E96" w:rsidRPr="00647CD8" w:rsidRDefault="00530E96" w:rsidP="001F0F66">
      <w:pPr>
        <w:rPr>
          <w:lang w:eastAsia="en-GB"/>
        </w:rPr>
      </w:pPr>
      <w:r w:rsidRPr="00647CD8">
        <w:rPr>
          <w:lang w:eastAsia="en-GB"/>
        </w:rPr>
        <w:t xml:space="preserve">Unpredictable grid outages includes any </w:t>
      </w:r>
      <w:r w:rsidR="00200961" w:rsidRPr="00647CD8">
        <w:rPr>
          <w:lang w:eastAsia="en-GB"/>
        </w:rPr>
        <w:t xml:space="preserve">unplanned </w:t>
      </w:r>
      <w:r w:rsidRPr="00647CD8">
        <w:rPr>
          <w:lang w:eastAsia="en-GB"/>
        </w:rPr>
        <w:t>electrical infrastructure failures within the data centre itself (i.e. the grid is still operational). Outages are unlikely to last long</w:t>
      </w:r>
      <w:r w:rsidR="00200961" w:rsidRPr="00647CD8">
        <w:rPr>
          <w:lang w:eastAsia="en-GB"/>
        </w:rPr>
        <w:t>,</w:t>
      </w:r>
      <w:r w:rsidRPr="00647CD8">
        <w:rPr>
          <w:lang w:eastAsia="en-GB"/>
        </w:rPr>
        <w:t xml:space="preserve"> in many cases seconds or minutes rather than hours.</w:t>
      </w:r>
      <w:r w:rsidR="00200961" w:rsidRPr="00647CD8">
        <w:rPr>
          <w:lang w:eastAsia="en-GB"/>
        </w:rPr>
        <w:t xml:space="preserve"> Due to the possibility of dual grid connections and multiple HV ring mains within the data centre it is possible that there would be a hierarchy of probabilities and potential grid-outages and the number of engines needed. The air modelling of unpredictable grid outages should include the worst case scenario (i.e. the largest number of engines operating for the longest time) but can include an a</w:t>
      </w:r>
      <w:r w:rsidR="00844315" w:rsidRPr="00647CD8">
        <w:rPr>
          <w:lang w:eastAsia="en-GB"/>
        </w:rPr>
        <w:t xml:space="preserve">ssessment of the ‘more likely’ </w:t>
      </w:r>
      <w:r w:rsidR="00200961" w:rsidRPr="00647CD8">
        <w:rPr>
          <w:lang w:eastAsia="en-GB"/>
        </w:rPr>
        <w:t>part-site outage.</w:t>
      </w:r>
    </w:p>
    <w:p w14:paraId="76DE55FF" w14:textId="77777777" w:rsidR="00504A13" w:rsidRPr="00647CD8" w:rsidRDefault="009132AB">
      <w:pPr>
        <w:rPr>
          <w:lang w:eastAsia="en-GB"/>
        </w:rPr>
      </w:pPr>
      <w:r w:rsidRPr="00647CD8">
        <w:rPr>
          <w:lang w:eastAsia="en-GB"/>
        </w:rPr>
        <w:t xml:space="preserve">We do need to clarify in </w:t>
      </w:r>
      <w:r w:rsidR="00E674B9" w:rsidRPr="00647CD8">
        <w:rPr>
          <w:lang w:eastAsia="en-GB"/>
        </w:rPr>
        <w:t>modelling</w:t>
      </w:r>
      <w:r w:rsidRPr="00647CD8">
        <w:rPr>
          <w:lang w:eastAsia="en-GB"/>
        </w:rPr>
        <w:t xml:space="preserve"> </w:t>
      </w:r>
      <w:r w:rsidR="00844315" w:rsidRPr="00647CD8">
        <w:rPr>
          <w:lang w:eastAsia="en-GB"/>
        </w:rPr>
        <w:t xml:space="preserve">that </w:t>
      </w:r>
      <w:r w:rsidRPr="00647CD8">
        <w:rPr>
          <w:lang w:eastAsia="en-GB"/>
        </w:rPr>
        <w:t xml:space="preserve">the </w:t>
      </w:r>
      <w:r w:rsidR="00E674B9" w:rsidRPr="00647CD8">
        <w:rPr>
          <w:lang w:eastAsia="en-GB"/>
        </w:rPr>
        <w:t xml:space="preserve">actual </w:t>
      </w:r>
      <w:r w:rsidRPr="00647CD8">
        <w:rPr>
          <w:lang w:eastAsia="en-GB"/>
        </w:rPr>
        <w:t xml:space="preserve">stack arrangement </w:t>
      </w:r>
      <w:r w:rsidR="00844315" w:rsidRPr="00647CD8">
        <w:rPr>
          <w:lang w:eastAsia="en-GB"/>
        </w:rPr>
        <w:t xml:space="preserve">is considered </w:t>
      </w:r>
      <w:r w:rsidRPr="00647CD8">
        <w:rPr>
          <w:lang w:eastAsia="en-GB"/>
        </w:rPr>
        <w:t xml:space="preserve">e.g. horizontal, height and proximity to building. </w:t>
      </w:r>
    </w:p>
    <w:p w14:paraId="4A96130B" w14:textId="77777777" w:rsidR="00BA2F36" w:rsidRPr="00647CD8" w:rsidRDefault="00BA2F36" w:rsidP="00BA2F36">
      <w:pPr>
        <w:rPr>
          <w:lang w:eastAsia="en-GB"/>
        </w:rPr>
      </w:pPr>
      <w:r w:rsidRPr="00647CD8">
        <w:rPr>
          <w:lang w:eastAsia="en-GB"/>
        </w:rPr>
        <w:t xml:space="preserve">If AQ modelling, based on emergency outage operating scenarios, indicates a very significant risk to local air quality and identified receptor, we </w:t>
      </w:r>
      <w:r w:rsidR="00E9120B" w:rsidRPr="00647CD8">
        <w:rPr>
          <w:lang w:eastAsia="en-GB"/>
        </w:rPr>
        <w:t>will</w:t>
      </w:r>
      <w:r w:rsidRPr="00647CD8">
        <w:rPr>
          <w:lang w:eastAsia="en-GB"/>
        </w:rPr>
        <w:t xml:space="preserve"> </w:t>
      </w:r>
      <w:r w:rsidR="00680A42" w:rsidRPr="00647CD8">
        <w:rPr>
          <w:lang w:eastAsia="en-GB"/>
        </w:rPr>
        <w:t xml:space="preserve">require </w:t>
      </w:r>
      <w:r w:rsidRPr="00647CD8">
        <w:rPr>
          <w:lang w:eastAsia="en-GB"/>
        </w:rPr>
        <w:t>the operator to have a written action plan to manage the issue for prolonged emergency running of the plant (including sensitive receptors list and mitigations, assessments and impacts evaluation against modelled risk conditions i.e. occurrence at periods of most concern in the year, possibly ambient air monitoring surveillance at very sensitive receptors)</w:t>
      </w:r>
      <w:r w:rsidR="00844315" w:rsidRPr="00647CD8">
        <w:rPr>
          <w:lang w:eastAsia="en-GB"/>
        </w:rPr>
        <w:t xml:space="preserve"> see </w:t>
      </w:r>
      <w:r w:rsidR="00844315" w:rsidRPr="00647CD8">
        <w:rPr>
          <w:lang w:eastAsia="en-GB"/>
        </w:rPr>
        <w:fldChar w:fldCharType="begin"/>
      </w:r>
      <w:r w:rsidR="00844315" w:rsidRPr="00647CD8">
        <w:rPr>
          <w:lang w:eastAsia="en-GB"/>
        </w:rPr>
        <w:instrText xml:space="preserve"> REF _Ref485824531 \r \h </w:instrText>
      </w:r>
      <w:r w:rsidR="00844315" w:rsidRPr="00647CD8">
        <w:rPr>
          <w:lang w:eastAsia="en-GB"/>
        </w:rPr>
      </w:r>
      <w:r w:rsidR="00844315" w:rsidRPr="00647CD8">
        <w:rPr>
          <w:lang w:eastAsia="en-GB"/>
        </w:rPr>
        <w:fldChar w:fldCharType="separate"/>
      </w:r>
      <w:r w:rsidR="00124B2D">
        <w:rPr>
          <w:lang w:eastAsia="en-GB"/>
        </w:rPr>
        <w:t>1.15</w:t>
      </w:r>
      <w:r w:rsidR="00844315" w:rsidRPr="00647CD8">
        <w:rPr>
          <w:lang w:eastAsia="en-GB"/>
        </w:rPr>
        <w:fldChar w:fldCharType="end"/>
      </w:r>
      <w:r w:rsidR="00844315" w:rsidRPr="00647CD8">
        <w:rPr>
          <w:lang w:eastAsia="en-GB"/>
        </w:rPr>
        <w:t xml:space="preserve"> </w:t>
      </w:r>
      <w:r w:rsidR="00844315" w:rsidRPr="00647CD8">
        <w:rPr>
          <w:lang w:eastAsia="en-GB"/>
        </w:rPr>
        <w:fldChar w:fldCharType="begin"/>
      </w:r>
      <w:r w:rsidR="00844315" w:rsidRPr="00647CD8">
        <w:rPr>
          <w:lang w:eastAsia="en-GB"/>
        </w:rPr>
        <w:instrText xml:space="preserve"> REF _Ref485824534 \h </w:instrText>
      </w:r>
      <w:r w:rsidR="00844315" w:rsidRPr="00647CD8">
        <w:rPr>
          <w:lang w:eastAsia="en-GB"/>
        </w:rPr>
      </w:r>
      <w:r w:rsidR="00844315" w:rsidRPr="00647CD8">
        <w:rPr>
          <w:lang w:eastAsia="en-GB"/>
        </w:rPr>
        <w:fldChar w:fldCharType="separate"/>
      </w:r>
      <w:r w:rsidR="00124B2D" w:rsidRPr="00647CD8">
        <w:t>Air Quality Emergency Action Plan (for grid outages)</w:t>
      </w:r>
      <w:r w:rsidR="00844315" w:rsidRPr="00647CD8">
        <w:rPr>
          <w:lang w:eastAsia="en-GB"/>
        </w:rPr>
        <w:fldChar w:fldCharType="end"/>
      </w:r>
    </w:p>
    <w:p w14:paraId="7A656D20" w14:textId="77777777" w:rsidR="005544C8" w:rsidRPr="00647CD8" w:rsidRDefault="005544C8" w:rsidP="005544C8">
      <w:pPr>
        <w:rPr>
          <w:lang w:eastAsia="en-GB"/>
        </w:rPr>
      </w:pPr>
      <w:r w:rsidRPr="00647CD8">
        <w:rPr>
          <w:lang w:eastAsia="en-GB"/>
        </w:rPr>
        <w:t>Optimising grid reliability within the site as part of general BAT to minimise emergency operating hours is required – evaluation is need</w:t>
      </w:r>
      <w:r w:rsidR="005B6AA5" w:rsidRPr="00647CD8">
        <w:rPr>
          <w:lang w:eastAsia="en-GB"/>
        </w:rPr>
        <w:t>ed</w:t>
      </w:r>
      <w:r w:rsidRPr="00647CD8">
        <w:rPr>
          <w:lang w:eastAsia="en-GB"/>
        </w:rPr>
        <w:t xml:space="preserve"> with</w:t>
      </w:r>
      <w:r w:rsidR="00844315" w:rsidRPr="00647CD8">
        <w:rPr>
          <w:lang w:eastAsia="en-GB"/>
        </w:rPr>
        <w:t>in</w:t>
      </w:r>
      <w:r w:rsidRPr="00647CD8">
        <w:rPr>
          <w:lang w:eastAsia="en-GB"/>
        </w:rPr>
        <w:t xml:space="preserve"> the permit application on the Tier reliability standard under ISO27001 and Uptime.</w:t>
      </w:r>
    </w:p>
    <w:p w14:paraId="2018668E" w14:textId="77777777" w:rsidR="005544C8" w:rsidRPr="00647CD8" w:rsidRDefault="005544C8" w:rsidP="005544C8">
      <w:pPr>
        <w:rPr>
          <w:lang w:eastAsia="en-GB"/>
        </w:rPr>
      </w:pPr>
      <w:r w:rsidRPr="00647CD8">
        <w:rPr>
          <w:lang w:eastAsia="en-GB"/>
        </w:rPr>
        <w:t>Reporting of standby engine operational maintenance hours and discussion of any electrical outages (planned or grid failures regardless of duration) required annually as normal.</w:t>
      </w:r>
    </w:p>
    <w:p w14:paraId="632307DC" w14:textId="77777777" w:rsidR="005544C8" w:rsidRPr="00647CD8" w:rsidRDefault="005544C8" w:rsidP="005544C8">
      <w:pPr>
        <w:rPr>
          <w:lang w:eastAsia="en-GB"/>
        </w:rPr>
      </w:pPr>
      <w:r w:rsidRPr="00647CD8">
        <w:rPr>
          <w:lang w:eastAsia="en-GB"/>
        </w:rPr>
        <w:lastRenderedPageBreak/>
        <w:t xml:space="preserve">Assuming AQ modelling, based on operating scenarios, indicates a local air quality risk then notification to the EA of unplanned (and pre-notification of planned) continuous grid outage exceeding 18 hours LAQM (or the otherwise assessed short term interval from modelling) is likely required under </w:t>
      </w:r>
      <w:r w:rsidR="00844315" w:rsidRPr="00647CD8">
        <w:rPr>
          <w:lang w:eastAsia="en-GB"/>
        </w:rPr>
        <w:t xml:space="preserve">the permit </w:t>
      </w:r>
      <w:r w:rsidRPr="00647CD8">
        <w:rPr>
          <w:lang w:eastAsia="en-GB"/>
        </w:rPr>
        <w:t>schedule 5</w:t>
      </w:r>
      <w:r w:rsidR="00844315" w:rsidRPr="00647CD8">
        <w:rPr>
          <w:lang w:eastAsia="en-GB"/>
        </w:rPr>
        <w:t xml:space="preserve"> condition.</w:t>
      </w:r>
      <w:r w:rsidRPr="00647CD8">
        <w:rPr>
          <w:lang w:eastAsia="en-GB"/>
        </w:rPr>
        <w:t xml:space="preserve"> </w:t>
      </w:r>
    </w:p>
    <w:p w14:paraId="51F17E8E" w14:textId="77777777" w:rsidR="0057192C" w:rsidRPr="00647CD8" w:rsidRDefault="005544C8" w:rsidP="0057192C">
      <w:pPr>
        <w:rPr>
          <w:lang w:eastAsia="en-GB"/>
        </w:rPr>
      </w:pPr>
      <w:r w:rsidRPr="00647CD8">
        <w:rPr>
          <w:lang w:eastAsia="en-GB"/>
        </w:rPr>
        <w:t>The permit application must assess and provide evidence of actual reliability data for the local electricity grid distribution (including data centre internal electrical design) for us to judge the realistic likelihood of the plant needing to operate for prolonged periods in an emergency mode (especially if emissions model to exceed short term air quality standards).</w:t>
      </w:r>
    </w:p>
    <w:p w14:paraId="3890DC30" w14:textId="77777777" w:rsidR="001F3E48" w:rsidRPr="00647CD8" w:rsidRDefault="001F3E48" w:rsidP="001F3E48">
      <w:pPr>
        <w:pStyle w:val="Heading3"/>
        <w:rPr>
          <w:color w:val="auto"/>
        </w:rPr>
      </w:pPr>
      <w:bookmarkStart w:id="48" w:name="_Toc517419576"/>
      <w:r w:rsidRPr="00647CD8">
        <w:rPr>
          <w:color w:val="auto"/>
        </w:rPr>
        <w:t>Non-emergency Elective power Model</w:t>
      </w:r>
      <w:bookmarkEnd w:id="48"/>
      <w:r w:rsidRPr="00647CD8">
        <w:rPr>
          <w:color w:val="auto"/>
        </w:rPr>
        <w:t xml:space="preserve">  </w:t>
      </w:r>
    </w:p>
    <w:p w14:paraId="285BE5AC" w14:textId="77777777" w:rsidR="002705EA" w:rsidRPr="00647CD8" w:rsidRDefault="001F3E48" w:rsidP="001F3E48">
      <w:pPr>
        <w:rPr>
          <w:lang w:eastAsia="en-GB"/>
        </w:rPr>
      </w:pPr>
      <w:r w:rsidRPr="00647CD8">
        <w:rPr>
          <w:lang w:eastAsia="en-GB"/>
        </w:rPr>
        <w:t xml:space="preserve">The EA assumes that the operator is going to make a permit </w:t>
      </w:r>
      <w:r w:rsidR="002705EA" w:rsidRPr="00647CD8">
        <w:rPr>
          <w:lang w:eastAsia="en-GB"/>
        </w:rPr>
        <w:t xml:space="preserve">application </w:t>
      </w:r>
      <w:r w:rsidRPr="00647CD8">
        <w:rPr>
          <w:lang w:eastAsia="en-GB"/>
        </w:rPr>
        <w:t xml:space="preserve">as a data centre as an absolute requirement for what the permit is primarily needed for; and then seek to add the </w:t>
      </w:r>
      <w:r w:rsidR="002705EA" w:rsidRPr="00647CD8">
        <w:rPr>
          <w:lang w:eastAsia="en-GB"/>
        </w:rPr>
        <w:t xml:space="preserve">additional secondary </w:t>
      </w:r>
      <w:r w:rsidRPr="00647CD8">
        <w:rPr>
          <w:lang w:eastAsia="en-GB"/>
        </w:rPr>
        <w:t>capability to operate a DRS</w:t>
      </w:r>
      <w:r w:rsidR="002705EA" w:rsidRPr="00647CD8">
        <w:rPr>
          <w:lang w:eastAsia="en-GB"/>
        </w:rPr>
        <w:t>, FCDM or possibly STOR</w:t>
      </w:r>
      <w:r w:rsidRPr="00647CD8">
        <w:rPr>
          <w:lang w:eastAsia="en-GB"/>
        </w:rPr>
        <w:t xml:space="preserve">. It is best to make </w:t>
      </w:r>
      <w:r w:rsidR="002705EA" w:rsidRPr="00647CD8">
        <w:rPr>
          <w:lang w:eastAsia="en-GB"/>
        </w:rPr>
        <w:t>the permit</w:t>
      </w:r>
      <w:r w:rsidRPr="00647CD8">
        <w:rPr>
          <w:lang w:eastAsia="en-GB"/>
        </w:rPr>
        <w:t xml:space="preserve"> application absolutely clear that the STOR, DRS, FCDM mode is a separate request and ensure that AQ modelling allows this assessment to be made</w:t>
      </w:r>
      <w:r w:rsidR="002705EA" w:rsidRPr="00647CD8">
        <w:rPr>
          <w:lang w:eastAsia="en-GB"/>
        </w:rPr>
        <w:t>.</w:t>
      </w:r>
      <w:r w:rsidR="002705EA" w:rsidRPr="00647CD8">
        <w:rPr>
          <w:i/>
          <w:lang w:eastAsia="en-GB"/>
        </w:rPr>
        <w:t xml:space="preserve"> Clearly if the primary role is for example a STOR diesel array then a Data Centre FAQ is not the most applicable.</w:t>
      </w:r>
      <w:r w:rsidRPr="00647CD8">
        <w:rPr>
          <w:lang w:eastAsia="en-GB"/>
        </w:rPr>
        <w:t xml:space="preserve"> </w:t>
      </w:r>
    </w:p>
    <w:p w14:paraId="6886AEDB" w14:textId="77777777" w:rsidR="00F83B89" w:rsidRPr="00647CD8" w:rsidRDefault="002705EA" w:rsidP="001F3E48">
      <w:pPr>
        <w:rPr>
          <w:lang w:eastAsia="en-GB"/>
        </w:rPr>
      </w:pPr>
      <w:r w:rsidRPr="00647CD8">
        <w:rPr>
          <w:lang w:eastAsia="en-GB"/>
        </w:rPr>
        <w:t>Model the practical and predictable addition of such an elective mode (assuming addition STOR type BAT improvements/upgrades have been applied for engine emissions etc) on to the maintenance test regime</w:t>
      </w:r>
      <w:r w:rsidR="00C41131" w:rsidRPr="00647CD8">
        <w:rPr>
          <w:lang w:eastAsia="en-GB"/>
        </w:rPr>
        <w:t xml:space="preserve"> and then separately the outage model</w:t>
      </w:r>
      <w:r w:rsidRPr="00647CD8">
        <w:rPr>
          <w:lang w:eastAsia="en-GB"/>
        </w:rPr>
        <w:t>. If there are procedures advanced by the operator to ‘offset’ test hours then this can be included (30 minutes of FCDM traded for the 30 minutes of testing that month) but the permit will likely include constraints on operations to those offered and modelled.</w:t>
      </w:r>
      <w:r w:rsidR="00F83B89" w:rsidRPr="00647CD8">
        <w:rPr>
          <w:lang w:eastAsia="en-GB"/>
        </w:rPr>
        <w:br w:type="page"/>
      </w:r>
    </w:p>
    <w:p w14:paraId="11EEEA51" w14:textId="77777777" w:rsidR="0057192C" w:rsidRPr="00647CD8" w:rsidRDefault="0057192C" w:rsidP="0057192C">
      <w:pPr>
        <w:rPr>
          <w:lang w:eastAsia="en-GB"/>
        </w:rPr>
      </w:pPr>
    </w:p>
    <w:p w14:paraId="159FE857" w14:textId="77777777" w:rsidR="0057192C" w:rsidRPr="00647CD8" w:rsidRDefault="0057192C" w:rsidP="004E2771">
      <w:pPr>
        <w:pStyle w:val="Heading2"/>
        <w:rPr>
          <w:color w:val="auto"/>
        </w:rPr>
      </w:pPr>
      <w:bookmarkStart w:id="49" w:name="_Toc517419577"/>
      <w:r w:rsidRPr="00647CD8">
        <w:rPr>
          <w:color w:val="auto"/>
        </w:rPr>
        <w:t>Regulation and auditing of a Data Centre Permit</w:t>
      </w:r>
      <w:bookmarkEnd w:id="49"/>
    </w:p>
    <w:p w14:paraId="32A10CF3" w14:textId="77777777" w:rsidR="0057192C" w:rsidRPr="00647CD8" w:rsidRDefault="0057192C" w:rsidP="005544C8">
      <w:pPr>
        <w:rPr>
          <w:lang w:eastAsia="en-GB"/>
        </w:rPr>
      </w:pPr>
    </w:p>
    <w:p w14:paraId="677A9AB8" w14:textId="77777777" w:rsidR="0057192C" w:rsidRPr="00647CD8" w:rsidRDefault="0057192C" w:rsidP="0057192C">
      <w:pPr>
        <w:rPr>
          <w:lang w:eastAsia="en-GB"/>
        </w:rPr>
      </w:pPr>
      <w:r w:rsidRPr="00647CD8">
        <w:rPr>
          <w:lang w:eastAsia="en-GB"/>
        </w:rPr>
        <w:t xml:space="preserve">Data centre operation is unlikely to be a high priority under environmental risk/impact and especially regarding planned formal audits. The EA has an internal combustion sector plan which is geared </w:t>
      </w:r>
      <w:r w:rsidR="00C41131" w:rsidRPr="00647CD8">
        <w:rPr>
          <w:lang w:eastAsia="en-GB"/>
        </w:rPr>
        <w:t>to</w:t>
      </w:r>
      <w:r w:rsidRPr="00647CD8">
        <w:rPr>
          <w:lang w:eastAsia="en-GB"/>
        </w:rPr>
        <w:t xml:space="preserve"> large plant (LCPs) under </w:t>
      </w:r>
      <w:r w:rsidR="005B6AA5" w:rsidRPr="00647CD8">
        <w:rPr>
          <w:lang w:eastAsia="en-GB"/>
        </w:rPr>
        <w:t xml:space="preserve">Chapter III </w:t>
      </w:r>
      <w:r w:rsidRPr="00647CD8">
        <w:rPr>
          <w:lang w:eastAsia="en-GB"/>
        </w:rPr>
        <w:t xml:space="preserve">of the IED. This doesn’t mention the data centre regime in detail. Once permitted the site should get an inspection within 2 months of </w:t>
      </w:r>
      <w:r w:rsidR="00844315" w:rsidRPr="00647CD8">
        <w:rPr>
          <w:lang w:eastAsia="en-GB"/>
        </w:rPr>
        <w:t xml:space="preserve">permit </w:t>
      </w:r>
      <w:r w:rsidRPr="00647CD8">
        <w:rPr>
          <w:lang w:eastAsia="en-GB"/>
        </w:rPr>
        <w:t>issue.</w:t>
      </w:r>
    </w:p>
    <w:p w14:paraId="658E79E1" w14:textId="77777777" w:rsidR="0057192C" w:rsidRPr="00647CD8" w:rsidRDefault="0057192C" w:rsidP="0057192C">
      <w:pPr>
        <w:rPr>
          <w:lang w:eastAsia="en-GB"/>
        </w:rPr>
      </w:pPr>
      <w:r w:rsidRPr="00647CD8">
        <w:rPr>
          <w:lang w:eastAsia="en-GB"/>
        </w:rPr>
        <w:t xml:space="preserve">If during permit determination there are site specific inadequacies (particularly EMS </w:t>
      </w:r>
      <w:r w:rsidR="00844315" w:rsidRPr="00647CD8">
        <w:rPr>
          <w:lang w:eastAsia="en-GB"/>
        </w:rPr>
        <w:t>or fuel storage</w:t>
      </w:r>
      <w:r w:rsidRPr="00647CD8">
        <w:rPr>
          <w:lang w:eastAsia="en-GB"/>
        </w:rPr>
        <w:t>) then an improvement condition might be signed off after an audit.</w:t>
      </w:r>
    </w:p>
    <w:p w14:paraId="25E6A24D" w14:textId="77777777" w:rsidR="0057192C" w:rsidRPr="00647CD8" w:rsidRDefault="0057192C" w:rsidP="0057192C">
      <w:pPr>
        <w:rPr>
          <w:lang w:eastAsia="en-GB"/>
        </w:rPr>
      </w:pPr>
      <w:r w:rsidRPr="00647CD8">
        <w:rPr>
          <w:lang w:eastAsia="en-GB"/>
        </w:rPr>
        <w:t>It is possible that planned audits might likely look at:</w:t>
      </w:r>
    </w:p>
    <w:p w14:paraId="1BED3D97" w14:textId="77777777" w:rsidR="0057192C" w:rsidRPr="00647CD8" w:rsidRDefault="00B918DC" w:rsidP="00CB57C9">
      <w:pPr>
        <w:pStyle w:val="ListParagraph"/>
        <w:numPr>
          <w:ilvl w:val="0"/>
          <w:numId w:val="13"/>
        </w:numPr>
        <w:ind w:left="1276" w:hanging="578"/>
        <w:jc w:val="both"/>
      </w:pPr>
      <w:r w:rsidRPr="00647CD8">
        <w:t xml:space="preserve">The </w:t>
      </w:r>
      <w:r w:rsidR="0057192C" w:rsidRPr="00647CD8">
        <w:t>most important data centre specific audit would be maintenance/testing run hours procedure so as to minimise impac</w:t>
      </w:r>
      <w:r w:rsidR="00844315" w:rsidRPr="00647CD8">
        <w:t>ts to local air</w:t>
      </w:r>
    </w:p>
    <w:p w14:paraId="7760869F" w14:textId="77777777" w:rsidR="00ED255D" w:rsidRPr="00647CD8" w:rsidRDefault="00ED255D" w:rsidP="00CB57C9">
      <w:pPr>
        <w:pStyle w:val="ListParagraph"/>
        <w:numPr>
          <w:ilvl w:val="0"/>
          <w:numId w:val="13"/>
        </w:numPr>
        <w:ind w:left="1276" w:hanging="578"/>
        <w:jc w:val="both"/>
      </w:pPr>
      <w:r w:rsidRPr="00647CD8">
        <w:t xml:space="preserve">Oil storage regs </w:t>
      </w:r>
    </w:p>
    <w:p w14:paraId="4D196784" w14:textId="77777777" w:rsidR="0057192C" w:rsidRPr="00647CD8" w:rsidRDefault="0057192C" w:rsidP="00CB57C9">
      <w:pPr>
        <w:pStyle w:val="ListParagraph"/>
        <w:numPr>
          <w:ilvl w:val="0"/>
          <w:numId w:val="13"/>
        </w:numPr>
        <w:ind w:left="1276" w:hanging="578"/>
        <w:jc w:val="both"/>
      </w:pPr>
      <w:r w:rsidRPr="00647CD8">
        <w:t>Hazardous waste control (i.e. waste engine oils)</w:t>
      </w:r>
    </w:p>
    <w:p w14:paraId="62A50034" w14:textId="77777777" w:rsidR="0057192C" w:rsidRPr="00647CD8" w:rsidRDefault="0057192C" w:rsidP="00CB57C9">
      <w:pPr>
        <w:pStyle w:val="ListParagraph"/>
        <w:numPr>
          <w:ilvl w:val="0"/>
          <w:numId w:val="13"/>
        </w:numPr>
        <w:ind w:left="1276" w:hanging="578"/>
        <w:jc w:val="both"/>
      </w:pPr>
      <w:r w:rsidRPr="00647CD8">
        <w:t>EMS (including SCR maintenance) and reporting requirements (annual report and operating hours, possibly Pollution inventory)</w:t>
      </w:r>
    </w:p>
    <w:p w14:paraId="6F05AF24" w14:textId="77777777" w:rsidR="0057192C" w:rsidRPr="00647CD8" w:rsidRDefault="0057192C" w:rsidP="00CB57C9">
      <w:pPr>
        <w:pStyle w:val="ListParagraph"/>
        <w:numPr>
          <w:ilvl w:val="0"/>
          <w:numId w:val="13"/>
        </w:numPr>
        <w:ind w:left="1276" w:hanging="578"/>
        <w:jc w:val="both"/>
      </w:pPr>
      <w:r w:rsidRPr="00647CD8">
        <w:t xml:space="preserve">If the site happens to have a groundwater abstraction borehole it is possible that the reporting and metering of this might be carried out (though not an EPR combustion permit requirement) by the installations officer (to reduce the workload on the </w:t>
      </w:r>
      <w:r w:rsidR="00C41131" w:rsidRPr="00647CD8">
        <w:t xml:space="preserve">EA </w:t>
      </w:r>
      <w:r w:rsidRPr="00647CD8">
        <w:t>‘abstractions’ team).</w:t>
      </w:r>
    </w:p>
    <w:p w14:paraId="481CF9A1" w14:textId="77777777" w:rsidR="0057192C" w:rsidRPr="00647CD8" w:rsidRDefault="0057192C" w:rsidP="00CB57C9">
      <w:pPr>
        <w:pStyle w:val="ListParagraph"/>
        <w:numPr>
          <w:ilvl w:val="0"/>
          <w:numId w:val="13"/>
        </w:numPr>
        <w:ind w:left="1276" w:hanging="578"/>
        <w:jc w:val="both"/>
      </w:pPr>
      <w:r w:rsidRPr="00647CD8">
        <w:t>The EA does think about energy efficiency audits but because data centres are for emergency with very low levels of fuel usage (and the permit isn’t really intended to double regulate with the EU-ETS and CCA overall for the site wide energy usage as</w:t>
      </w:r>
      <w:r w:rsidR="00C41131" w:rsidRPr="00647CD8">
        <w:t xml:space="preserve"> a Data Centre) it’s unlikely the EA would</w:t>
      </w:r>
      <w:r w:rsidRPr="00647CD8">
        <w:t xml:space="preserve"> worry about this.</w:t>
      </w:r>
    </w:p>
    <w:p w14:paraId="1AA17194" w14:textId="77777777" w:rsidR="0057192C" w:rsidRPr="00647CD8" w:rsidRDefault="0057192C" w:rsidP="0057192C">
      <w:pPr>
        <w:rPr>
          <w:lang w:eastAsia="en-GB"/>
        </w:rPr>
      </w:pPr>
      <w:r w:rsidRPr="00647CD8">
        <w:rPr>
          <w:lang w:eastAsia="en-GB"/>
        </w:rPr>
        <w:t xml:space="preserve">It is possible that </w:t>
      </w:r>
      <w:r w:rsidR="00844315" w:rsidRPr="00647CD8">
        <w:rPr>
          <w:lang w:eastAsia="en-GB"/>
        </w:rPr>
        <w:t xml:space="preserve">pollution </w:t>
      </w:r>
      <w:r w:rsidRPr="00647CD8">
        <w:rPr>
          <w:lang w:eastAsia="en-GB"/>
        </w:rPr>
        <w:t xml:space="preserve">incident related audits (i.e. those likely need to notify under </w:t>
      </w:r>
      <w:r w:rsidR="00C41131" w:rsidRPr="00647CD8">
        <w:rPr>
          <w:lang w:eastAsia="en-GB"/>
        </w:rPr>
        <w:t xml:space="preserve">permit </w:t>
      </w:r>
      <w:r w:rsidRPr="00647CD8">
        <w:rPr>
          <w:lang w:eastAsia="en-GB"/>
        </w:rPr>
        <w:t>schedule 5) might look at:</w:t>
      </w:r>
    </w:p>
    <w:p w14:paraId="3E8EF74F" w14:textId="77777777" w:rsidR="0057192C" w:rsidRPr="00647CD8" w:rsidRDefault="0057192C" w:rsidP="00CB57C9">
      <w:pPr>
        <w:pStyle w:val="ListParagraph"/>
        <w:numPr>
          <w:ilvl w:val="0"/>
          <w:numId w:val="13"/>
        </w:numPr>
        <w:ind w:left="1276" w:hanging="578"/>
        <w:jc w:val="both"/>
      </w:pPr>
      <w:r w:rsidRPr="00647CD8">
        <w:t>Oil spills etc</w:t>
      </w:r>
    </w:p>
    <w:p w14:paraId="0DB2628D" w14:textId="77777777" w:rsidR="0057192C" w:rsidRPr="00647CD8" w:rsidRDefault="0057192C" w:rsidP="00CB57C9">
      <w:pPr>
        <w:pStyle w:val="ListParagraph"/>
        <w:numPr>
          <w:ilvl w:val="0"/>
          <w:numId w:val="13"/>
        </w:numPr>
        <w:ind w:left="1276" w:hanging="578"/>
        <w:jc w:val="both"/>
      </w:pPr>
      <w:r w:rsidRPr="00647CD8">
        <w:t xml:space="preserve">F-gas releases </w:t>
      </w:r>
    </w:p>
    <w:p w14:paraId="0F7B6E54" w14:textId="77777777" w:rsidR="0057192C" w:rsidRPr="00647CD8" w:rsidRDefault="00C41131" w:rsidP="00CB57C9">
      <w:pPr>
        <w:pStyle w:val="ListParagraph"/>
        <w:numPr>
          <w:ilvl w:val="0"/>
          <w:numId w:val="13"/>
        </w:numPr>
        <w:ind w:left="1276" w:hanging="578"/>
        <w:jc w:val="both"/>
      </w:pPr>
      <w:r w:rsidRPr="00647CD8">
        <w:t>Noise complaints</w:t>
      </w:r>
    </w:p>
    <w:p w14:paraId="0D443B59" w14:textId="77777777" w:rsidR="0057192C" w:rsidRPr="00647CD8" w:rsidRDefault="0057192C" w:rsidP="00CB57C9">
      <w:pPr>
        <w:pStyle w:val="ListParagraph"/>
        <w:numPr>
          <w:ilvl w:val="0"/>
          <w:numId w:val="13"/>
        </w:numPr>
        <w:ind w:left="1276" w:hanging="578"/>
        <w:jc w:val="both"/>
      </w:pPr>
      <w:r w:rsidRPr="00647CD8">
        <w:t>Electrical infrastructure maintenance plans to minimise data centre (non-grid) outages (i.e. if the site is having a lot of</w:t>
      </w:r>
      <w:r w:rsidR="00844315" w:rsidRPr="00647CD8">
        <w:t xml:space="preserve"> local grid </w:t>
      </w:r>
      <w:r w:rsidRPr="00647CD8">
        <w:t>trips)</w:t>
      </w:r>
    </w:p>
    <w:p w14:paraId="0DA58CF8" w14:textId="77777777" w:rsidR="0057192C" w:rsidRPr="00647CD8" w:rsidRDefault="0057192C" w:rsidP="0057192C">
      <w:pPr>
        <w:rPr>
          <w:lang w:eastAsia="en-GB"/>
        </w:rPr>
      </w:pPr>
      <w:r w:rsidRPr="00647CD8">
        <w:rPr>
          <w:lang w:eastAsia="en-GB"/>
        </w:rPr>
        <w:t>All this can be pre-planned as part of an officer’s compliance assessment plan ‘CAP’ for the year. It’s more likely that such as any formal audit is actually carried out, it would occur during the annual site inspection more as ‘general topics to discuss’ rather than be an extra formal audit day in the year.</w:t>
      </w:r>
    </w:p>
    <w:p w14:paraId="231DAC16" w14:textId="77777777" w:rsidR="0057192C" w:rsidRPr="00647CD8" w:rsidRDefault="0057192C" w:rsidP="0057192C">
      <w:pPr>
        <w:rPr>
          <w:lang w:eastAsia="en-GB"/>
        </w:rPr>
      </w:pPr>
      <w:r w:rsidRPr="00647CD8">
        <w:rPr>
          <w:lang w:eastAsia="en-GB"/>
        </w:rPr>
        <w:t>Overall the official line is at:</w:t>
      </w:r>
    </w:p>
    <w:p w14:paraId="445F7EFD" w14:textId="77777777" w:rsidR="0057192C" w:rsidRPr="00647CD8" w:rsidRDefault="004956DE" w:rsidP="0057192C">
      <w:hyperlink r:id="rId21" w:history="1">
        <w:r w:rsidR="0057192C" w:rsidRPr="00647CD8">
          <w:rPr>
            <w:rStyle w:val="Hyperlink"/>
            <w:color w:val="auto"/>
          </w:rPr>
          <w:t>https://www.gov.uk/guidance/how-youll-be-regulated-environmental-permits</w:t>
        </w:r>
      </w:hyperlink>
    </w:p>
    <w:p w14:paraId="1E979631" w14:textId="77777777" w:rsidR="0057192C" w:rsidRPr="00647CD8" w:rsidRDefault="0057192C" w:rsidP="0057192C">
      <w:r w:rsidRPr="00647CD8">
        <w:t xml:space="preserve">and of course </w:t>
      </w:r>
      <w:hyperlink r:id="rId22" w:history="1">
        <w:r w:rsidRPr="00647CD8">
          <w:rPr>
            <w:rStyle w:val="Hyperlink"/>
            <w:color w:val="auto"/>
          </w:rPr>
          <w:t>https://www.gov.uk/government/publications/combustion-activities-additional-guidance</w:t>
        </w:r>
      </w:hyperlink>
    </w:p>
    <w:p w14:paraId="386986F4" w14:textId="77777777" w:rsidR="00C24AC9" w:rsidRPr="00647CD8" w:rsidRDefault="00C24AC9">
      <w:pPr>
        <w:spacing w:after="0" w:line="240" w:lineRule="auto"/>
        <w:rPr>
          <w:lang w:eastAsia="en-GB"/>
        </w:rPr>
      </w:pPr>
      <w:r w:rsidRPr="00647CD8">
        <w:rPr>
          <w:lang w:eastAsia="en-GB"/>
        </w:rPr>
        <w:br w:type="page"/>
      </w:r>
    </w:p>
    <w:p w14:paraId="436B1E79" w14:textId="77777777" w:rsidR="006F73B2" w:rsidRPr="00647CD8" w:rsidRDefault="006F73B2" w:rsidP="006F73B2">
      <w:pPr>
        <w:pStyle w:val="Heading2"/>
        <w:ind w:left="709" w:hanging="709"/>
        <w:rPr>
          <w:color w:val="auto"/>
        </w:rPr>
      </w:pPr>
      <w:bookmarkStart w:id="50" w:name="_Toc517419578"/>
      <w:r w:rsidRPr="00647CD8">
        <w:rPr>
          <w:color w:val="auto"/>
        </w:rPr>
        <w:lastRenderedPageBreak/>
        <w:t>Annual reporting requirement in the permit:</w:t>
      </w:r>
      <w:bookmarkEnd w:id="50"/>
    </w:p>
    <w:p w14:paraId="7F7CEE01" w14:textId="77777777" w:rsidR="006F73B2" w:rsidRPr="00647CD8" w:rsidRDefault="006F73B2" w:rsidP="006F73B2">
      <w:pPr>
        <w:rPr>
          <w:lang w:eastAsia="en-GB"/>
        </w:rPr>
      </w:pPr>
    </w:p>
    <w:p w14:paraId="76C3ABB3" w14:textId="77777777" w:rsidR="006F73B2" w:rsidRPr="00647CD8" w:rsidRDefault="006F73B2" w:rsidP="006F73B2">
      <w:pPr>
        <w:rPr>
          <w:rFonts w:asciiTheme="minorHAnsi" w:hAnsiTheme="minorHAnsi" w:cstheme="minorBidi"/>
        </w:rPr>
      </w:pPr>
      <w:r w:rsidRPr="00647CD8">
        <w:rPr>
          <w:rFonts w:asciiTheme="minorHAnsi" w:hAnsiTheme="minorHAnsi" w:cstheme="minorBidi"/>
        </w:rPr>
        <w:t xml:space="preserve">The annual report for Data Centres is mainly </w:t>
      </w:r>
      <w:r w:rsidR="00844315" w:rsidRPr="00647CD8">
        <w:rPr>
          <w:rFonts w:asciiTheme="minorHAnsi" w:hAnsiTheme="minorHAnsi" w:cstheme="minorBidi"/>
        </w:rPr>
        <w:t xml:space="preserve">a </w:t>
      </w:r>
      <w:r w:rsidRPr="00647CD8">
        <w:rPr>
          <w:rFonts w:asciiTheme="minorHAnsi" w:hAnsiTheme="minorHAnsi" w:cstheme="minorBidi"/>
        </w:rPr>
        <w:t>summary of how the year was managed; and is best focused on the BAT type aspects on minimising emissions impacts:</w:t>
      </w:r>
    </w:p>
    <w:p w14:paraId="4B9EDE4C" w14:textId="77777777" w:rsidR="006F73B2" w:rsidRPr="00647CD8" w:rsidRDefault="006F73B2" w:rsidP="00CB57C9">
      <w:pPr>
        <w:pStyle w:val="ListParagraph"/>
        <w:numPr>
          <w:ilvl w:val="0"/>
          <w:numId w:val="17"/>
        </w:numPr>
        <w:spacing w:line="240" w:lineRule="auto"/>
        <w:contextualSpacing w:val="0"/>
        <w:rPr>
          <w:rFonts w:asciiTheme="minorHAnsi" w:hAnsiTheme="minorHAnsi" w:cstheme="minorBidi"/>
        </w:rPr>
      </w:pPr>
      <w:r w:rsidRPr="00647CD8">
        <w:rPr>
          <w:rFonts w:asciiTheme="minorHAnsi" w:hAnsiTheme="minorHAnsi" w:cstheme="minorBidi"/>
        </w:rPr>
        <w:t xml:space="preserve">Confirming the </w:t>
      </w:r>
      <w:r w:rsidR="00C41131" w:rsidRPr="00647CD8">
        <w:rPr>
          <w:rFonts w:asciiTheme="minorHAnsi" w:hAnsiTheme="minorHAnsi" w:cstheme="minorBidi"/>
        </w:rPr>
        <w:t>run hours</w:t>
      </w:r>
      <w:r w:rsidR="00844315" w:rsidRPr="00647CD8">
        <w:rPr>
          <w:rFonts w:asciiTheme="minorHAnsi" w:hAnsiTheme="minorHAnsi" w:cstheme="minorBidi"/>
        </w:rPr>
        <w:t xml:space="preserve"> per engine</w:t>
      </w:r>
      <w:r w:rsidR="00C41131" w:rsidRPr="00647CD8">
        <w:rPr>
          <w:rFonts w:asciiTheme="minorHAnsi" w:hAnsiTheme="minorHAnsi" w:cstheme="minorBidi"/>
        </w:rPr>
        <w:t xml:space="preserve"> and how this is apportioned to testing and outage (and possibly elective power operations);</w:t>
      </w:r>
      <w:r w:rsidRPr="00647CD8">
        <w:rPr>
          <w:rFonts w:asciiTheme="minorHAnsi" w:hAnsiTheme="minorHAnsi" w:cstheme="minorBidi"/>
        </w:rPr>
        <w:t xml:space="preserve"> any part-site/whole site blackout test and their scheduling </w:t>
      </w:r>
      <w:r w:rsidR="00186780" w:rsidRPr="00647CD8">
        <w:rPr>
          <w:rFonts w:asciiTheme="minorHAnsi" w:hAnsiTheme="minorHAnsi" w:cstheme="minorBidi"/>
        </w:rPr>
        <w:t xml:space="preserve">with regards to </w:t>
      </w:r>
      <w:r w:rsidR="00C41131" w:rsidRPr="00647CD8">
        <w:rPr>
          <w:rFonts w:asciiTheme="minorHAnsi" w:hAnsiTheme="minorHAnsi" w:cstheme="minorBidi"/>
        </w:rPr>
        <w:t>the AQ modelling – is maintenance testing changing significantly to what was modelled?</w:t>
      </w:r>
    </w:p>
    <w:p w14:paraId="28C2F595" w14:textId="77777777" w:rsidR="006F73B2" w:rsidRPr="00647CD8" w:rsidRDefault="006F73B2" w:rsidP="00CB57C9">
      <w:pPr>
        <w:pStyle w:val="ListParagraph"/>
        <w:numPr>
          <w:ilvl w:val="0"/>
          <w:numId w:val="17"/>
        </w:numPr>
        <w:spacing w:line="240" w:lineRule="auto"/>
        <w:contextualSpacing w:val="0"/>
        <w:rPr>
          <w:rFonts w:asciiTheme="minorHAnsi" w:hAnsiTheme="minorHAnsi" w:cstheme="minorBidi"/>
        </w:rPr>
      </w:pPr>
      <w:r w:rsidRPr="00647CD8">
        <w:rPr>
          <w:rFonts w:asciiTheme="minorHAnsi" w:hAnsiTheme="minorHAnsi" w:cstheme="minorBidi"/>
        </w:rPr>
        <w:t>Grid and internal electrics reliability issues (are you getting more brown outs and asking Grid to investigate their kit?)</w:t>
      </w:r>
    </w:p>
    <w:p w14:paraId="5A542527" w14:textId="77777777" w:rsidR="006F73B2" w:rsidRPr="00647CD8" w:rsidRDefault="00C41131" w:rsidP="00CB57C9">
      <w:pPr>
        <w:pStyle w:val="ListParagraph"/>
        <w:numPr>
          <w:ilvl w:val="0"/>
          <w:numId w:val="17"/>
        </w:numPr>
        <w:spacing w:line="240" w:lineRule="auto"/>
        <w:contextualSpacing w:val="0"/>
        <w:rPr>
          <w:rFonts w:asciiTheme="minorHAnsi" w:hAnsiTheme="minorHAnsi" w:cstheme="minorBidi"/>
        </w:rPr>
      </w:pPr>
      <w:r w:rsidRPr="00647CD8">
        <w:rPr>
          <w:rFonts w:asciiTheme="minorHAnsi" w:hAnsiTheme="minorHAnsi" w:cstheme="minorBidi"/>
        </w:rPr>
        <w:t>Re-i</w:t>
      </w:r>
      <w:r w:rsidR="006F73B2" w:rsidRPr="00647CD8">
        <w:rPr>
          <w:rFonts w:asciiTheme="minorHAnsi" w:hAnsiTheme="minorHAnsi" w:cstheme="minorBidi"/>
        </w:rPr>
        <w:t>terate any in-year notifications of grid outages and hence any need to operate in anger; and total plant emergency hours run (how close to the 18hours?)</w:t>
      </w:r>
    </w:p>
    <w:p w14:paraId="692222B5" w14:textId="77777777" w:rsidR="006F73B2" w:rsidRPr="00647CD8" w:rsidRDefault="006F73B2" w:rsidP="00CB57C9">
      <w:pPr>
        <w:pStyle w:val="ListParagraph"/>
        <w:numPr>
          <w:ilvl w:val="0"/>
          <w:numId w:val="17"/>
        </w:numPr>
        <w:spacing w:line="240" w:lineRule="auto"/>
        <w:contextualSpacing w:val="0"/>
        <w:rPr>
          <w:rFonts w:asciiTheme="minorHAnsi" w:hAnsiTheme="minorHAnsi" w:cstheme="minorBidi"/>
        </w:rPr>
      </w:pPr>
      <w:r w:rsidRPr="00647CD8">
        <w:rPr>
          <w:rFonts w:asciiTheme="minorHAnsi" w:hAnsiTheme="minorHAnsi" w:cstheme="minorBidi"/>
        </w:rPr>
        <w:t>Advising of future plans i.e. need to run due to servicing the switch gear, new phases being planned, reconfiguration of generators e.g. 2n going to an n+1 etc</w:t>
      </w:r>
    </w:p>
    <w:p w14:paraId="5D9A55EA" w14:textId="77777777" w:rsidR="006F73B2" w:rsidRPr="00647CD8" w:rsidRDefault="006F73B2" w:rsidP="00CB57C9">
      <w:pPr>
        <w:pStyle w:val="ListParagraph"/>
        <w:numPr>
          <w:ilvl w:val="0"/>
          <w:numId w:val="17"/>
        </w:numPr>
        <w:spacing w:line="240" w:lineRule="auto"/>
        <w:contextualSpacing w:val="0"/>
        <w:rPr>
          <w:rFonts w:asciiTheme="minorHAnsi" w:hAnsiTheme="minorHAnsi" w:cstheme="minorBidi"/>
        </w:rPr>
      </w:pPr>
      <w:r w:rsidRPr="00647CD8">
        <w:rPr>
          <w:rFonts w:asciiTheme="minorHAnsi" w:hAnsiTheme="minorHAnsi" w:cstheme="minorBidi"/>
        </w:rPr>
        <w:t>Procedure reviews related to the permit</w:t>
      </w:r>
    </w:p>
    <w:p w14:paraId="04DEDBE3" w14:textId="77777777" w:rsidR="006F73B2" w:rsidRPr="00647CD8" w:rsidRDefault="006F73B2" w:rsidP="00CB57C9">
      <w:pPr>
        <w:pStyle w:val="ListParagraph"/>
        <w:numPr>
          <w:ilvl w:val="0"/>
          <w:numId w:val="17"/>
        </w:numPr>
        <w:spacing w:line="240" w:lineRule="auto"/>
        <w:contextualSpacing w:val="0"/>
        <w:rPr>
          <w:rFonts w:asciiTheme="minorHAnsi" w:hAnsiTheme="minorHAnsi" w:cstheme="minorBidi"/>
        </w:rPr>
      </w:pPr>
      <w:r w:rsidRPr="00647CD8">
        <w:rPr>
          <w:rFonts w:asciiTheme="minorHAnsi" w:hAnsiTheme="minorHAnsi" w:cstheme="minorBidi"/>
        </w:rPr>
        <w:t>Confirming no incidents (oil spills, F-gas releases etc)</w:t>
      </w:r>
    </w:p>
    <w:p w14:paraId="74A639D3" w14:textId="77777777" w:rsidR="006F73B2" w:rsidRPr="00647CD8" w:rsidRDefault="006F73B2" w:rsidP="00CB57C9">
      <w:pPr>
        <w:pStyle w:val="ListParagraph"/>
        <w:numPr>
          <w:ilvl w:val="0"/>
          <w:numId w:val="17"/>
        </w:numPr>
        <w:spacing w:line="240" w:lineRule="auto"/>
        <w:contextualSpacing w:val="0"/>
        <w:rPr>
          <w:rFonts w:asciiTheme="minorHAnsi" w:hAnsiTheme="minorHAnsi" w:cstheme="minorBidi"/>
        </w:rPr>
      </w:pPr>
      <w:r w:rsidRPr="00647CD8">
        <w:rPr>
          <w:rFonts w:asciiTheme="minorHAnsi" w:hAnsiTheme="minorHAnsi" w:cstheme="minorBidi"/>
        </w:rPr>
        <w:t>General aspects of fuel and energy efficiency</w:t>
      </w:r>
    </w:p>
    <w:p w14:paraId="280553DB" w14:textId="77777777" w:rsidR="006F73B2" w:rsidRPr="00647CD8" w:rsidRDefault="006F73B2" w:rsidP="006F73B2">
      <w:pPr>
        <w:rPr>
          <w:rFonts w:asciiTheme="minorHAnsi" w:hAnsiTheme="minorHAnsi" w:cstheme="minorBidi"/>
        </w:rPr>
      </w:pPr>
      <w:r w:rsidRPr="00647CD8">
        <w:rPr>
          <w:rFonts w:asciiTheme="minorHAnsi" w:hAnsiTheme="minorHAnsi" w:cstheme="minorBidi"/>
          <w:b/>
        </w:rPr>
        <w:t>It should be borne in mind that the Annual report is available to the public</w:t>
      </w:r>
      <w:r w:rsidRPr="00647CD8">
        <w:rPr>
          <w:rFonts w:asciiTheme="minorHAnsi" w:hAnsiTheme="minorHAnsi" w:cstheme="minorBidi"/>
        </w:rPr>
        <w:t xml:space="preserve"> (not least to reassure them that the site is operating appropriately) so if any details are sensitive then simply keep records on site and only refer to them in the annual report;  the regulatory officer can then best review the details during an inspection.</w:t>
      </w:r>
    </w:p>
    <w:p w14:paraId="6F6ECA4E" w14:textId="77777777" w:rsidR="006F73B2" w:rsidRPr="00647CD8" w:rsidRDefault="006F73B2">
      <w:pPr>
        <w:spacing w:after="0" w:line="240" w:lineRule="auto"/>
        <w:rPr>
          <w:lang w:eastAsia="en-GB"/>
        </w:rPr>
      </w:pPr>
    </w:p>
    <w:p w14:paraId="0853F2B3" w14:textId="77777777" w:rsidR="00260921" w:rsidRPr="00647CD8" w:rsidRDefault="00CB57C9" w:rsidP="00161A9D">
      <w:pPr>
        <w:pStyle w:val="Heading3"/>
        <w:rPr>
          <w:color w:val="auto"/>
        </w:rPr>
      </w:pPr>
      <w:bookmarkStart w:id="51" w:name="_Toc517419579"/>
      <w:r w:rsidRPr="00647CD8">
        <w:rPr>
          <w:color w:val="auto"/>
        </w:rPr>
        <w:t xml:space="preserve">Permit conditions for 4-yearly reviews of </w:t>
      </w:r>
      <w:r w:rsidR="00260921" w:rsidRPr="00647CD8">
        <w:rPr>
          <w:color w:val="auto"/>
          <w:lang w:eastAsia="en-US"/>
        </w:rPr>
        <w:t xml:space="preserve">1.2.1 Energy Efficiency; 1.3.1 Efficient use of raw materials; 1.4.2 Avoidance, </w:t>
      </w:r>
      <w:r w:rsidR="00260921" w:rsidRPr="00647CD8">
        <w:rPr>
          <w:color w:val="auto"/>
        </w:rPr>
        <w:t>recovery and disposal of wastes produced by the activities</w:t>
      </w:r>
      <w:bookmarkEnd w:id="51"/>
    </w:p>
    <w:p w14:paraId="179260EC" w14:textId="77777777" w:rsidR="00844315" w:rsidRPr="00647CD8" w:rsidRDefault="00E674B9" w:rsidP="00260921">
      <w:pPr>
        <w:rPr>
          <w:rFonts w:asciiTheme="minorHAnsi" w:hAnsiTheme="minorHAnsi" w:cstheme="minorBidi"/>
        </w:rPr>
      </w:pPr>
      <w:r w:rsidRPr="00647CD8">
        <w:rPr>
          <w:rFonts w:asciiTheme="minorHAnsi" w:hAnsiTheme="minorHAnsi" w:cstheme="minorBidi"/>
        </w:rPr>
        <w:t>An EA IED permit includes some standard conditions and the</w:t>
      </w:r>
      <w:r w:rsidR="00260921" w:rsidRPr="00647CD8">
        <w:rPr>
          <w:rFonts w:asciiTheme="minorHAnsi" w:hAnsiTheme="minorHAnsi" w:cstheme="minorBidi"/>
        </w:rPr>
        <w:t xml:space="preserve"> general requirement for the 4-yearly permit review</w:t>
      </w:r>
      <w:r w:rsidR="00844315" w:rsidRPr="00647CD8">
        <w:rPr>
          <w:rFonts w:asciiTheme="minorHAnsi" w:hAnsiTheme="minorHAnsi" w:cstheme="minorBidi"/>
        </w:rPr>
        <w:t xml:space="preserve"> requirements for</w:t>
      </w:r>
    </w:p>
    <w:p w14:paraId="659CF16F" w14:textId="77777777" w:rsidR="00844315" w:rsidRPr="00647CD8" w:rsidRDefault="00260921" w:rsidP="00844315">
      <w:pPr>
        <w:pStyle w:val="ListParagraph"/>
        <w:numPr>
          <w:ilvl w:val="0"/>
          <w:numId w:val="30"/>
        </w:numPr>
        <w:rPr>
          <w:rFonts w:asciiTheme="minorHAnsi" w:hAnsiTheme="minorHAnsi" w:cstheme="minorBidi"/>
        </w:rPr>
      </w:pPr>
      <w:r w:rsidRPr="00647CD8">
        <w:rPr>
          <w:rFonts w:asciiTheme="minorHAnsi" w:hAnsiTheme="minorHAnsi" w:cstheme="minorBidi"/>
        </w:rPr>
        <w:t xml:space="preserve">1.2.1 Energy Efficiency; </w:t>
      </w:r>
    </w:p>
    <w:p w14:paraId="50E715E6" w14:textId="77777777" w:rsidR="00844315" w:rsidRPr="00647CD8" w:rsidRDefault="00260921" w:rsidP="00844315">
      <w:pPr>
        <w:pStyle w:val="ListParagraph"/>
        <w:numPr>
          <w:ilvl w:val="0"/>
          <w:numId w:val="30"/>
        </w:numPr>
        <w:rPr>
          <w:rFonts w:asciiTheme="minorHAnsi" w:hAnsiTheme="minorHAnsi" w:cstheme="minorBidi"/>
        </w:rPr>
      </w:pPr>
      <w:r w:rsidRPr="00647CD8">
        <w:rPr>
          <w:rFonts w:asciiTheme="minorHAnsi" w:hAnsiTheme="minorHAnsi" w:cstheme="minorBidi"/>
        </w:rPr>
        <w:t xml:space="preserve">1.3.1 Efficient use of raw materials; and </w:t>
      </w:r>
    </w:p>
    <w:p w14:paraId="4C400BF2" w14:textId="77777777" w:rsidR="00844315" w:rsidRPr="00647CD8" w:rsidRDefault="00260921" w:rsidP="00844315">
      <w:pPr>
        <w:pStyle w:val="ListParagraph"/>
        <w:numPr>
          <w:ilvl w:val="0"/>
          <w:numId w:val="30"/>
        </w:numPr>
        <w:rPr>
          <w:rFonts w:asciiTheme="minorHAnsi" w:hAnsiTheme="minorHAnsi" w:cstheme="minorBidi"/>
        </w:rPr>
      </w:pPr>
      <w:r w:rsidRPr="00647CD8">
        <w:rPr>
          <w:rFonts w:asciiTheme="minorHAnsi" w:hAnsiTheme="minorHAnsi" w:cstheme="minorBidi"/>
        </w:rPr>
        <w:t>1.4.2 Avoidance, recovery and disposal of wastes produced by the activities</w:t>
      </w:r>
    </w:p>
    <w:p w14:paraId="50171243" w14:textId="77777777" w:rsidR="00D1470A" w:rsidRPr="00647CD8" w:rsidRDefault="00D1470A" w:rsidP="00D1470A">
      <w:pPr>
        <w:rPr>
          <w:rFonts w:asciiTheme="minorHAnsi" w:hAnsiTheme="minorHAnsi" w:cstheme="minorBidi"/>
        </w:rPr>
      </w:pPr>
      <w:r w:rsidRPr="00647CD8">
        <w:rPr>
          <w:rFonts w:asciiTheme="minorHAnsi" w:hAnsiTheme="minorHAnsi" w:cstheme="minorBidi"/>
          <w:u w:val="single"/>
        </w:rPr>
        <w:t>These are not reviews of the data centre operation</w:t>
      </w:r>
      <w:r w:rsidRPr="00647CD8">
        <w:rPr>
          <w:rFonts w:asciiTheme="minorHAnsi" w:hAnsiTheme="minorHAnsi" w:cstheme="minorBidi"/>
        </w:rPr>
        <w:t xml:space="preserve"> but apply </w:t>
      </w:r>
      <w:r w:rsidR="00C41131" w:rsidRPr="00647CD8">
        <w:rPr>
          <w:rFonts w:asciiTheme="minorHAnsi" w:hAnsiTheme="minorHAnsi" w:cstheme="minorBidi"/>
        </w:rPr>
        <w:t xml:space="preserve">solely </w:t>
      </w:r>
      <w:r w:rsidRPr="00647CD8">
        <w:rPr>
          <w:rFonts w:asciiTheme="minorHAnsi" w:hAnsiTheme="minorHAnsi" w:cstheme="minorBidi"/>
        </w:rPr>
        <w:t xml:space="preserve">to the combustion plant </w:t>
      </w:r>
      <w:r w:rsidR="00C41131" w:rsidRPr="00647CD8">
        <w:rPr>
          <w:rFonts w:asciiTheme="minorHAnsi" w:hAnsiTheme="minorHAnsi" w:cstheme="minorBidi"/>
        </w:rPr>
        <w:t>activity</w:t>
      </w:r>
      <w:r w:rsidRPr="00647CD8">
        <w:rPr>
          <w:rFonts w:asciiTheme="minorHAnsi" w:hAnsiTheme="minorHAnsi" w:cstheme="minorBidi"/>
        </w:rPr>
        <w:t xml:space="preserve">. Broadly these standard permit conditions are more suited to power operations normally consuming lots of fuel for the generation of energy such as LCPs and power stations. </w:t>
      </w:r>
    </w:p>
    <w:p w14:paraId="20247BE5" w14:textId="77777777" w:rsidR="00260921" w:rsidRPr="00647CD8" w:rsidRDefault="00844315" w:rsidP="00260921">
      <w:pPr>
        <w:rPr>
          <w:rFonts w:asciiTheme="minorHAnsi" w:hAnsiTheme="minorHAnsi" w:cstheme="minorBidi"/>
        </w:rPr>
      </w:pPr>
      <w:r w:rsidRPr="00647CD8">
        <w:rPr>
          <w:rFonts w:asciiTheme="minorHAnsi" w:hAnsiTheme="minorHAnsi" w:cstheme="minorBidi"/>
        </w:rPr>
        <w:t xml:space="preserve">These can be </w:t>
      </w:r>
      <w:r w:rsidR="00260921" w:rsidRPr="00647CD8">
        <w:rPr>
          <w:rFonts w:asciiTheme="minorHAnsi" w:hAnsiTheme="minorHAnsi" w:cstheme="minorBidi"/>
        </w:rPr>
        <w:t>covered for data centres with</w:t>
      </w:r>
      <w:r w:rsidR="00C41131" w:rsidRPr="00647CD8">
        <w:rPr>
          <w:rFonts w:asciiTheme="minorHAnsi" w:hAnsiTheme="minorHAnsi" w:cstheme="minorBidi"/>
        </w:rPr>
        <w:t xml:space="preserve">in a </w:t>
      </w:r>
      <w:r w:rsidR="00260921" w:rsidRPr="00647CD8">
        <w:rPr>
          <w:rFonts w:asciiTheme="minorHAnsi" w:hAnsiTheme="minorHAnsi" w:cstheme="minorBidi"/>
        </w:rPr>
        <w:t xml:space="preserve">discussion for these topics within an annual report </w:t>
      </w:r>
      <w:r w:rsidR="00D1470A" w:rsidRPr="00647CD8">
        <w:rPr>
          <w:rFonts w:asciiTheme="minorHAnsi" w:hAnsiTheme="minorHAnsi" w:cstheme="minorBidi"/>
        </w:rPr>
        <w:t>generally; and are unlikely to be a separate focus for regulation.</w:t>
      </w:r>
    </w:p>
    <w:p w14:paraId="32B1B4B8" w14:textId="77777777" w:rsidR="00260921" w:rsidRPr="00647CD8" w:rsidRDefault="00260921" w:rsidP="00260921">
      <w:pPr>
        <w:rPr>
          <w:rFonts w:asciiTheme="minorHAnsi" w:hAnsiTheme="minorHAnsi" w:cstheme="minorBidi"/>
        </w:rPr>
      </w:pPr>
      <w:r w:rsidRPr="00647CD8">
        <w:rPr>
          <w:rFonts w:asciiTheme="minorHAnsi" w:hAnsiTheme="minorHAnsi" w:cstheme="minorBidi"/>
        </w:rPr>
        <w:t>The EA does not have any informed view (i.e. defined BAT) on the choice of switchgear, room air conditioning design, server rack power demands and so on, that would come under Data Centre best practice.</w:t>
      </w:r>
      <w:r w:rsidRPr="00647CD8">
        <w:t xml:space="preserve"> </w:t>
      </w:r>
      <w:r w:rsidRPr="00647CD8">
        <w:rPr>
          <w:rFonts w:asciiTheme="minorHAnsi" w:hAnsiTheme="minorHAnsi" w:cstheme="minorBidi"/>
        </w:rPr>
        <w:t xml:space="preserve">However clearly efficient Data Centres, minimising their overall energy demand is best practice under various routes </w:t>
      </w:r>
      <w:r w:rsidR="00D1470A" w:rsidRPr="00647CD8">
        <w:rPr>
          <w:rFonts w:asciiTheme="minorHAnsi" w:hAnsiTheme="minorHAnsi" w:cstheme="minorBidi"/>
        </w:rPr>
        <w:t xml:space="preserve">other </w:t>
      </w:r>
      <w:r w:rsidRPr="00647CD8">
        <w:rPr>
          <w:rFonts w:asciiTheme="minorHAnsi" w:hAnsiTheme="minorHAnsi" w:cstheme="minorBidi"/>
        </w:rPr>
        <w:t xml:space="preserve">than EPR i.e. the CCA or perhaps general standards like 9001, 14001 and 50001. </w:t>
      </w:r>
    </w:p>
    <w:p w14:paraId="666EB6FB" w14:textId="77777777" w:rsidR="00260921" w:rsidRPr="00647CD8" w:rsidRDefault="00260921" w:rsidP="00260921">
      <w:pPr>
        <w:rPr>
          <w:rFonts w:asciiTheme="minorHAnsi" w:hAnsiTheme="minorHAnsi" w:cstheme="minorBidi"/>
        </w:rPr>
      </w:pPr>
      <w:r w:rsidRPr="00647CD8">
        <w:rPr>
          <w:rFonts w:asciiTheme="minorHAnsi" w:hAnsiTheme="minorHAnsi" w:cstheme="minorBidi"/>
        </w:rPr>
        <w:lastRenderedPageBreak/>
        <w:t xml:space="preserve">Such </w:t>
      </w:r>
      <w:r w:rsidR="00D1470A" w:rsidRPr="00647CD8">
        <w:rPr>
          <w:rFonts w:asciiTheme="minorHAnsi" w:hAnsiTheme="minorHAnsi" w:cstheme="minorBidi"/>
        </w:rPr>
        <w:t xml:space="preserve">efficiencies </w:t>
      </w:r>
      <w:r w:rsidRPr="00647CD8">
        <w:rPr>
          <w:rFonts w:asciiTheme="minorHAnsi" w:hAnsiTheme="minorHAnsi" w:cstheme="minorBidi"/>
        </w:rPr>
        <w:t xml:space="preserve">may likely reduce emergency generation requirement and hence plant emissions (by needing less engine fuel and tests etc) throughout the year. This might have a marginal impact on wastes (used engine oil) and raw materials (new engine oil) or water abstractions too. </w:t>
      </w:r>
    </w:p>
    <w:p w14:paraId="406EA79B" w14:textId="77777777" w:rsidR="00C24AC9" w:rsidRPr="00647CD8" w:rsidRDefault="00E15810" w:rsidP="00C24AC9">
      <w:pPr>
        <w:pStyle w:val="Heading2"/>
        <w:rPr>
          <w:color w:val="auto"/>
        </w:rPr>
      </w:pPr>
      <w:bookmarkStart w:id="52" w:name="_Ref485802586"/>
      <w:bookmarkStart w:id="53" w:name="_Ref485802589"/>
      <w:bookmarkStart w:id="54" w:name="_Ref485824531"/>
      <w:bookmarkStart w:id="55" w:name="_Ref485824534"/>
      <w:bookmarkStart w:id="56" w:name="_Toc517419580"/>
      <w:r w:rsidRPr="00647CD8">
        <w:rPr>
          <w:color w:val="auto"/>
        </w:rPr>
        <w:t xml:space="preserve">Air Quality </w:t>
      </w:r>
      <w:r w:rsidR="00C24AC9" w:rsidRPr="00647CD8">
        <w:rPr>
          <w:color w:val="auto"/>
        </w:rPr>
        <w:t>Emergency Action Plan (for grid outages)</w:t>
      </w:r>
      <w:bookmarkEnd w:id="52"/>
      <w:bookmarkEnd w:id="53"/>
      <w:bookmarkEnd w:id="54"/>
      <w:bookmarkEnd w:id="55"/>
      <w:bookmarkEnd w:id="56"/>
    </w:p>
    <w:p w14:paraId="7020B8C7" w14:textId="77777777" w:rsidR="00F14DAF" w:rsidRPr="00647CD8" w:rsidRDefault="00F14DAF" w:rsidP="00F14DAF">
      <w:pPr>
        <w:rPr>
          <w:rFonts w:asciiTheme="minorHAnsi" w:hAnsiTheme="minorHAnsi" w:cstheme="minorBidi"/>
        </w:rPr>
      </w:pPr>
    </w:p>
    <w:p w14:paraId="325D9178" w14:textId="77777777" w:rsidR="00F14DAF" w:rsidRPr="00647CD8" w:rsidRDefault="00F14DAF" w:rsidP="00F14DAF">
      <w:pPr>
        <w:rPr>
          <w:rFonts w:asciiTheme="minorHAnsi" w:hAnsiTheme="minorHAnsi" w:cstheme="minorBidi"/>
        </w:rPr>
      </w:pPr>
      <w:r w:rsidRPr="00647CD8">
        <w:rPr>
          <w:rFonts w:asciiTheme="minorHAnsi" w:hAnsiTheme="minorHAnsi" w:cstheme="minorBidi"/>
        </w:rPr>
        <w:t>Assuming AQ modelling, based on emergency outage operating scenarios, indicates a very significant risk to local air quality and identified receptors, the EA will ask the operator to have a written AQ outage action plan to manage the issue for prolonged emergency running of the plant (including sensitive receptors list and mitigations, assessments and impacts evaluation against modelled risk conditions i.e. occurrence at periods of most concern in the year, possibly ambient air monitoring surveillance at very sensitive receptors). An AQ outage action plan is also likely required for sites which might operate in conjunction with other neighbouring large sites during an outage i.e. data centre hubs.</w:t>
      </w:r>
    </w:p>
    <w:p w14:paraId="4AA28714" w14:textId="77777777" w:rsidR="00295430" w:rsidRPr="00647CD8" w:rsidRDefault="00295430" w:rsidP="00D1212E">
      <w:pPr>
        <w:rPr>
          <w:i/>
        </w:rPr>
      </w:pPr>
      <w:r w:rsidRPr="00647CD8">
        <w:rPr>
          <w:b/>
          <w:i/>
        </w:rPr>
        <w:t>The approach of an AQAP has yet to be formally tested during the permitting process.</w:t>
      </w:r>
      <w:r w:rsidRPr="00647CD8">
        <w:rPr>
          <w:i/>
        </w:rPr>
        <w:t xml:space="preserve"> The following has also yet to be formally discussed with operators or the association. The guide is a provisional approach</w:t>
      </w:r>
      <w:r w:rsidR="00B45004" w:rsidRPr="00647CD8">
        <w:rPr>
          <w:i/>
        </w:rPr>
        <w:t xml:space="preserve"> as a general set of principles.</w:t>
      </w:r>
    </w:p>
    <w:p w14:paraId="5824E5FA" w14:textId="77777777" w:rsidR="00D1212E" w:rsidRPr="00647CD8" w:rsidRDefault="00D1212E" w:rsidP="00D1212E">
      <w:pPr>
        <w:rPr>
          <w:u w:val="single"/>
        </w:rPr>
      </w:pPr>
      <w:r w:rsidRPr="00647CD8">
        <w:rPr>
          <w:u w:val="single"/>
        </w:rPr>
        <w:t>Air Quality Management Plan in Response to a power outage or blackout.</w:t>
      </w:r>
    </w:p>
    <w:p w14:paraId="1A978E40" w14:textId="77777777" w:rsidR="00D1212E" w:rsidRPr="00647CD8" w:rsidRDefault="00D1212E" w:rsidP="00D1212E">
      <w:r w:rsidRPr="00647CD8">
        <w:t>This is the quick guide on the development of an Air Quality Management Plan AQMP for a site with a large number of emergency diesel generators; and when more than a critical number of generators and DRUPs would be needed for the power loss event that could ultimately impact air quality.</w:t>
      </w:r>
    </w:p>
    <w:p w14:paraId="4338EC57" w14:textId="77777777" w:rsidR="00D1212E" w:rsidRPr="00647CD8" w:rsidRDefault="00D1212E" w:rsidP="00D1212E">
      <w:r w:rsidRPr="00647CD8">
        <w:t>The improvement condition (IC) wording usually included in EA permitting for at risk sites might be “The operator shall develop and submit for approval a site specific AQMP which identifies the emergency operating conditions when Local Air Quality may be adversely impacted by emissions to air from the installation.”</w:t>
      </w:r>
    </w:p>
    <w:p w14:paraId="79CF9D32" w14:textId="77777777" w:rsidR="00D1212E" w:rsidRPr="00647CD8" w:rsidRDefault="00D1212E" w:rsidP="00D1212E">
      <w:r w:rsidRPr="00647CD8">
        <w:t xml:space="preserve">The identified harm to human health </w:t>
      </w:r>
      <w:r w:rsidR="00295430" w:rsidRPr="00647CD8">
        <w:t xml:space="preserve">risks </w:t>
      </w:r>
      <w:r w:rsidRPr="00647CD8">
        <w:t>will be based on AQ modelling which is routinely required for EPR permitting.</w:t>
      </w:r>
    </w:p>
    <w:p w14:paraId="2CCE6DF8" w14:textId="77777777" w:rsidR="00D1212E" w:rsidRPr="00647CD8" w:rsidRDefault="00D1212E" w:rsidP="00D1212E">
      <w:r w:rsidRPr="00647CD8">
        <w:t xml:space="preserve">It is important to note that any planned maintenance works or testing of the installed generators should </w:t>
      </w:r>
      <w:r w:rsidR="00295430" w:rsidRPr="00647CD8">
        <w:rPr>
          <w:u w:val="single"/>
        </w:rPr>
        <w:t>already</w:t>
      </w:r>
      <w:r w:rsidR="00295430" w:rsidRPr="00647CD8">
        <w:t xml:space="preserve"> </w:t>
      </w:r>
      <w:r w:rsidRPr="00647CD8">
        <w:t xml:space="preserve">be selected based on the details identified AQ modelling and embraced by the AQMP plan e.g. whole site tests select to minimise impacts. </w:t>
      </w:r>
    </w:p>
    <w:p w14:paraId="065D7EAA" w14:textId="77777777" w:rsidR="00D1212E" w:rsidRPr="00647CD8" w:rsidRDefault="00D1212E" w:rsidP="00D1212E">
      <w:pPr>
        <w:rPr>
          <w:b/>
          <w:sz w:val="28"/>
          <w:szCs w:val="28"/>
        </w:rPr>
      </w:pPr>
      <w:r w:rsidRPr="00647CD8">
        <w:rPr>
          <w:b/>
          <w:sz w:val="28"/>
          <w:szCs w:val="28"/>
        </w:rPr>
        <w:t xml:space="preserve">In essence in evaluating the risk impacts of an outage a ‘bad time for an outage’ should agree with the periods </w:t>
      </w:r>
      <w:r w:rsidR="00295430" w:rsidRPr="00647CD8">
        <w:rPr>
          <w:b/>
          <w:sz w:val="28"/>
          <w:szCs w:val="28"/>
        </w:rPr>
        <w:t xml:space="preserve">already </w:t>
      </w:r>
      <w:r w:rsidRPr="00647CD8">
        <w:rPr>
          <w:b/>
          <w:sz w:val="28"/>
          <w:szCs w:val="28"/>
        </w:rPr>
        <w:t xml:space="preserve">avoided as being </w:t>
      </w:r>
      <w:r w:rsidR="00295430" w:rsidRPr="00647CD8">
        <w:rPr>
          <w:b/>
          <w:sz w:val="28"/>
          <w:szCs w:val="28"/>
        </w:rPr>
        <w:t>‘</w:t>
      </w:r>
      <w:r w:rsidRPr="00647CD8">
        <w:rPr>
          <w:b/>
          <w:sz w:val="28"/>
          <w:szCs w:val="28"/>
        </w:rPr>
        <w:t xml:space="preserve">bad </w:t>
      </w:r>
      <w:r w:rsidR="00295430" w:rsidRPr="00647CD8">
        <w:rPr>
          <w:b/>
          <w:sz w:val="28"/>
          <w:szCs w:val="28"/>
        </w:rPr>
        <w:t xml:space="preserve">times’ </w:t>
      </w:r>
      <w:r w:rsidRPr="00647CD8">
        <w:rPr>
          <w:b/>
          <w:sz w:val="28"/>
          <w:szCs w:val="28"/>
        </w:rPr>
        <w:t>to conduct engine tests</w:t>
      </w:r>
      <w:r w:rsidR="00295430" w:rsidRPr="00647CD8">
        <w:rPr>
          <w:b/>
          <w:sz w:val="28"/>
          <w:szCs w:val="28"/>
        </w:rPr>
        <w:t>.</w:t>
      </w:r>
    </w:p>
    <w:p w14:paraId="4BD102BE" w14:textId="77777777" w:rsidR="00D1212E" w:rsidRPr="00647CD8" w:rsidRDefault="00D1212E" w:rsidP="00D1212E">
      <w:pPr>
        <w:rPr>
          <w:b/>
          <w:sz w:val="28"/>
          <w:szCs w:val="28"/>
          <w:u w:val="single"/>
        </w:rPr>
      </w:pPr>
      <w:r w:rsidRPr="00647CD8">
        <w:rPr>
          <w:b/>
          <w:sz w:val="28"/>
          <w:szCs w:val="28"/>
          <w:u w:val="single"/>
        </w:rPr>
        <w:t>Background</w:t>
      </w:r>
    </w:p>
    <w:p w14:paraId="2C631BB3" w14:textId="77777777" w:rsidR="00D1212E" w:rsidRPr="00647CD8" w:rsidRDefault="00D1212E" w:rsidP="00D1212E">
      <w:r w:rsidRPr="00647CD8">
        <w:t xml:space="preserve">Some buildings and facilities require standalone emergency generating power to important critical infrastructure such as Data Centres, Air Traffic Control, Grid Peak &amp; Black Start, Hospitals. The generators are usually diesel powered with their own fuel stored on site. If the peak load is sufficiently large a significant number of the installed generators and diesel rotary UPS will be needed to start-up and sustain electrical output until the incoming power has been reliably restored. </w:t>
      </w:r>
    </w:p>
    <w:p w14:paraId="712A7259" w14:textId="77777777" w:rsidR="00D1212E" w:rsidRPr="00647CD8" w:rsidRDefault="00D1212E" w:rsidP="00D1212E">
      <w:r w:rsidRPr="00647CD8">
        <w:lastRenderedPageBreak/>
        <w:t xml:space="preserve">AQ models may indicate there will be likely occasions and scenarios during the year which could be impacted adversely on acute exposure to human health and/or national and local ambient air quality standards. </w:t>
      </w:r>
    </w:p>
    <w:p w14:paraId="0471B5C0" w14:textId="77777777" w:rsidR="00D1212E" w:rsidRPr="00647CD8" w:rsidRDefault="00D1212E" w:rsidP="00D1212E">
      <w:r w:rsidRPr="00647CD8">
        <w:t>NOx  and NO</w:t>
      </w:r>
      <w:r w:rsidRPr="00647CD8">
        <w:rPr>
          <w:vertAlign w:val="subscript"/>
        </w:rPr>
        <w:t>2</w:t>
      </w:r>
      <w:r w:rsidRPr="00647CD8">
        <w:t xml:space="preserve"> mass emission rates for the various engine types/standards and dispersion specifics (stacks etc) installed at the site would be minimised under BAT reviews during any permitting or local planning procedures. There is then a point at which further cost-benefit analysis (CBA) is unreasonable for an extremely unlikely grid outages and site power losses. Ultimately the site’s total ongoing release at the time of an outage cannot be reduced further but may still be of concern; this action plan details the assessment and mitigations in the event of a power outage for the largest sites.</w:t>
      </w:r>
    </w:p>
    <w:p w14:paraId="19562C24" w14:textId="77777777" w:rsidR="00D1212E" w:rsidRPr="00647CD8" w:rsidRDefault="00D1212E" w:rsidP="00D1212E">
      <w:r w:rsidRPr="00647CD8">
        <w:t xml:space="preserve">The development of an AQMP is considered BAT </w:t>
      </w:r>
      <w:r w:rsidR="00295430" w:rsidRPr="00647CD8">
        <w:t xml:space="preserve">by the EA </w:t>
      </w:r>
      <w:r w:rsidRPr="00647CD8">
        <w:t>after all reasonable prior physical controls (primary and possibly secondary abatement measures) have been deployed to bring schedulable generator maintenance and testing emission impacts to acceptable levels but which whole site operation is still a concern.</w:t>
      </w:r>
    </w:p>
    <w:p w14:paraId="19E82D0F" w14:textId="77777777" w:rsidR="00D1212E" w:rsidRPr="00647CD8" w:rsidRDefault="00D1212E" w:rsidP="00D1212E">
      <w:pPr>
        <w:rPr>
          <w:i/>
          <w:vertAlign w:val="superscript"/>
        </w:rPr>
      </w:pPr>
      <w:r w:rsidRPr="00647CD8">
        <w:rPr>
          <w:i/>
        </w:rPr>
        <w:t>Acute Exposure Guidance Level (AEGL) for causing discomfort in the general population in ambient air is 940ug/m</w:t>
      </w:r>
      <w:r w:rsidRPr="00647CD8">
        <w:rPr>
          <w:i/>
          <w:vertAlign w:val="superscript"/>
        </w:rPr>
        <w:t>3</w:t>
      </w:r>
      <w:r w:rsidRPr="00647CD8">
        <w:rPr>
          <w:i/>
          <w:vertAlign w:val="subscript"/>
        </w:rPr>
        <w:t xml:space="preserve">. </w:t>
      </w:r>
      <w:r w:rsidRPr="00647CD8">
        <w:rPr>
          <w:i/>
        </w:rPr>
        <w:t>Significant concern for public health and non-reversible damage for an 8-hour period starts at around 12600ug/m</w:t>
      </w:r>
      <w:r w:rsidRPr="00647CD8">
        <w:rPr>
          <w:i/>
          <w:vertAlign w:val="superscript"/>
        </w:rPr>
        <w:t>3</w:t>
      </w:r>
      <w:r w:rsidRPr="00647CD8">
        <w:rPr>
          <w:i/>
        </w:rPr>
        <w:t>.</w:t>
      </w:r>
    </w:p>
    <w:p w14:paraId="7B1552F7" w14:textId="77777777" w:rsidR="00D1212E" w:rsidRPr="00647CD8" w:rsidRDefault="00D1212E" w:rsidP="00D1212E">
      <w:pPr>
        <w:rPr>
          <w:i/>
          <w:vertAlign w:val="superscript"/>
        </w:rPr>
      </w:pPr>
      <w:r w:rsidRPr="00647CD8">
        <w:rPr>
          <w:i/>
        </w:rPr>
        <w:t>Ambient Air Quality hourly mean objective limit is 200ug/m</w:t>
      </w:r>
      <w:r w:rsidRPr="00647CD8">
        <w:rPr>
          <w:i/>
          <w:vertAlign w:val="superscript"/>
        </w:rPr>
        <w:t>3</w:t>
      </w:r>
      <w:r w:rsidR="00BC058E" w:rsidRPr="00647CD8">
        <w:rPr>
          <w:i/>
          <w:vertAlign w:val="superscript"/>
        </w:rPr>
        <w:t xml:space="preserve"> </w:t>
      </w:r>
      <w:r w:rsidR="00BC058E" w:rsidRPr="00647CD8">
        <w:rPr>
          <w:i/>
        </w:rPr>
        <w:t>(w</w:t>
      </w:r>
      <w:r w:rsidRPr="00647CD8">
        <w:rPr>
          <w:i/>
        </w:rPr>
        <w:t>ith less than 18 hour</w:t>
      </w:r>
      <w:r w:rsidR="00BC058E" w:rsidRPr="00647CD8">
        <w:rPr>
          <w:i/>
        </w:rPr>
        <w:t>ly exceedances</w:t>
      </w:r>
      <w:r w:rsidRPr="00647CD8">
        <w:rPr>
          <w:i/>
        </w:rPr>
        <w:t xml:space="preserve"> in a year).</w:t>
      </w:r>
    </w:p>
    <w:p w14:paraId="7C1CC89C" w14:textId="77777777" w:rsidR="00D1212E" w:rsidRPr="00647CD8" w:rsidRDefault="00D1212E" w:rsidP="00D1212E">
      <w:pPr>
        <w:rPr>
          <w:b/>
          <w:sz w:val="28"/>
          <w:szCs w:val="28"/>
          <w:u w:val="single"/>
        </w:rPr>
      </w:pPr>
      <w:r w:rsidRPr="00647CD8">
        <w:rPr>
          <w:b/>
          <w:sz w:val="28"/>
          <w:szCs w:val="28"/>
          <w:u w:val="single"/>
        </w:rPr>
        <w:t>The plan itself</w:t>
      </w:r>
      <w:r w:rsidR="00295430" w:rsidRPr="00647CD8">
        <w:rPr>
          <w:b/>
          <w:sz w:val="28"/>
          <w:szCs w:val="28"/>
          <w:u w:val="single"/>
        </w:rPr>
        <w:t xml:space="preserve"> is site specific</w:t>
      </w:r>
    </w:p>
    <w:p w14:paraId="774904AD" w14:textId="77777777" w:rsidR="00D1212E" w:rsidRPr="00647CD8" w:rsidRDefault="00D1212E" w:rsidP="00D1212E">
      <w:r w:rsidRPr="00647CD8">
        <w:t>The plan, as a minimum, will identify a range of emergency scenarios detailing which plant will be operating and their emissions to air of NOx.</w:t>
      </w:r>
    </w:p>
    <w:p w14:paraId="4745525D" w14:textId="77777777" w:rsidR="00D1212E" w:rsidRPr="00647CD8" w:rsidRDefault="00D1212E" w:rsidP="00D1212E">
      <w:r w:rsidRPr="00647CD8">
        <w:t>The plan will include the ongoing management of the emergency event – monitoring the likely harm to sensitive receptors as the event progresses using the above scenarios and the actual values for the relevant parameters. The plant will identify trigger points in advance of AQ breaches for sensitive receptors and appropriate on site and off site action to minimise harm.</w:t>
      </w:r>
    </w:p>
    <w:p w14:paraId="49759AD1" w14:textId="77777777" w:rsidR="00D1212E" w:rsidRPr="00647CD8" w:rsidRDefault="00D1212E" w:rsidP="00D1212E">
      <w:r w:rsidRPr="00647CD8">
        <w:t>The plan will include the notification of the EA and Local Authority at the appropriate trigger points during the event.</w:t>
      </w:r>
    </w:p>
    <w:p w14:paraId="3FC12662" w14:textId="77777777" w:rsidR="00D1212E" w:rsidRPr="00647CD8" w:rsidRDefault="00D1212E" w:rsidP="00D1212E">
      <w:r w:rsidRPr="00647CD8">
        <w:t>Following an emergency event the operator will make a report detailing the health impact and reviewing the effectiveness of the plan</w:t>
      </w:r>
    </w:p>
    <w:p w14:paraId="6FEA4B00" w14:textId="77777777" w:rsidR="00D1212E" w:rsidRPr="00647CD8" w:rsidRDefault="00D1212E" w:rsidP="00D1212E">
      <w:pPr>
        <w:rPr>
          <w:b/>
          <w:sz w:val="28"/>
          <w:szCs w:val="28"/>
          <w:u w:val="single"/>
        </w:rPr>
      </w:pPr>
      <w:r w:rsidRPr="00647CD8">
        <w:rPr>
          <w:b/>
          <w:sz w:val="28"/>
          <w:szCs w:val="28"/>
          <w:u w:val="single"/>
        </w:rPr>
        <w:t>Overview of the Process:</w:t>
      </w:r>
    </w:p>
    <w:p w14:paraId="0A4C3132" w14:textId="77777777" w:rsidR="00D1212E" w:rsidRPr="00647CD8" w:rsidRDefault="00D1212E" w:rsidP="00D1212E">
      <w:r w:rsidRPr="00647CD8">
        <w:t>The operator, to develop an air quality response plan needs to assess risks, evaluate and then mitigate the impacts to sensitive receptors and ambient air quality as a result of a significant electrical supply outage to the facility. The plan would consider factors like meteorological conditions, date, time and outage duration with respect to NOx short term acute exposure and hourly mean ambient air concentration standards. The plan should be developed in conjunction with the Local Authority and its Local Air Quality Management (LAQM) process and in extreme their “Major Incident Procedures”.</w:t>
      </w:r>
    </w:p>
    <w:p w14:paraId="2807F7C0" w14:textId="77777777" w:rsidR="00D1212E" w:rsidRPr="00647CD8" w:rsidRDefault="00D1212E" w:rsidP="00D1212E">
      <w:r w:rsidRPr="00647CD8">
        <w:t>So look at plausible outage scenarios Combustion plant, emissions of NO</w:t>
      </w:r>
      <w:r w:rsidRPr="00647CD8">
        <w:rPr>
          <w:vertAlign w:val="subscript"/>
        </w:rPr>
        <w:t>2</w:t>
      </w:r>
      <w:r w:rsidRPr="00647CD8">
        <w:t>/NOx, duration of operation, met conditions, background concentration and in-combination effects, sensitive receptors and the potential exposure to acute, hourly and more than 18 hours of the NO</w:t>
      </w:r>
      <w:r w:rsidRPr="00647CD8">
        <w:rPr>
          <w:vertAlign w:val="subscript"/>
        </w:rPr>
        <w:t>2</w:t>
      </w:r>
      <w:r w:rsidRPr="00647CD8">
        <w:t xml:space="preserve"> AQ standard.</w:t>
      </w:r>
    </w:p>
    <w:p w14:paraId="54B83726" w14:textId="77777777" w:rsidR="00D1212E" w:rsidRPr="00647CD8" w:rsidRDefault="00D1212E" w:rsidP="00D1212E">
      <w:r w:rsidRPr="00647CD8">
        <w:br w:type="page"/>
      </w:r>
    </w:p>
    <w:p w14:paraId="3A2881B3" w14:textId="77777777" w:rsidR="00D1212E" w:rsidRPr="00647CD8" w:rsidRDefault="00D1212E" w:rsidP="00D1212E"/>
    <w:p w14:paraId="3F048226" w14:textId="77777777" w:rsidR="00D1212E" w:rsidRPr="00647CD8" w:rsidRDefault="00D1212E" w:rsidP="00D1212E">
      <w:r w:rsidRPr="00647CD8">
        <w:t>Installed Factors</w:t>
      </w:r>
    </w:p>
    <w:p w14:paraId="2B01C8A4" w14:textId="77777777" w:rsidR="00D1212E" w:rsidRPr="00647CD8" w:rsidRDefault="00D1212E" w:rsidP="00D1212E">
      <w:pPr>
        <w:pStyle w:val="ListParagraph"/>
        <w:numPr>
          <w:ilvl w:val="0"/>
          <w:numId w:val="31"/>
        </w:numPr>
        <w:spacing w:after="160" w:line="259" w:lineRule="auto"/>
      </w:pPr>
      <w:r w:rsidRPr="00647CD8">
        <w:t>Number of generators actually operating (or equivalent if part load) compared to critical number.</w:t>
      </w:r>
    </w:p>
    <w:p w14:paraId="7E7B1770" w14:textId="77777777" w:rsidR="00D1212E" w:rsidRPr="00647CD8" w:rsidRDefault="00D1212E" w:rsidP="00D1212E">
      <w:pPr>
        <w:pStyle w:val="ListParagraph"/>
        <w:numPr>
          <w:ilvl w:val="0"/>
          <w:numId w:val="31"/>
        </w:numPr>
        <w:spacing w:after="160" w:line="259" w:lineRule="auto"/>
      </w:pPr>
      <w:r w:rsidRPr="00647CD8">
        <w:t>Site partitioned and only a localised group of engines is operating</w:t>
      </w:r>
    </w:p>
    <w:p w14:paraId="533F180D" w14:textId="77777777" w:rsidR="00D1212E" w:rsidRPr="00647CD8" w:rsidRDefault="00D1212E" w:rsidP="00D1212E">
      <w:pPr>
        <w:pStyle w:val="ListParagraph"/>
        <w:numPr>
          <w:ilvl w:val="0"/>
          <w:numId w:val="31"/>
        </w:numPr>
        <w:spacing w:after="160" w:line="259" w:lineRule="auto"/>
      </w:pPr>
      <w:r w:rsidRPr="00647CD8">
        <w:t>DRUPs or generators (operational mode pre-emptive of the outage i.e. frequency dips) or a mix</w:t>
      </w:r>
    </w:p>
    <w:p w14:paraId="368A8802" w14:textId="77777777" w:rsidR="00D1212E" w:rsidRPr="00647CD8" w:rsidRDefault="00D1212E" w:rsidP="00D1212E">
      <w:pPr>
        <w:pStyle w:val="ListParagraph"/>
        <w:numPr>
          <w:ilvl w:val="0"/>
          <w:numId w:val="31"/>
        </w:numPr>
        <w:spacing w:after="160" w:line="259" w:lineRule="auto"/>
      </w:pPr>
      <w:r w:rsidRPr="00647CD8">
        <w:t>Stacks and location of emissions</w:t>
      </w:r>
      <w:r w:rsidR="00BC058E" w:rsidRPr="00647CD8">
        <w:t xml:space="preserve"> for the operating generators</w:t>
      </w:r>
    </w:p>
    <w:p w14:paraId="7B909408" w14:textId="77777777" w:rsidR="00D1212E" w:rsidRPr="00647CD8" w:rsidRDefault="00D1212E" w:rsidP="00D1212E">
      <w:pPr>
        <w:pStyle w:val="ListParagraph"/>
        <w:numPr>
          <w:ilvl w:val="0"/>
          <w:numId w:val="31"/>
        </w:numPr>
        <w:spacing w:after="160" w:line="259" w:lineRule="auto"/>
      </w:pPr>
      <w:r w:rsidRPr="00647CD8">
        <w:t>Proximity to similar outage generators operating on the same basis</w:t>
      </w:r>
      <w:r w:rsidR="00215659" w:rsidRPr="00647CD8">
        <w:t xml:space="preserve"> by other sites</w:t>
      </w:r>
    </w:p>
    <w:p w14:paraId="748BF8E7" w14:textId="77777777" w:rsidR="00D1212E" w:rsidRPr="00647CD8" w:rsidRDefault="00D1212E" w:rsidP="00D1212E">
      <w:r w:rsidRPr="00647CD8">
        <w:t>Outage Occurrence</w:t>
      </w:r>
    </w:p>
    <w:p w14:paraId="38D8BBD1" w14:textId="77777777" w:rsidR="00D1212E" w:rsidRPr="00647CD8" w:rsidRDefault="00D1212E" w:rsidP="00D1212E">
      <w:pPr>
        <w:pStyle w:val="ListParagraph"/>
        <w:numPr>
          <w:ilvl w:val="0"/>
          <w:numId w:val="32"/>
        </w:numPr>
        <w:spacing w:after="160" w:line="259" w:lineRule="auto"/>
      </w:pPr>
      <w:r w:rsidRPr="00647CD8">
        <w:t xml:space="preserve">Time </w:t>
      </w:r>
    </w:p>
    <w:p w14:paraId="6DAA0B2D" w14:textId="77777777" w:rsidR="00D1212E" w:rsidRPr="00647CD8" w:rsidRDefault="00D1212E" w:rsidP="00D1212E">
      <w:pPr>
        <w:pStyle w:val="ListParagraph"/>
        <w:numPr>
          <w:ilvl w:val="0"/>
          <w:numId w:val="32"/>
        </w:numPr>
        <w:spacing w:after="160" w:line="259" w:lineRule="auto"/>
      </w:pPr>
      <w:r w:rsidRPr="00647CD8">
        <w:t>Date/season</w:t>
      </w:r>
    </w:p>
    <w:p w14:paraId="2F7BBDC7" w14:textId="77777777" w:rsidR="00D1212E" w:rsidRPr="00647CD8" w:rsidRDefault="00D1212E" w:rsidP="00D1212E">
      <w:pPr>
        <w:pStyle w:val="ListParagraph"/>
        <w:numPr>
          <w:ilvl w:val="0"/>
          <w:numId w:val="32"/>
        </w:numPr>
        <w:spacing w:after="160" w:line="259" w:lineRule="auto"/>
      </w:pPr>
      <w:r w:rsidRPr="00647CD8">
        <w:t>Meteorology/weather</w:t>
      </w:r>
    </w:p>
    <w:p w14:paraId="392C3BA8" w14:textId="77777777" w:rsidR="00D1212E" w:rsidRPr="00647CD8" w:rsidRDefault="00D1212E" w:rsidP="00D1212E">
      <w:pPr>
        <w:pStyle w:val="ListParagraph"/>
        <w:numPr>
          <w:ilvl w:val="0"/>
          <w:numId w:val="32"/>
        </w:numPr>
        <w:spacing w:after="160" w:line="259" w:lineRule="auto"/>
      </w:pPr>
      <w:r w:rsidRPr="00647CD8">
        <w:t>Wind direction</w:t>
      </w:r>
    </w:p>
    <w:p w14:paraId="70F976FE" w14:textId="77777777" w:rsidR="00D1212E" w:rsidRPr="00647CD8" w:rsidRDefault="00D1212E" w:rsidP="00D1212E">
      <w:pPr>
        <w:pStyle w:val="ListParagraph"/>
        <w:numPr>
          <w:ilvl w:val="0"/>
          <w:numId w:val="32"/>
        </w:numPr>
        <w:spacing w:after="160" w:line="259" w:lineRule="auto"/>
      </w:pPr>
      <w:r w:rsidRPr="00647CD8">
        <w:t>Prior weather conditions (e.g. prolonged temperature inversion)</w:t>
      </w:r>
    </w:p>
    <w:p w14:paraId="2D56DBBF" w14:textId="77777777" w:rsidR="00215659" w:rsidRPr="00647CD8" w:rsidRDefault="00215659" w:rsidP="00D1212E">
      <w:pPr>
        <w:pStyle w:val="ListParagraph"/>
        <w:numPr>
          <w:ilvl w:val="0"/>
          <w:numId w:val="32"/>
        </w:numPr>
        <w:spacing w:after="160" w:line="259" w:lineRule="auto"/>
      </w:pPr>
      <w:r w:rsidRPr="00647CD8">
        <w:t>Local air quality warnings for pollen or already ambient AQ exceedance</w:t>
      </w:r>
      <w:r w:rsidR="008A1B52" w:rsidRPr="00647CD8">
        <w:t>s</w:t>
      </w:r>
      <w:r w:rsidRPr="00647CD8">
        <w:t xml:space="preserve"> (of the 18) etc</w:t>
      </w:r>
      <w:r w:rsidR="008A1B52" w:rsidRPr="00647CD8">
        <w:t>.</w:t>
      </w:r>
    </w:p>
    <w:p w14:paraId="7838F065" w14:textId="77777777" w:rsidR="00D1212E" w:rsidRPr="00647CD8" w:rsidRDefault="00D1212E" w:rsidP="00D1212E">
      <w:r w:rsidRPr="00647CD8">
        <w:t>Receptor</w:t>
      </w:r>
    </w:p>
    <w:p w14:paraId="3B6B53DE" w14:textId="77777777" w:rsidR="00BC058E" w:rsidRPr="00647CD8" w:rsidRDefault="00BC058E" w:rsidP="00D1212E">
      <w:pPr>
        <w:pStyle w:val="ListParagraph"/>
        <w:numPr>
          <w:ilvl w:val="0"/>
          <w:numId w:val="33"/>
        </w:numPr>
        <w:spacing w:after="160" w:line="259" w:lineRule="auto"/>
      </w:pPr>
      <w:r w:rsidRPr="00647CD8">
        <w:t>Those receptors identified during the air quality modelling process</w:t>
      </w:r>
    </w:p>
    <w:p w14:paraId="1F7D4B2F" w14:textId="77777777" w:rsidR="00D1212E" w:rsidRPr="00647CD8" w:rsidRDefault="00D1212E" w:rsidP="00D1212E">
      <w:pPr>
        <w:pStyle w:val="ListParagraph"/>
        <w:numPr>
          <w:ilvl w:val="0"/>
          <w:numId w:val="33"/>
        </w:numPr>
        <w:spacing w:after="160" w:line="259" w:lineRule="auto"/>
      </w:pPr>
      <w:r w:rsidRPr="00647CD8">
        <w:t xml:space="preserve">Acute Exposure </w:t>
      </w:r>
    </w:p>
    <w:p w14:paraId="24BA1441" w14:textId="77777777" w:rsidR="00D1212E" w:rsidRPr="00647CD8" w:rsidRDefault="00D1212E" w:rsidP="00D1212E">
      <w:pPr>
        <w:pStyle w:val="ListParagraph"/>
        <w:numPr>
          <w:ilvl w:val="0"/>
          <w:numId w:val="33"/>
        </w:numPr>
        <w:spacing w:after="160" w:line="259" w:lineRule="auto"/>
      </w:pPr>
      <w:r w:rsidRPr="00647CD8">
        <w:t>General populace</w:t>
      </w:r>
    </w:p>
    <w:p w14:paraId="11A7D4B6" w14:textId="77777777" w:rsidR="00D1212E" w:rsidRPr="00647CD8" w:rsidRDefault="00D1212E" w:rsidP="00D1212E">
      <w:pPr>
        <w:pStyle w:val="ListParagraph"/>
        <w:numPr>
          <w:ilvl w:val="0"/>
          <w:numId w:val="33"/>
        </w:numPr>
        <w:spacing w:after="160" w:line="259" w:lineRule="auto"/>
      </w:pPr>
      <w:r w:rsidRPr="00647CD8">
        <w:t xml:space="preserve">Specific Sensitive receptors which are linked to the metrological conditions (wind direction) </w:t>
      </w:r>
    </w:p>
    <w:p w14:paraId="6E980E73" w14:textId="77777777" w:rsidR="00D1212E" w:rsidRPr="00647CD8" w:rsidRDefault="00D1212E" w:rsidP="00D1212E">
      <w:pPr>
        <w:pStyle w:val="ListParagraph"/>
      </w:pPr>
    </w:p>
    <w:p w14:paraId="5A6F44CA" w14:textId="77777777" w:rsidR="00D1212E" w:rsidRPr="00647CD8" w:rsidRDefault="00D1212E" w:rsidP="00D1212E">
      <w:r w:rsidRPr="00647CD8">
        <w:t>Additional Considerations</w:t>
      </w:r>
    </w:p>
    <w:p w14:paraId="79AEF2B0" w14:textId="77777777" w:rsidR="00D1212E" w:rsidRPr="00647CD8" w:rsidRDefault="00D1212E" w:rsidP="00D1212E">
      <w:pPr>
        <w:pStyle w:val="ListParagraph"/>
        <w:numPr>
          <w:ilvl w:val="0"/>
          <w:numId w:val="34"/>
        </w:numPr>
        <w:spacing w:after="160" w:line="259" w:lineRule="auto"/>
      </w:pPr>
      <w:r w:rsidRPr="00647CD8">
        <w:t>Extent of outage across the locale for smaller generators</w:t>
      </w:r>
      <w:r w:rsidR="00BC058E" w:rsidRPr="00647CD8">
        <w:t>, other data centres</w:t>
      </w:r>
    </w:p>
    <w:p w14:paraId="47A14D10" w14:textId="77777777" w:rsidR="00D1212E" w:rsidRPr="00647CD8" w:rsidRDefault="00D1212E" w:rsidP="00D1212E">
      <w:pPr>
        <w:pStyle w:val="ListParagraph"/>
        <w:numPr>
          <w:ilvl w:val="0"/>
          <w:numId w:val="34"/>
        </w:numPr>
        <w:spacing w:after="160" w:line="259" w:lineRule="auto"/>
      </w:pPr>
      <w:r w:rsidRPr="00647CD8">
        <w:t>Likely duration (&lt;18hours, or does 1 hour cause an issue)</w:t>
      </w:r>
    </w:p>
    <w:p w14:paraId="121633DC" w14:textId="77777777" w:rsidR="00295430" w:rsidRPr="00647CD8" w:rsidRDefault="00295430" w:rsidP="00D1212E">
      <w:pPr>
        <w:pStyle w:val="ListParagraph"/>
        <w:numPr>
          <w:ilvl w:val="0"/>
          <w:numId w:val="34"/>
        </w:numPr>
        <w:spacing w:after="160" w:line="259" w:lineRule="auto"/>
      </w:pPr>
      <w:r w:rsidRPr="00647CD8">
        <w:t>How are the receptors affected by the outage (e.g. sent home from school, go in doors or come out side, flood lighting stops play)</w:t>
      </w:r>
    </w:p>
    <w:p w14:paraId="78D0389D" w14:textId="77777777" w:rsidR="00215659" w:rsidRPr="00647CD8" w:rsidRDefault="00215659" w:rsidP="00D1212E">
      <w:pPr>
        <w:pStyle w:val="ListParagraph"/>
        <w:numPr>
          <w:ilvl w:val="0"/>
          <w:numId w:val="34"/>
        </w:numPr>
        <w:spacing w:after="160" w:line="259" w:lineRule="auto"/>
      </w:pPr>
      <w:r w:rsidRPr="00647CD8">
        <w:t>Are there any flexibilities within the site to change/alternate which generators are operating so as to be furthest from receptors (might only apply to larger sites or with particularly close receptors)</w:t>
      </w:r>
    </w:p>
    <w:p w14:paraId="6718D9FE" w14:textId="77777777" w:rsidR="00215659" w:rsidRPr="00647CD8" w:rsidRDefault="00215659" w:rsidP="00D1212E">
      <w:pPr>
        <w:pStyle w:val="ListParagraph"/>
        <w:numPr>
          <w:ilvl w:val="0"/>
          <w:numId w:val="34"/>
        </w:numPr>
        <w:spacing w:after="160" w:line="259" w:lineRule="auto"/>
      </w:pPr>
      <w:r w:rsidRPr="00647CD8">
        <w:t>Outage cause: is the air quality likely to be made worse for other reasons e.g. outage cause by an on-going local fire?</w:t>
      </w:r>
    </w:p>
    <w:p w14:paraId="3F6FC1F6" w14:textId="77777777" w:rsidR="00D1212E" w:rsidRPr="00647CD8" w:rsidRDefault="00D1212E" w:rsidP="00D1212E">
      <w:r w:rsidRPr="00647CD8">
        <w:br w:type="page"/>
      </w:r>
    </w:p>
    <w:p w14:paraId="3D70C84B" w14:textId="77777777" w:rsidR="00D1212E" w:rsidRPr="00647CD8" w:rsidRDefault="00D1212E" w:rsidP="00D1212E"/>
    <w:p w14:paraId="2AC0BB7D" w14:textId="77777777" w:rsidR="00D1212E" w:rsidRPr="00647CD8" w:rsidRDefault="00D1212E" w:rsidP="00D1212E">
      <w:r w:rsidRPr="00647CD8">
        <w:t>An example approach would be to characterise the circumstances of the event into “No risk”; “Low risk”; “Mo</w:t>
      </w:r>
      <w:r w:rsidR="001D01D6" w:rsidRPr="00647CD8">
        <w:t>derate risk” and “Probable Risk. A simple risk flow diagram may be more suitable.</w:t>
      </w:r>
    </w:p>
    <w:p w14:paraId="3EE586DF" w14:textId="77777777" w:rsidR="00D1212E" w:rsidRPr="00647CD8" w:rsidRDefault="00D1212E" w:rsidP="00D1212E"/>
    <w:tbl>
      <w:tblPr>
        <w:tblStyle w:val="TableGrid"/>
        <w:tblW w:w="10398" w:type="dxa"/>
        <w:tblInd w:w="-289" w:type="dxa"/>
        <w:tblLook w:val="04A0" w:firstRow="1" w:lastRow="0" w:firstColumn="1" w:lastColumn="0" w:noHBand="0" w:noVBand="1"/>
      </w:tblPr>
      <w:tblGrid>
        <w:gridCol w:w="2312"/>
        <w:gridCol w:w="2083"/>
        <w:gridCol w:w="1959"/>
        <w:gridCol w:w="2021"/>
        <w:gridCol w:w="2023"/>
      </w:tblGrid>
      <w:tr w:rsidR="00647CD8" w:rsidRPr="00647CD8" w14:paraId="54C737E7" w14:textId="77777777" w:rsidTr="00D1212E">
        <w:trPr>
          <w:trHeight w:val="306"/>
        </w:trPr>
        <w:tc>
          <w:tcPr>
            <w:tcW w:w="2312" w:type="dxa"/>
          </w:tcPr>
          <w:p w14:paraId="0673F866" w14:textId="77777777" w:rsidR="00D1212E" w:rsidRPr="00647CD8" w:rsidRDefault="00D1212E" w:rsidP="00FE5792">
            <w:pPr>
              <w:rPr>
                <w:b/>
              </w:rPr>
            </w:pPr>
            <w:r w:rsidRPr="00647CD8">
              <w:rPr>
                <w:b/>
              </w:rPr>
              <w:t>Factors</w:t>
            </w:r>
          </w:p>
        </w:tc>
        <w:tc>
          <w:tcPr>
            <w:tcW w:w="2083" w:type="dxa"/>
          </w:tcPr>
          <w:p w14:paraId="2A0D1D4C" w14:textId="77777777" w:rsidR="00D1212E" w:rsidRPr="00647CD8" w:rsidRDefault="00D1212E" w:rsidP="00FE5792">
            <w:r w:rsidRPr="00647CD8">
              <w:t>No Risk</w:t>
            </w:r>
          </w:p>
        </w:tc>
        <w:tc>
          <w:tcPr>
            <w:tcW w:w="1959" w:type="dxa"/>
          </w:tcPr>
          <w:p w14:paraId="5429C7F2" w14:textId="77777777" w:rsidR="00D1212E" w:rsidRPr="00647CD8" w:rsidRDefault="00D1212E" w:rsidP="00FE5792">
            <w:r w:rsidRPr="00647CD8">
              <w:t>Low Risk</w:t>
            </w:r>
          </w:p>
        </w:tc>
        <w:tc>
          <w:tcPr>
            <w:tcW w:w="2021" w:type="dxa"/>
          </w:tcPr>
          <w:p w14:paraId="61E878DC" w14:textId="77777777" w:rsidR="00D1212E" w:rsidRPr="00647CD8" w:rsidRDefault="00D1212E" w:rsidP="00FE5792">
            <w:r w:rsidRPr="00647CD8">
              <w:t>Moderate Risk</w:t>
            </w:r>
          </w:p>
        </w:tc>
        <w:tc>
          <w:tcPr>
            <w:tcW w:w="2023" w:type="dxa"/>
          </w:tcPr>
          <w:p w14:paraId="2E7189FB" w14:textId="77777777" w:rsidR="00D1212E" w:rsidRPr="00647CD8" w:rsidRDefault="00D1212E" w:rsidP="00FE5792">
            <w:r w:rsidRPr="00647CD8">
              <w:t>Probable Risk</w:t>
            </w:r>
          </w:p>
        </w:tc>
      </w:tr>
      <w:tr w:rsidR="00647CD8" w:rsidRPr="00647CD8" w14:paraId="0444A17B" w14:textId="77777777" w:rsidTr="00D1212E">
        <w:trPr>
          <w:trHeight w:val="2354"/>
        </w:trPr>
        <w:tc>
          <w:tcPr>
            <w:tcW w:w="2312" w:type="dxa"/>
            <w:tcBorders>
              <w:bottom w:val="single" w:sz="4" w:space="0" w:color="auto"/>
            </w:tcBorders>
          </w:tcPr>
          <w:p w14:paraId="79B86AF6" w14:textId="77777777" w:rsidR="00D1212E" w:rsidRPr="00647CD8" w:rsidRDefault="00D1212E" w:rsidP="00FE5792">
            <w:r w:rsidRPr="00647CD8">
              <w:t>Initial Event Characteristics</w:t>
            </w:r>
          </w:p>
        </w:tc>
        <w:tc>
          <w:tcPr>
            <w:tcW w:w="2083" w:type="dxa"/>
            <w:tcBorders>
              <w:bottom w:val="single" w:sz="4" w:space="0" w:color="auto"/>
            </w:tcBorders>
          </w:tcPr>
          <w:p w14:paraId="32EC5B99" w14:textId="77777777" w:rsidR="00D1212E" w:rsidRPr="00647CD8" w:rsidRDefault="00D1212E" w:rsidP="00D1212E">
            <w:pPr>
              <w:pStyle w:val="ListParagraph"/>
              <w:numPr>
                <w:ilvl w:val="0"/>
                <w:numId w:val="35"/>
              </w:numPr>
              <w:spacing w:after="0" w:line="240" w:lineRule="auto"/>
              <w:ind w:left="201" w:hanging="283"/>
            </w:pPr>
            <w:r w:rsidRPr="00647CD8">
              <w:t>Mar-Aug</w:t>
            </w:r>
          </w:p>
          <w:p w14:paraId="3082DCB7" w14:textId="77777777" w:rsidR="00D1212E" w:rsidRPr="00647CD8" w:rsidRDefault="00D1212E" w:rsidP="00D1212E">
            <w:pPr>
              <w:pStyle w:val="ListParagraph"/>
              <w:numPr>
                <w:ilvl w:val="0"/>
                <w:numId w:val="35"/>
              </w:numPr>
              <w:spacing w:after="0" w:line="240" w:lineRule="auto"/>
              <w:ind w:left="201" w:hanging="283"/>
            </w:pPr>
            <w:r w:rsidRPr="00647CD8">
              <w:t>8pm-6am</w:t>
            </w:r>
          </w:p>
          <w:p w14:paraId="275A340B" w14:textId="77777777" w:rsidR="00D1212E" w:rsidRPr="00647CD8" w:rsidRDefault="00D1212E" w:rsidP="00D1212E">
            <w:pPr>
              <w:pStyle w:val="ListParagraph"/>
              <w:numPr>
                <w:ilvl w:val="0"/>
                <w:numId w:val="35"/>
              </w:numPr>
              <w:spacing w:after="0" w:line="240" w:lineRule="auto"/>
              <w:ind w:left="201" w:hanging="283"/>
            </w:pPr>
            <w:r w:rsidRPr="00647CD8">
              <w:t>Any day</w:t>
            </w:r>
          </w:p>
          <w:p w14:paraId="4A8B627C" w14:textId="77777777" w:rsidR="00D1212E" w:rsidRPr="00647CD8" w:rsidRDefault="00D1212E" w:rsidP="00FE5792"/>
          <w:p w14:paraId="604E1CBE" w14:textId="77777777" w:rsidR="00D1212E" w:rsidRPr="00647CD8" w:rsidRDefault="00D1212E" w:rsidP="00FE5792"/>
        </w:tc>
        <w:tc>
          <w:tcPr>
            <w:tcW w:w="1959" w:type="dxa"/>
            <w:tcBorders>
              <w:bottom w:val="single" w:sz="4" w:space="0" w:color="auto"/>
            </w:tcBorders>
          </w:tcPr>
          <w:p w14:paraId="2FB17BDE" w14:textId="77777777" w:rsidR="00D1212E" w:rsidRPr="00647CD8" w:rsidRDefault="00D1212E" w:rsidP="00D1212E">
            <w:pPr>
              <w:pStyle w:val="ListParagraph"/>
              <w:numPr>
                <w:ilvl w:val="0"/>
                <w:numId w:val="36"/>
              </w:numPr>
              <w:spacing w:after="0" w:line="240" w:lineRule="auto"/>
              <w:ind w:left="201" w:hanging="283"/>
            </w:pPr>
            <w:r w:rsidRPr="00647CD8">
              <w:t>Mar-Aug</w:t>
            </w:r>
          </w:p>
          <w:p w14:paraId="46E9BB21" w14:textId="77777777" w:rsidR="00D1212E" w:rsidRPr="00647CD8" w:rsidRDefault="00D1212E" w:rsidP="00D1212E">
            <w:pPr>
              <w:pStyle w:val="ListParagraph"/>
              <w:numPr>
                <w:ilvl w:val="0"/>
                <w:numId w:val="36"/>
              </w:numPr>
              <w:spacing w:after="0" w:line="240" w:lineRule="auto"/>
              <w:ind w:left="201" w:hanging="283"/>
            </w:pPr>
            <w:r w:rsidRPr="00647CD8">
              <w:t>4pm-8pm</w:t>
            </w:r>
          </w:p>
          <w:p w14:paraId="0FBCC5C5" w14:textId="77777777" w:rsidR="00D1212E" w:rsidRPr="00647CD8" w:rsidRDefault="00D1212E" w:rsidP="00D1212E">
            <w:pPr>
              <w:pStyle w:val="ListParagraph"/>
              <w:numPr>
                <w:ilvl w:val="0"/>
                <w:numId w:val="36"/>
              </w:numPr>
              <w:spacing w:after="0" w:line="240" w:lineRule="auto"/>
              <w:ind w:left="201" w:hanging="283"/>
            </w:pPr>
            <w:r w:rsidRPr="00647CD8">
              <w:t>Weekday</w:t>
            </w:r>
          </w:p>
          <w:p w14:paraId="57FBD5CE" w14:textId="77777777" w:rsidR="00D1212E" w:rsidRPr="00647CD8" w:rsidRDefault="00D1212E" w:rsidP="00D1212E">
            <w:pPr>
              <w:pStyle w:val="ListParagraph"/>
              <w:numPr>
                <w:ilvl w:val="0"/>
                <w:numId w:val="36"/>
              </w:numPr>
              <w:spacing w:after="0" w:line="240" w:lineRule="auto"/>
              <w:ind w:left="201" w:hanging="283"/>
            </w:pPr>
            <w:r w:rsidRPr="00647CD8">
              <w:t>Part load site lower risk</w:t>
            </w:r>
          </w:p>
          <w:p w14:paraId="7346255C" w14:textId="77777777" w:rsidR="00D1212E" w:rsidRPr="00647CD8" w:rsidRDefault="00D1212E" w:rsidP="00FE5792"/>
          <w:p w14:paraId="65143F58" w14:textId="77777777" w:rsidR="00D1212E" w:rsidRPr="00647CD8" w:rsidRDefault="00D1212E" w:rsidP="00FE5792"/>
        </w:tc>
        <w:tc>
          <w:tcPr>
            <w:tcW w:w="2021" w:type="dxa"/>
            <w:tcBorders>
              <w:bottom w:val="single" w:sz="4" w:space="0" w:color="auto"/>
            </w:tcBorders>
          </w:tcPr>
          <w:p w14:paraId="54CEF5CC" w14:textId="77777777" w:rsidR="00D1212E" w:rsidRPr="00647CD8" w:rsidRDefault="00D1212E" w:rsidP="00D1212E">
            <w:pPr>
              <w:pStyle w:val="ListParagraph"/>
              <w:numPr>
                <w:ilvl w:val="0"/>
                <w:numId w:val="38"/>
              </w:numPr>
              <w:spacing w:after="0" w:line="240" w:lineRule="auto"/>
              <w:ind w:left="201" w:hanging="283"/>
            </w:pPr>
            <w:r w:rsidRPr="00647CD8">
              <w:t>Mar-Aug (4pm-8pm)</w:t>
            </w:r>
          </w:p>
          <w:p w14:paraId="22B8835B" w14:textId="77777777" w:rsidR="00D1212E" w:rsidRPr="00647CD8" w:rsidRDefault="00D1212E" w:rsidP="00D1212E">
            <w:pPr>
              <w:pStyle w:val="ListParagraph"/>
              <w:numPr>
                <w:ilvl w:val="0"/>
                <w:numId w:val="38"/>
              </w:numPr>
              <w:spacing w:after="0" w:line="240" w:lineRule="auto"/>
              <w:ind w:left="201" w:hanging="283"/>
            </w:pPr>
            <w:r w:rsidRPr="00647CD8">
              <w:t xml:space="preserve">Sept-Oct </w:t>
            </w:r>
          </w:p>
          <w:p w14:paraId="1B93F149" w14:textId="77777777" w:rsidR="00D1212E" w:rsidRPr="00647CD8" w:rsidRDefault="00D1212E" w:rsidP="00D1212E">
            <w:pPr>
              <w:pStyle w:val="ListParagraph"/>
              <w:numPr>
                <w:ilvl w:val="0"/>
                <w:numId w:val="38"/>
              </w:numPr>
              <w:spacing w:after="0" w:line="240" w:lineRule="auto"/>
              <w:ind w:left="201" w:hanging="283"/>
            </w:pPr>
            <w:r w:rsidRPr="00647CD8">
              <w:t>Ambient air quality warnings</w:t>
            </w:r>
          </w:p>
          <w:p w14:paraId="159C2BFA" w14:textId="77777777" w:rsidR="00D1212E" w:rsidRPr="00647CD8" w:rsidRDefault="00D1212E" w:rsidP="00D1212E">
            <w:pPr>
              <w:pStyle w:val="ListParagraph"/>
              <w:numPr>
                <w:ilvl w:val="0"/>
                <w:numId w:val="38"/>
              </w:numPr>
              <w:spacing w:after="0" w:line="240" w:lineRule="auto"/>
              <w:ind w:left="201" w:hanging="283"/>
            </w:pPr>
            <w:r w:rsidRPr="00647CD8">
              <w:t>Full load site greater risk</w:t>
            </w:r>
          </w:p>
          <w:p w14:paraId="234FE0FA" w14:textId="77777777" w:rsidR="00D1212E" w:rsidRPr="00647CD8" w:rsidRDefault="00D1212E" w:rsidP="00FE5792">
            <w:pPr>
              <w:ind w:left="360"/>
            </w:pPr>
          </w:p>
        </w:tc>
        <w:tc>
          <w:tcPr>
            <w:tcW w:w="2023" w:type="dxa"/>
            <w:tcBorders>
              <w:bottom w:val="single" w:sz="4" w:space="0" w:color="auto"/>
            </w:tcBorders>
          </w:tcPr>
          <w:p w14:paraId="4A76916A" w14:textId="77777777" w:rsidR="00D1212E" w:rsidRPr="00647CD8" w:rsidRDefault="00D1212E" w:rsidP="00D1212E">
            <w:pPr>
              <w:pStyle w:val="ListParagraph"/>
              <w:numPr>
                <w:ilvl w:val="0"/>
                <w:numId w:val="37"/>
              </w:numPr>
              <w:spacing w:after="0" w:line="240" w:lineRule="auto"/>
              <w:ind w:left="201" w:hanging="283"/>
            </w:pPr>
            <w:r w:rsidRPr="00647CD8">
              <w:t>Nov-Feb</w:t>
            </w:r>
          </w:p>
          <w:p w14:paraId="41B56AFF" w14:textId="77777777" w:rsidR="00D1212E" w:rsidRPr="00647CD8" w:rsidRDefault="00D1212E" w:rsidP="00D1212E">
            <w:pPr>
              <w:pStyle w:val="ListParagraph"/>
              <w:numPr>
                <w:ilvl w:val="0"/>
                <w:numId w:val="37"/>
              </w:numPr>
              <w:spacing w:after="0" w:line="240" w:lineRule="auto"/>
              <w:ind w:left="201" w:hanging="283"/>
            </w:pPr>
            <w:r w:rsidRPr="00647CD8">
              <w:t>Weekday</w:t>
            </w:r>
          </w:p>
          <w:p w14:paraId="67D68A28" w14:textId="77777777" w:rsidR="00D1212E" w:rsidRPr="00647CD8" w:rsidRDefault="00D1212E" w:rsidP="00D1212E">
            <w:pPr>
              <w:pStyle w:val="ListParagraph"/>
              <w:numPr>
                <w:ilvl w:val="0"/>
                <w:numId w:val="37"/>
              </w:numPr>
              <w:spacing w:after="0" w:line="240" w:lineRule="auto"/>
              <w:ind w:left="201" w:hanging="283"/>
            </w:pPr>
            <w:r w:rsidRPr="00647CD8">
              <w:t>Any time</w:t>
            </w:r>
          </w:p>
          <w:p w14:paraId="2C7F1259" w14:textId="77777777" w:rsidR="00D1212E" w:rsidRPr="00647CD8" w:rsidRDefault="00D1212E" w:rsidP="00D1212E">
            <w:pPr>
              <w:pStyle w:val="ListParagraph"/>
              <w:numPr>
                <w:ilvl w:val="0"/>
                <w:numId w:val="37"/>
              </w:numPr>
              <w:spacing w:after="0" w:line="240" w:lineRule="auto"/>
              <w:ind w:left="201" w:hanging="283"/>
            </w:pPr>
            <w:r w:rsidRPr="00647CD8">
              <w:t>Weekends at lower risk if good weather conditions.</w:t>
            </w:r>
          </w:p>
          <w:p w14:paraId="21EFB6CD" w14:textId="77777777" w:rsidR="00D1212E" w:rsidRPr="00647CD8" w:rsidRDefault="00D1212E" w:rsidP="00FE5792">
            <w:pPr>
              <w:pStyle w:val="ListParagraph"/>
              <w:ind w:left="201"/>
            </w:pPr>
          </w:p>
        </w:tc>
      </w:tr>
      <w:tr w:rsidR="00647CD8" w:rsidRPr="00647CD8" w14:paraId="0D4CA17B" w14:textId="77777777" w:rsidTr="00D1212E">
        <w:trPr>
          <w:trHeight w:val="306"/>
        </w:trPr>
        <w:tc>
          <w:tcPr>
            <w:tcW w:w="2312" w:type="dxa"/>
            <w:shd w:val="pct5" w:color="auto" w:fill="auto"/>
          </w:tcPr>
          <w:p w14:paraId="57F39857" w14:textId="77777777" w:rsidR="00D1212E" w:rsidRPr="00647CD8" w:rsidRDefault="00D1212E" w:rsidP="00FE5792">
            <w:r w:rsidRPr="00647CD8">
              <w:t>Whole site planned testing or planned works</w:t>
            </w:r>
          </w:p>
        </w:tc>
        <w:tc>
          <w:tcPr>
            <w:tcW w:w="2083" w:type="dxa"/>
            <w:shd w:val="pct5" w:color="auto" w:fill="auto"/>
          </w:tcPr>
          <w:p w14:paraId="37282556" w14:textId="77777777" w:rsidR="00D1212E" w:rsidRPr="00647CD8" w:rsidRDefault="00D1212E" w:rsidP="00FE5792">
            <w:r w:rsidRPr="00647CD8">
              <w:t>Ok anytime</w:t>
            </w:r>
          </w:p>
        </w:tc>
        <w:tc>
          <w:tcPr>
            <w:tcW w:w="1959" w:type="dxa"/>
            <w:shd w:val="pct5" w:color="auto" w:fill="auto"/>
          </w:tcPr>
          <w:p w14:paraId="1A2D2504" w14:textId="77777777" w:rsidR="00D1212E" w:rsidRPr="00647CD8" w:rsidRDefault="00D1212E" w:rsidP="00FE5792">
            <w:r w:rsidRPr="00647CD8">
              <w:t>Ok anytime</w:t>
            </w:r>
          </w:p>
        </w:tc>
        <w:tc>
          <w:tcPr>
            <w:tcW w:w="2021" w:type="dxa"/>
            <w:shd w:val="pct5" w:color="auto" w:fill="auto"/>
          </w:tcPr>
          <w:p w14:paraId="50F1DCF3" w14:textId="77777777" w:rsidR="00D1212E" w:rsidRPr="00647CD8" w:rsidRDefault="00D1212E" w:rsidP="00FE5792">
            <w:r w:rsidRPr="00647CD8">
              <w:t>Ok only at weekends</w:t>
            </w:r>
          </w:p>
        </w:tc>
        <w:tc>
          <w:tcPr>
            <w:tcW w:w="2023" w:type="dxa"/>
            <w:shd w:val="pct5" w:color="auto" w:fill="auto"/>
          </w:tcPr>
          <w:p w14:paraId="69B62F97" w14:textId="77777777" w:rsidR="00D1212E" w:rsidRPr="00647CD8" w:rsidRDefault="00D1212E" w:rsidP="00FE5792">
            <w:r w:rsidRPr="00647CD8">
              <w:t xml:space="preserve">Definitely No. </w:t>
            </w:r>
          </w:p>
        </w:tc>
      </w:tr>
      <w:tr w:rsidR="00647CD8" w:rsidRPr="00647CD8" w14:paraId="42627899" w14:textId="77777777" w:rsidTr="00D1212E">
        <w:trPr>
          <w:trHeight w:val="306"/>
        </w:trPr>
        <w:tc>
          <w:tcPr>
            <w:tcW w:w="2312" w:type="dxa"/>
            <w:shd w:val="pct5" w:color="auto" w:fill="auto"/>
          </w:tcPr>
          <w:p w14:paraId="4FDB9531" w14:textId="77777777" w:rsidR="00D1212E" w:rsidRPr="00647CD8" w:rsidRDefault="00D1212E" w:rsidP="00FE5792">
            <w:r w:rsidRPr="00647CD8">
              <w:t>Duration of concern of Ambient Air Quality</w:t>
            </w:r>
          </w:p>
        </w:tc>
        <w:tc>
          <w:tcPr>
            <w:tcW w:w="2083" w:type="dxa"/>
            <w:shd w:val="pct5" w:color="auto" w:fill="auto"/>
          </w:tcPr>
          <w:p w14:paraId="35F76AC5" w14:textId="77777777" w:rsidR="00D1212E" w:rsidRPr="00647CD8" w:rsidRDefault="00D1212E" w:rsidP="00FE5792">
            <w:r w:rsidRPr="00647CD8">
              <w:t>No issue</w:t>
            </w:r>
          </w:p>
        </w:tc>
        <w:tc>
          <w:tcPr>
            <w:tcW w:w="1959" w:type="dxa"/>
            <w:shd w:val="pct5" w:color="auto" w:fill="auto"/>
          </w:tcPr>
          <w:p w14:paraId="6FC7C59B" w14:textId="77777777" w:rsidR="00D1212E" w:rsidRPr="00647CD8" w:rsidRDefault="00D1212E" w:rsidP="00FE5792">
            <w:r w:rsidRPr="00647CD8">
              <w:t>No issue unless extremely long and likely to start overlapping with moderate risk criteria</w:t>
            </w:r>
          </w:p>
        </w:tc>
        <w:tc>
          <w:tcPr>
            <w:tcW w:w="2021" w:type="dxa"/>
            <w:shd w:val="pct5" w:color="auto" w:fill="auto"/>
          </w:tcPr>
          <w:p w14:paraId="5DF4B46E" w14:textId="77777777" w:rsidR="00D1212E" w:rsidRPr="00647CD8" w:rsidRDefault="00D1212E" w:rsidP="00FE5792">
            <w:r w:rsidRPr="00647CD8">
              <w:t>&gt;24 hours risks a rolling 18 hour window</w:t>
            </w:r>
          </w:p>
          <w:p w14:paraId="0FBADA2C" w14:textId="77777777" w:rsidR="00D1212E" w:rsidRPr="00647CD8" w:rsidRDefault="00D1212E" w:rsidP="00FE5792"/>
        </w:tc>
        <w:tc>
          <w:tcPr>
            <w:tcW w:w="2023" w:type="dxa"/>
            <w:shd w:val="pct5" w:color="auto" w:fill="auto"/>
          </w:tcPr>
          <w:p w14:paraId="0E508747" w14:textId="77777777" w:rsidR="00D1212E" w:rsidRPr="00647CD8" w:rsidRDefault="00D1212E" w:rsidP="00FE5792">
            <w:r w:rsidRPr="00647CD8">
              <w:t>Any &gt;18 hour event</w:t>
            </w:r>
          </w:p>
        </w:tc>
      </w:tr>
      <w:tr w:rsidR="00647CD8" w:rsidRPr="00647CD8" w14:paraId="1567C1DF" w14:textId="77777777" w:rsidTr="00D1212E">
        <w:trPr>
          <w:trHeight w:val="306"/>
        </w:trPr>
        <w:tc>
          <w:tcPr>
            <w:tcW w:w="2312" w:type="dxa"/>
            <w:shd w:val="pct5" w:color="auto" w:fill="auto"/>
          </w:tcPr>
          <w:p w14:paraId="56B95C33" w14:textId="77777777" w:rsidR="00D1212E" w:rsidRPr="00647CD8" w:rsidRDefault="00D1212E" w:rsidP="00FE5792">
            <w:r w:rsidRPr="00647CD8">
              <w:t xml:space="preserve">Duration of concern for Sensitive Receptors (acute) </w:t>
            </w:r>
          </w:p>
        </w:tc>
        <w:tc>
          <w:tcPr>
            <w:tcW w:w="2083" w:type="dxa"/>
            <w:shd w:val="pct5" w:color="auto" w:fill="auto"/>
          </w:tcPr>
          <w:p w14:paraId="2012E978" w14:textId="77777777" w:rsidR="00D1212E" w:rsidRPr="00647CD8" w:rsidRDefault="00D1212E" w:rsidP="00FE5792">
            <w:r w:rsidRPr="00647CD8">
              <w:t>No issue</w:t>
            </w:r>
          </w:p>
        </w:tc>
        <w:tc>
          <w:tcPr>
            <w:tcW w:w="1959" w:type="dxa"/>
            <w:shd w:val="pct5" w:color="auto" w:fill="auto"/>
          </w:tcPr>
          <w:p w14:paraId="10936B60" w14:textId="77777777" w:rsidR="00D1212E" w:rsidRPr="00647CD8" w:rsidRDefault="00D1212E" w:rsidP="00FE5792">
            <w:r w:rsidRPr="00647CD8">
              <w:t>No issue</w:t>
            </w:r>
          </w:p>
        </w:tc>
        <w:tc>
          <w:tcPr>
            <w:tcW w:w="2021" w:type="dxa"/>
            <w:shd w:val="pct5" w:color="auto" w:fill="auto"/>
          </w:tcPr>
          <w:p w14:paraId="028AFFFF" w14:textId="77777777" w:rsidR="00D1212E" w:rsidRPr="00647CD8" w:rsidRDefault="00D1212E" w:rsidP="00FE5792">
            <w:r w:rsidRPr="00647CD8">
              <w:t>No issue</w:t>
            </w:r>
          </w:p>
        </w:tc>
        <w:tc>
          <w:tcPr>
            <w:tcW w:w="2023" w:type="dxa"/>
            <w:shd w:val="pct5" w:color="auto" w:fill="auto"/>
          </w:tcPr>
          <w:p w14:paraId="298B7D01" w14:textId="77777777" w:rsidR="00D1212E" w:rsidRPr="00647CD8" w:rsidRDefault="00D1212E" w:rsidP="00FE5792">
            <w:r w:rsidRPr="00647CD8">
              <w:t>1 hour at evening rush hour (4pm-7pm)</w:t>
            </w:r>
          </w:p>
          <w:p w14:paraId="67475F03" w14:textId="77777777" w:rsidR="00D1212E" w:rsidRPr="00647CD8" w:rsidRDefault="00D1212E" w:rsidP="00FE5792"/>
          <w:p w14:paraId="3814EA28" w14:textId="77777777" w:rsidR="00D1212E" w:rsidRPr="00647CD8" w:rsidRDefault="00D1212E" w:rsidP="00FE5792">
            <w:r w:rsidRPr="00647CD8">
              <w:t>4 hours otherwise</w:t>
            </w:r>
          </w:p>
        </w:tc>
      </w:tr>
      <w:tr w:rsidR="00647CD8" w:rsidRPr="00647CD8" w14:paraId="727DA4EF" w14:textId="77777777" w:rsidTr="00A44FAA">
        <w:trPr>
          <w:trHeight w:val="3401"/>
        </w:trPr>
        <w:tc>
          <w:tcPr>
            <w:tcW w:w="2312" w:type="dxa"/>
          </w:tcPr>
          <w:p w14:paraId="48854A79" w14:textId="77777777" w:rsidR="00D1212E" w:rsidRPr="00647CD8" w:rsidRDefault="00D1212E" w:rsidP="00FE5792">
            <w:pPr>
              <w:rPr>
                <w:b/>
                <w:sz w:val="20"/>
              </w:rPr>
            </w:pPr>
            <w:r w:rsidRPr="00647CD8">
              <w:rPr>
                <w:b/>
                <w:sz w:val="20"/>
              </w:rPr>
              <w:t>Initial ACTION</w:t>
            </w:r>
          </w:p>
        </w:tc>
        <w:tc>
          <w:tcPr>
            <w:tcW w:w="2083" w:type="dxa"/>
          </w:tcPr>
          <w:p w14:paraId="3C86E238" w14:textId="77777777" w:rsidR="00D1212E" w:rsidRPr="00647CD8" w:rsidRDefault="00D1212E" w:rsidP="00FE5792">
            <w:pPr>
              <w:rPr>
                <w:sz w:val="20"/>
              </w:rPr>
            </w:pPr>
            <w:r w:rsidRPr="00647CD8">
              <w:rPr>
                <w:sz w:val="20"/>
              </w:rPr>
              <w:t>Notify EA of outage as required by permit. Add to tally of outage total hours</w:t>
            </w:r>
          </w:p>
        </w:tc>
        <w:tc>
          <w:tcPr>
            <w:tcW w:w="1959" w:type="dxa"/>
          </w:tcPr>
          <w:p w14:paraId="1DA14527" w14:textId="77777777" w:rsidR="00D1212E" w:rsidRPr="00647CD8" w:rsidRDefault="00D1212E" w:rsidP="00FE5792">
            <w:pPr>
              <w:rPr>
                <w:sz w:val="20"/>
              </w:rPr>
            </w:pPr>
            <w:r w:rsidRPr="00647CD8">
              <w:rPr>
                <w:sz w:val="20"/>
              </w:rPr>
              <w:t>Notify EA of outage as required by permit. Add to tally of outage total hours</w:t>
            </w:r>
          </w:p>
          <w:p w14:paraId="4EE6B598" w14:textId="77777777" w:rsidR="00D1212E" w:rsidRPr="00647CD8" w:rsidRDefault="00D1212E" w:rsidP="00FE5792">
            <w:pPr>
              <w:rPr>
                <w:sz w:val="20"/>
              </w:rPr>
            </w:pPr>
          </w:p>
          <w:p w14:paraId="03D16C8D" w14:textId="77777777" w:rsidR="00D1212E" w:rsidRPr="00647CD8" w:rsidRDefault="00D1212E" w:rsidP="00FE5792">
            <w:pPr>
              <w:rPr>
                <w:sz w:val="20"/>
              </w:rPr>
            </w:pPr>
            <w:r w:rsidRPr="00647CD8">
              <w:rPr>
                <w:sz w:val="20"/>
              </w:rPr>
              <w:t>Keep under review that events don’t move to Moderate risk</w:t>
            </w:r>
          </w:p>
        </w:tc>
        <w:tc>
          <w:tcPr>
            <w:tcW w:w="2021" w:type="dxa"/>
          </w:tcPr>
          <w:p w14:paraId="143E1905" w14:textId="77777777" w:rsidR="00D1212E" w:rsidRPr="00647CD8" w:rsidRDefault="00D1212E" w:rsidP="00FE5792">
            <w:pPr>
              <w:rPr>
                <w:sz w:val="20"/>
              </w:rPr>
            </w:pPr>
            <w:r w:rsidRPr="00647CD8">
              <w:rPr>
                <w:sz w:val="20"/>
              </w:rPr>
              <w:t>Notify EA and Local Authority of outage and implementing AQMP.</w:t>
            </w:r>
          </w:p>
          <w:p w14:paraId="2D528658" w14:textId="77777777" w:rsidR="00D1212E" w:rsidRPr="00647CD8" w:rsidRDefault="00D1212E" w:rsidP="00FE5792">
            <w:pPr>
              <w:rPr>
                <w:sz w:val="20"/>
              </w:rPr>
            </w:pPr>
          </w:p>
          <w:p w14:paraId="51F8BA48" w14:textId="77777777" w:rsidR="00D1212E" w:rsidRPr="00647CD8" w:rsidRDefault="00D1212E" w:rsidP="00FE5792">
            <w:pPr>
              <w:rPr>
                <w:sz w:val="20"/>
              </w:rPr>
            </w:pPr>
            <w:r w:rsidRPr="00647CD8">
              <w:rPr>
                <w:sz w:val="20"/>
              </w:rPr>
              <w:t>Need more detailed review</w:t>
            </w:r>
          </w:p>
          <w:p w14:paraId="4E0F2D9A" w14:textId="77777777" w:rsidR="00D1212E" w:rsidRPr="00647CD8" w:rsidRDefault="00D1212E" w:rsidP="00FE5792">
            <w:pPr>
              <w:rPr>
                <w:sz w:val="20"/>
              </w:rPr>
            </w:pPr>
          </w:p>
          <w:p w14:paraId="375557CB" w14:textId="77777777" w:rsidR="00D1212E" w:rsidRPr="00647CD8" w:rsidRDefault="00D1212E" w:rsidP="00FE5792">
            <w:pPr>
              <w:rPr>
                <w:sz w:val="20"/>
              </w:rPr>
            </w:pPr>
            <w:r w:rsidRPr="00647CD8">
              <w:rPr>
                <w:sz w:val="20"/>
              </w:rPr>
              <w:t>Consider precautionary visit to receptors</w:t>
            </w:r>
          </w:p>
        </w:tc>
        <w:tc>
          <w:tcPr>
            <w:tcW w:w="2023" w:type="dxa"/>
          </w:tcPr>
          <w:p w14:paraId="6015E155" w14:textId="77777777" w:rsidR="00D1212E" w:rsidRPr="00647CD8" w:rsidRDefault="00D1212E" w:rsidP="00FE5792">
            <w:pPr>
              <w:rPr>
                <w:sz w:val="20"/>
              </w:rPr>
            </w:pPr>
            <w:r w:rsidRPr="00647CD8">
              <w:rPr>
                <w:sz w:val="20"/>
              </w:rPr>
              <w:t>Notify EA and Local Authority of outage and implementing AQMP</w:t>
            </w:r>
          </w:p>
          <w:p w14:paraId="42726ADF" w14:textId="77777777" w:rsidR="00D1212E" w:rsidRPr="00647CD8" w:rsidRDefault="00D1212E" w:rsidP="00FE5792">
            <w:pPr>
              <w:rPr>
                <w:sz w:val="20"/>
              </w:rPr>
            </w:pPr>
          </w:p>
          <w:p w14:paraId="3A7AC38E" w14:textId="77777777" w:rsidR="00D1212E" w:rsidRPr="00647CD8" w:rsidRDefault="00D1212E" w:rsidP="00FE5792">
            <w:pPr>
              <w:rPr>
                <w:sz w:val="20"/>
              </w:rPr>
            </w:pPr>
            <w:r w:rsidRPr="00647CD8">
              <w:rPr>
                <w:sz w:val="20"/>
              </w:rPr>
              <w:t>Follow detailed action list</w:t>
            </w:r>
          </w:p>
          <w:p w14:paraId="12ACF090" w14:textId="77777777" w:rsidR="00D1212E" w:rsidRPr="00647CD8" w:rsidRDefault="00D1212E" w:rsidP="00FE5792">
            <w:pPr>
              <w:rPr>
                <w:sz w:val="20"/>
              </w:rPr>
            </w:pPr>
          </w:p>
          <w:p w14:paraId="0F956CDA" w14:textId="77777777" w:rsidR="00D1212E" w:rsidRPr="00647CD8" w:rsidRDefault="00D1212E" w:rsidP="00FE5792">
            <w:pPr>
              <w:rPr>
                <w:sz w:val="20"/>
              </w:rPr>
            </w:pPr>
            <w:r w:rsidRPr="00647CD8">
              <w:rPr>
                <w:sz w:val="20"/>
              </w:rPr>
              <w:t>Need more detailed review and visit to receptors</w:t>
            </w:r>
          </w:p>
        </w:tc>
      </w:tr>
    </w:tbl>
    <w:p w14:paraId="592D5870" w14:textId="77777777" w:rsidR="00D1212E" w:rsidRPr="00647CD8" w:rsidRDefault="00D1212E" w:rsidP="00D1212E"/>
    <w:p w14:paraId="3BA6A504" w14:textId="77777777" w:rsidR="00D1212E" w:rsidRPr="00647CD8" w:rsidRDefault="00D1212E" w:rsidP="00D1212E">
      <w:pPr>
        <w:rPr>
          <w:noProof/>
          <w:lang w:eastAsia="en-GB"/>
        </w:rPr>
      </w:pPr>
      <w:r w:rsidRPr="00647CD8">
        <w:br w:type="page"/>
      </w:r>
      <w:r w:rsidRPr="00647CD8">
        <w:rPr>
          <w:noProof/>
          <w:lang w:eastAsia="en-GB"/>
        </w:rPr>
        <w:lastRenderedPageBreak/>
        <w:t xml:space="preserve">Or you might convert the AQ model predicted ennvironment concentration (PEC) directly into a risk map for date and time </w:t>
      </w:r>
      <w:r w:rsidR="00ED32AA" w:rsidRPr="00647CD8">
        <w:rPr>
          <w:noProof/>
          <w:lang w:eastAsia="en-GB"/>
        </w:rPr>
        <w:t xml:space="preserve">(if meteological conditions are less critical) </w:t>
      </w:r>
      <w:r w:rsidRPr="00647CD8">
        <w:rPr>
          <w:noProof/>
          <w:lang w:eastAsia="en-GB"/>
        </w:rPr>
        <w:t>if that is key criteria. And use the information to total up an increasing risk parameter (red hour = 3 points, orange = 2; yellow = 1; blue = 0) to selection actions</w:t>
      </w:r>
      <w:r w:rsidR="00ED32AA" w:rsidRPr="00647CD8">
        <w:rPr>
          <w:noProof/>
          <w:lang w:eastAsia="en-GB"/>
        </w:rPr>
        <w:t xml:space="preserve"> and the outage duration develops</w:t>
      </w:r>
      <w:r w:rsidRPr="00647CD8">
        <w:rPr>
          <w:noProof/>
          <w:lang w:eastAsia="en-GB"/>
        </w:rPr>
        <w:t>.</w:t>
      </w:r>
    </w:p>
    <w:p w14:paraId="03156C9D" w14:textId="77777777" w:rsidR="00D1212E" w:rsidRPr="00647CD8" w:rsidRDefault="00D1212E" w:rsidP="00D1212E">
      <w:pPr>
        <w:ind w:left="284"/>
      </w:pPr>
      <w:r w:rsidRPr="00647CD8">
        <w:rPr>
          <w:noProof/>
          <w:lang w:eastAsia="en-GB"/>
        </w:rPr>
        <w:drawing>
          <wp:inline distT="0" distB="0" distL="0" distR="0" wp14:anchorId="0BFEA73C" wp14:editId="43625561">
            <wp:extent cx="4476750" cy="351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7919" t="26886" r="35853" b="22592"/>
                    <a:stretch/>
                  </pic:blipFill>
                  <pic:spPr bwMode="auto">
                    <a:xfrm>
                      <a:off x="0" y="0"/>
                      <a:ext cx="4487665" cy="3520141"/>
                    </a:xfrm>
                    <a:prstGeom prst="rect">
                      <a:avLst/>
                    </a:prstGeom>
                    <a:ln>
                      <a:noFill/>
                    </a:ln>
                    <a:extLst>
                      <a:ext uri="{53640926-AAD7-44D8-BBD7-CCE9431645EC}">
                        <a14:shadowObscured xmlns:a14="http://schemas.microsoft.com/office/drawing/2010/main"/>
                      </a:ext>
                    </a:extLst>
                  </pic:spPr>
                </pic:pic>
              </a:graphicData>
            </a:graphic>
          </wp:inline>
        </w:drawing>
      </w:r>
    </w:p>
    <w:p w14:paraId="67F47490" w14:textId="77777777" w:rsidR="00D1212E" w:rsidRPr="00647CD8" w:rsidRDefault="00D1212E" w:rsidP="00D1212E">
      <w:pPr>
        <w:rPr>
          <w:b/>
          <w:sz w:val="28"/>
          <w:szCs w:val="28"/>
          <w:u w:val="single"/>
        </w:rPr>
      </w:pPr>
      <w:r w:rsidRPr="00647CD8">
        <w:rPr>
          <w:b/>
          <w:sz w:val="28"/>
          <w:szCs w:val="28"/>
          <w:u w:val="single"/>
        </w:rPr>
        <w:t>Probable Risk - Action List</w:t>
      </w:r>
    </w:p>
    <w:p w14:paraId="282894A1"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Start the incident diary – note start time of outage</w:t>
      </w:r>
    </w:p>
    <w:p w14:paraId="37DAA693"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Identify likely duration of outage initially (check with UK Power Networks, normal repair times for works internally and externally, how critical is the fault)</w:t>
      </w:r>
    </w:p>
    <w:p w14:paraId="5A35372F"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Refer to sensitive receptor list based on the specific circumstances</w:t>
      </w:r>
    </w:p>
    <w:p w14:paraId="4692E17D"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Assess how geographically extensive the outage is.</w:t>
      </w:r>
    </w:p>
    <w:p w14:paraId="0BE142F8"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Assess the occasion and exacerbating factors (weather)</w:t>
      </w:r>
    </w:p>
    <w:p w14:paraId="5BD2CD4E"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Report your Outage Impacts Risk Assessment to EA; initially the permitting officer and if unavailable the EA National Customer Help Line.</w:t>
      </w:r>
    </w:p>
    <w:p w14:paraId="411AFF6E" w14:textId="77777777" w:rsidR="00D1212E" w:rsidRPr="00647CD8" w:rsidRDefault="00D1212E" w:rsidP="00D1212E">
      <w:pPr>
        <w:pStyle w:val="ListParagraph"/>
        <w:numPr>
          <w:ilvl w:val="1"/>
          <w:numId w:val="39"/>
        </w:numPr>
        <w:spacing w:after="160" w:line="259" w:lineRule="auto"/>
        <w:rPr>
          <w:noProof/>
          <w:lang w:eastAsia="en-GB"/>
        </w:rPr>
      </w:pPr>
      <w:r w:rsidRPr="00647CD8">
        <w:rPr>
          <w:noProof/>
          <w:lang w:eastAsia="en-GB"/>
        </w:rPr>
        <w:t>Depending on your AQMP notification, the EA may declare the outage a Pollution Incident requiring an attenance at the site.</w:t>
      </w:r>
    </w:p>
    <w:p w14:paraId="43C5ED7C"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Also report to Local Authority your Outage Impacts Risk Assessment</w:t>
      </w:r>
    </w:p>
    <w:p w14:paraId="1B3495AD"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Visit receptors at regular intervals – how bad does the air appear</w:t>
      </w:r>
    </w:p>
    <w:p w14:paraId="4B5EC957"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In conjunction with the Environment Agency and Local Authority provide advice directly to receptors to reduce their exposure</w:t>
      </w:r>
    </w:p>
    <w:p w14:paraId="0E5EF0FD" w14:textId="77777777" w:rsidR="00D1212E" w:rsidRPr="00647CD8" w:rsidRDefault="00D1212E" w:rsidP="00D1212E">
      <w:pPr>
        <w:pStyle w:val="ListParagraph"/>
        <w:numPr>
          <w:ilvl w:val="1"/>
          <w:numId w:val="39"/>
        </w:numPr>
        <w:spacing w:after="160" w:line="259" w:lineRule="auto"/>
        <w:rPr>
          <w:noProof/>
          <w:lang w:eastAsia="en-GB"/>
        </w:rPr>
      </w:pPr>
      <w:r w:rsidRPr="00647CD8">
        <w:rPr>
          <w:noProof/>
          <w:lang w:eastAsia="en-GB"/>
        </w:rPr>
        <w:t>Move and/or stay indoors</w:t>
      </w:r>
    </w:p>
    <w:p w14:paraId="6B4FE057" w14:textId="77777777" w:rsidR="00D1212E" w:rsidRPr="00647CD8" w:rsidRDefault="00D1212E" w:rsidP="00D1212E">
      <w:pPr>
        <w:pStyle w:val="ListParagraph"/>
        <w:numPr>
          <w:ilvl w:val="1"/>
          <w:numId w:val="39"/>
        </w:numPr>
        <w:spacing w:after="160" w:line="259" w:lineRule="auto"/>
        <w:rPr>
          <w:noProof/>
          <w:lang w:eastAsia="en-GB"/>
        </w:rPr>
      </w:pPr>
      <w:r w:rsidRPr="00647CD8">
        <w:rPr>
          <w:noProof/>
          <w:lang w:eastAsia="en-GB"/>
        </w:rPr>
        <w:t>Close windows</w:t>
      </w:r>
    </w:p>
    <w:p w14:paraId="725E5FEA" w14:textId="77777777" w:rsidR="00D1212E" w:rsidRPr="00647CD8" w:rsidRDefault="00D1212E" w:rsidP="00D1212E">
      <w:pPr>
        <w:pStyle w:val="ListParagraph"/>
        <w:numPr>
          <w:ilvl w:val="1"/>
          <w:numId w:val="39"/>
        </w:numPr>
        <w:spacing w:after="160" w:line="259" w:lineRule="auto"/>
        <w:rPr>
          <w:noProof/>
          <w:lang w:eastAsia="en-GB"/>
        </w:rPr>
      </w:pPr>
      <w:r w:rsidRPr="00647CD8">
        <w:rPr>
          <w:noProof/>
          <w:lang w:eastAsia="en-GB"/>
        </w:rPr>
        <w:t>Lower physical exertions</w:t>
      </w:r>
    </w:p>
    <w:p w14:paraId="29928D05" w14:textId="77777777" w:rsidR="00D1212E" w:rsidRPr="00647CD8" w:rsidRDefault="00D1212E" w:rsidP="00D1212E">
      <w:pPr>
        <w:pStyle w:val="ListParagraph"/>
        <w:numPr>
          <w:ilvl w:val="1"/>
          <w:numId w:val="39"/>
        </w:numPr>
        <w:spacing w:after="160" w:line="259" w:lineRule="auto"/>
        <w:rPr>
          <w:noProof/>
          <w:lang w:eastAsia="en-GB"/>
        </w:rPr>
      </w:pPr>
      <w:r w:rsidRPr="00647CD8">
        <w:rPr>
          <w:noProof/>
          <w:lang w:eastAsia="en-GB"/>
        </w:rPr>
        <w:t>In extreme case consider moving to alternate location (i.e. shut the facility)</w:t>
      </w:r>
    </w:p>
    <w:p w14:paraId="7638B9C7" w14:textId="77777777" w:rsidR="00D1212E" w:rsidRPr="00647CD8" w:rsidRDefault="00D1212E" w:rsidP="00D1212E">
      <w:pPr>
        <w:pStyle w:val="ListParagraph"/>
        <w:numPr>
          <w:ilvl w:val="0"/>
          <w:numId w:val="39"/>
        </w:numPr>
        <w:spacing w:after="160" w:line="259" w:lineRule="auto"/>
        <w:rPr>
          <w:noProof/>
          <w:lang w:eastAsia="en-GB"/>
        </w:rPr>
      </w:pPr>
      <w:r w:rsidRPr="00647CD8">
        <w:rPr>
          <w:noProof/>
          <w:lang w:eastAsia="en-GB"/>
        </w:rPr>
        <w:t>Update on changing circumstances (receptor risk – school closed anyway, traffic significantly reduced than normal)</w:t>
      </w:r>
    </w:p>
    <w:p w14:paraId="793BF3A3" w14:textId="77777777" w:rsidR="0065082A" w:rsidRPr="00647CD8" w:rsidRDefault="0065082A" w:rsidP="005544C8">
      <w:pPr>
        <w:rPr>
          <w:lang w:eastAsia="en-GB"/>
        </w:rPr>
      </w:pPr>
    </w:p>
    <w:sectPr w:rsidR="0065082A" w:rsidRPr="00647CD8" w:rsidSect="00240DD1">
      <w:headerReference w:type="default" r:id="rId24"/>
      <w:footerReference w:type="default" r:id="rId25"/>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4C85" w14:textId="77777777" w:rsidR="0073737A" w:rsidRDefault="0073737A">
      <w:r>
        <w:separator/>
      </w:r>
    </w:p>
  </w:endnote>
  <w:endnote w:type="continuationSeparator" w:id="0">
    <w:p w14:paraId="67A587C0" w14:textId="77777777" w:rsidR="0073737A" w:rsidRDefault="0073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2DEE" w14:textId="44EC8B26" w:rsidR="0073737A" w:rsidRDefault="0073737A" w:rsidP="00814400">
    <w:pPr>
      <w:pStyle w:val="Footer"/>
      <w:tabs>
        <w:tab w:val="clear" w:pos="4153"/>
        <w:tab w:val="center" w:pos="4678"/>
      </w:tabs>
      <w:spacing w:after="0" w:line="240" w:lineRule="auto"/>
      <w:jc w:val="both"/>
      <w:rPr>
        <w:rFonts w:ascii="Arial" w:hAnsi="Arial" w:cs="Arial"/>
        <w:snapToGrid w:val="0"/>
        <w:sz w:val="16"/>
      </w:rPr>
    </w:pPr>
    <w:r w:rsidRPr="00814400">
      <w:rPr>
        <w:rFonts w:ascii="Arial" w:hAnsi="Arial" w:cs="Arial"/>
        <w:snapToGrid w:val="0"/>
        <w:sz w:val="16"/>
      </w:rPr>
      <w:t>Environment Agency</w:t>
    </w:r>
    <w:r w:rsidRPr="00814400">
      <w:rPr>
        <w:rFonts w:ascii="Arial" w:hAnsi="Arial" w:cs="Arial"/>
        <w:snapToGrid w:val="0"/>
        <w:sz w:val="16"/>
      </w:rPr>
      <w:tab/>
    </w:r>
    <w:r w:rsidRPr="00C62D97">
      <w:rPr>
        <w:rFonts w:ascii="Arial" w:hAnsi="Arial" w:cs="Arial"/>
        <w:snapToGrid w:val="0"/>
        <w:sz w:val="16"/>
        <w:szCs w:val="16"/>
      </w:rPr>
      <w:t xml:space="preserve">Page </w:t>
    </w:r>
    <w:r w:rsidRPr="00C62D97">
      <w:rPr>
        <w:rFonts w:ascii="Arial" w:hAnsi="Arial" w:cs="Arial"/>
        <w:snapToGrid w:val="0"/>
        <w:sz w:val="16"/>
        <w:szCs w:val="16"/>
      </w:rPr>
      <w:fldChar w:fldCharType="begin"/>
    </w:r>
    <w:r w:rsidRPr="00C62D97">
      <w:rPr>
        <w:rFonts w:ascii="Arial" w:hAnsi="Arial" w:cs="Arial"/>
        <w:snapToGrid w:val="0"/>
        <w:sz w:val="16"/>
        <w:szCs w:val="16"/>
      </w:rPr>
      <w:instrText xml:space="preserve"> PAGE </w:instrText>
    </w:r>
    <w:r w:rsidRPr="00C62D97">
      <w:rPr>
        <w:rFonts w:ascii="Arial" w:hAnsi="Arial" w:cs="Arial"/>
        <w:snapToGrid w:val="0"/>
        <w:sz w:val="16"/>
        <w:szCs w:val="16"/>
      </w:rPr>
      <w:fldChar w:fldCharType="separate"/>
    </w:r>
    <w:r w:rsidR="00AF29D3">
      <w:rPr>
        <w:rFonts w:ascii="Arial" w:hAnsi="Arial" w:cs="Arial"/>
        <w:noProof/>
        <w:snapToGrid w:val="0"/>
        <w:sz w:val="16"/>
        <w:szCs w:val="16"/>
      </w:rPr>
      <w:t>20</w:t>
    </w:r>
    <w:r w:rsidRPr="00C62D97">
      <w:rPr>
        <w:rFonts w:ascii="Arial" w:hAnsi="Arial" w:cs="Arial"/>
        <w:snapToGrid w:val="0"/>
        <w:sz w:val="16"/>
        <w:szCs w:val="16"/>
      </w:rPr>
      <w:fldChar w:fldCharType="end"/>
    </w:r>
    <w:r w:rsidRPr="00C62D97">
      <w:rPr>
        <w:rFonts w:ascii="Arial" w:hAnsi="Arial" w:cs="Arial"/>
        <w:snapToGrid w:val="0"/>
        <w:sz w:val="16"/>
        <w:szCs w:val="16"/>
      </w:rPr>
      <w:t xml:space="preserve"> of </w:t>
    </w:r>
    <w:r w:rsidRPr="00C62D97">
      <w:rPr>
        <w:rStyle w:val="PageNumber"/>
        <w:rFonts w:ascii="Arial" w:hAnsi="Arial" w:cs="Arial"/>
        <w:sz w:val="16"/>
        <w:szCs w:val="16"/>
      </w:rPr>
      <w:fldChar w:fldCharType="begin"/>
    </w:r>
    <w:r w:rsidRPr="00C62D97">
      <w:rPr>
        <w:rStyle w:val="PageNumber"/>
        <w:rFonts w:ascii="Arial" w:hAnsi="Arial" w:cs="Arial"/>
        <w:sz w:val="16"/>
        <w:szCs w:val="16"/>
      </w:rPr>
      <w:instrText xml:space="preserve"> NUMPAGES </w:instrText>
    </w:r>
    <w:r w:rsidRPr="00C62D97">
      <w:rPr>
        <w:rStyle w:val="PageNumber"/>
        <w:rFonts w:ascii="Arial" w:hAnsi="Arial" w:cs="Arial"/>
        <w:sz w:val="16"/>
        <w:szCs w:val="16"/>
      </w:rPr>
      <w:fldChar w:fldCharType="separate"/>
    </w:r>
    <w:r w:rsidR="00AF29D3">
      <w:rPr>
        <w:rStyle w:val="PageNumber"/>
        <w:rFonts w:ascii="Arial" w:hAnsi="Arial" w:cs="Arial"/>
        <w:noProof/>
        <w:sz w:val="16"/>
        <w:szCs w:val="16"/>
      </w:rPr>
      <w:t>29</w:t>
    </w:r>
    <w:r w:rsidRPr="00C62D97">
      <w:rPr>
        <w:rStyle w:val="PageNumber"/>
        <w:rFonts w:ascii="Arial" w:hAnsi="Arial" w:cs="Arial"/>
        <w:sz w:val="16"/>
        <w:szCs w:val="16"/>
      </w:rPr>
      <w:fldChar w:fldCharType="end"/>
    </w:r>
    <w:r w:rsidRPr="00814400">
      <w:rPr>
        <w:rFonts w:ascii="Arial" w:hAnsi="Arial" w:cs="Arial"/>
        <w:snapToGrid w:val="0"/>
        <w:sz w:val="16"/>
      </w:rPr>
      <w:tab/>
    </w:r>
    <w:r>
      <w:rPr>
        <w:rFonts w:ascii="Arial" w:hAnsi="Arial" w:cs="Arial"/>
        <w:snapToGrid w:val="0"/>
        <w:sz w:val="16"/>
      </w:rPr>
      <w:tab/>
    </w:r>
    <w:r w:rsidRPr="00814400">
      <w:rPr>
        <w:rFonts w:ascii="Arial" w:hAnsi="Arial" w:cs="Arial"/>
        <w:snapToGrid w:val="0"/>
        <w:sz w:val="16"/>
      </w:rPr>
      <w:fldChar w:fldCharType="begin"/>
    </w:r>
    <w:r w:rsidRPr="00814400">
      <w:rPr>
        <w:rFonts w:ascii="Arial" w:hAnsi="Arial" w:cs="Arial"/>
        <w:snapToGrid w:val="0"/>
        <w:sz w:val="16"/>
      </w:rPr>
      <w:instrText xml:space="preserve"> DATE \@ "dd/MM/yyyy" </w:instrText>
    </w:r>
    <w:r w:rsidRPr="00814400">
      <w:rPr>
        <w:rFonts w:ascii="Arial" w:hAnsi="Arial" w:cs="Arial"/>
        <w:snapToGrid w:val="0"/>
        <w:sz w:val="16"/>
      </w:rPr>
      <w:fldChar w:fldCharType="separate"/>
    </w:r>
    <w:r w:rsidR="004956DE">
      <w:rPr>
        <w:rFonts w:ascii="Arial" w:hAnsi="Arial" w:cs="Arial"/>
        <w:noProof/>
        <w:snapToGrid w:val="0"/>
        <w:sz w:val="16"/>
      </w:rPr>
      <w:t>31/03/2023</w:t>
    </w:r>
    <w:r w:rsidRPr="00814400">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26EC" w14:textId="77777777" w:rsidR="0073737A" w:rsidRDefault="0073737A">
      <w:r>
        <w:separator/>
      </w:r>
    </w:p>
  </w:footnote>
  <w:footnote w:type="continuationSeparator" w:id="0">
    <w:p w14:paraId="1DF9E930" w14:textId="77777777" w:rsidR="0073737A" w:rsidRDefault="0073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1CBA" w14:textId="7AE4C697" w:rsidR="0073737A" w:rsidRDefault="0073737A">
    <w:pPr>
      <w:pStyle w:val="Header"/>
    </w:pPr>
    <w:r>
      <w:t>Data Centre FAQ                 DRAFT  version 10.0  H.Tee 01/06/18 – Release to Industry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F9"/>
    <w:multiLevelType w:val="hybridMultilevel"/>
    <w:tmpl w:val="A3044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E09D7"/>
    <w:multiLevelType w:val="hybridMultilevel"/>
    <w:tmpl w:val="5658E1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90C30"/>
    <w:multiLevelType w:val="hybridMultilevel"/>
    <w:tmpl w:val="6868EFE8"/>
    <w:lvl w:ilvl="0" w:tplc="1EEA3C58">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3E6BF3"/>
    <w:multiLevelType w:val="hybridMultilevel"/>
    <w:tmpl w:val="4472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1578D"/>
    <w:multiLevelType w:val="hybridMultilevel"/>
    <w:tmpl w:val="049C47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B6757"/>
    <w:multiLevelType w:val="hybridMultilevel"/>
    <w:tmpl w:val="899A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039FD"/>
    <w:multiLevelType w:val="hybridMultilevel"/>
    <w:tmpl w:val="B88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F6F6E"/>
    <w:multiLevelType w:val="hybridMultilevel"/>
    <w:tmpl w:val="411A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F267B"/>
    <w:multiLevelType w:val="hybridMultilevel"/>
    <w:tmpl w:val="CD663EF4"/>
    <w:lvl w:ilvl="0" w:tplc="08090001">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F33D2"/>
    <w:multiLevelType w:val="hybridMultilevel"/>
    <w:tmpl w:val="8EEEC66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85369DC"/>
    <w:multiLevelType w:val="hybridMultilevel"/>
    <w:tmpl w:val="899A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B63AA"/>
    <w:multiLevelType w:val="multilevel"/>
    <w:tmpl w:val="D58E5ED4"/>
    <w:styleLink w:val="recs"/>
    <w:lvl w:ilvl="0">
      <w:start w:val="1"/>
      <w:numFmt w:val="decimal"/>
      <w:lvlText w:val="R.%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4673A6"/>
    <w:multiLevelType w:val="multilevel"/>
    <w:tmpl w:val="98882ACE"/>
    <w:lvl w:ilvl="0">
      <w:start w:val="1"/>
      <w:numFmt w:val="decimal"/>
      <w:pStyle w:val="Appendixheading"/>
      <w:lvlText w:val="%1."/>
      <w:lvlJc w:val="left"/>
      <w:pPr>
        <w:tabs>
          <w:tab w:val="num" w:pos="448"/>
        </w:tabs>
        <w:ind w:left="0" w:firstLine="0"/>
      </w:pPr>
      <w:rPr>
        <w:rFonts w:ascii="Arial" w:hAnsi="Arial" w:hint="default"/>
        <w:b w:val="0"/>
        <w:i w:val="0"/>
        <w:sz w:val="20"/>
      </w:rPr>
    </w:lvl>
    <w:lvl w:ilvl="1">
      <w:start w:val="1"/>
      <w:numFmt w:val="decimal"/>
      <w:pStyle w:val="Heading2"/>
      <w:lvlText w:val="%1.%2"/>
      <w:lvlJc w:val="left"/>
      <w:pPr>
        <w:tabs>
          <w:tab w:val="num" w:pos="718"/>
        </w:tabs>
        <w:ind w:left="718" w:hanging="576"/>
      </w:pPr>
      <w:rPr>
        <w:sz w:val="32"/>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C1511F2"/>
    <w:multiLevelType w:val="multilevel"/>
    <w:tmpl w:val="D58E5ED4"/>
    <w:styleLink w:val="recoms"/>
    <w:lvl w:ilvl="0">
      <w:start w:val="1"/>
      <w:numFmt w:val="decimal"/>
      <w:lvlText w:val="R.%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905935"/>
    <w:multiLevelType w:val="multilevel"/>
    <w:tmpl w:val="ECE47088"/>
    <w:lvl w:ilvl="0">
      <w:start w:val="1"/>
      <w:numFmt w:val="decimal"/>
      <w:lvlText w:val="%1."/>
      <w:lvlJc w:val="left"/>
      <w:pPr>
        <w:tabs>
          <w:tab w:val="num" w:pos="1168"/>
        </w:tabs>
        <w:ind w:left="720" w:firstLine="0"/>
      </w:pPr>
      <w:rPr>
        <w:rFonts w:hint="default"/>
        <w:b w:val="0"/>
        <w:i w:val="0"/>
        <w:sz w:val="20"/>
      </w:rPr>
    </w:lvl>
    <w:lvl w:ilvl="1">
      <w:start w:val="1"/>
      <w:numFmt w:val="decimal"/>
      <w:lvlText w:val="%1.%2"/>
      <w:lvlJc w:val="left"/>
      <w:pPr>
        <w:tabs>
          <w:tab w:val="num" w:pos="1438"/>
        </w:tabs>
        <w:ind w:left="1438" w:hanging="576"/>
      </w:pPr>
      <w:rPr>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5" w15:restartNumberingAfterBreak="0">
    <w:nsid w:val="241C0EF5"/>
    <w:multiLevelType w:val="hybridMultilevel"/>
    <w:tmpl w:val="02EC6BE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564E02"/>
    <w:multiLevelType w:val="hybridMultilevel"/>
    <w:tmpl w:val="D77A1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5E222E"/>
    <w:multiLevelType w:val="hybridMultilevel"/>
    <w:tmpl w:val="C868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C2265"/>
    <w:multiLevelType w:val="hybridMultilevel"/>
    <w:tmpl w:val="54FC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BC4B6A"/>
    <w:multiLevelType w:val="hybridMultilevel"/>
    <w:tmpl w:val="784C9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8D4C6B"/>
    <w:multiLevelType w:val="hybridMultilevel"/>
    <w:tmpl w:val="87F0AA54"/>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4D349D4"/>
    <w:multiLevelType w:val="hybridMultilevel"/>
    <w:tmpl w:val="128E3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B4E87"/>
    <w:multiLevelType w:val="hybridMultilevel"/>
    <w:tmpl w:val="95125496"/>
    <w:lvl w:ilvl="0" w:tplc="7A0ECCE2">
      <w:start w:val="1"/>
      <w:numFmt w:val="upperLetter"/>
      <w:pStyle w:val="Style1"/>
      <w:lvlText w:val="Appendix %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6591982"/>
    <w:multiLevelType w:val="hybridMultilevel"/>
    <w:tmpl w:val="7BAE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F617D"/>
    <w:multiLevelType w:val="multilevel"/>
    <w:tmpl w:val="B0CC03D0"/>
    <w:styleLink w:val="finds"/>
    <w:lvl w:ilvl="0">
      <w:start w:val="1"/>
      <w:numFmt w:val="decimal"/>
      <w:lvlText w:val="F%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ED6AD5"/>
    <w:multiLevelType w:val="hybridMultilevel"/>
    <w:tmpl w:val="899A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9A7396"/>
    <w:multiLevelType w:val="hybridMultilevel"/>
    <w:tmpl w:val="0518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F56C7"/>
    <w:multiLevelType w:val="hybridMultilevel"/>
    <w:tmpl w:val="CCEC0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1B000C"/>
    <w:multiLevelType w:val="hybridMultilevel"/>
    <w:tmpl w:val="D078057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9" w15:restartNumberingAfterBreak="0">
    <w:nsid w:val="66B46319"/>
    <w:multiLevelType w:val="hybridMultilevel"/>
    <w:tmpl w:val="FA8C8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C11833"/>
    <w:multiLevelType w:val="hybridMultilevel"/>
    <w:tmpl w:val="D9A2B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DA3139"/>
    <w:multiLevelType w:val="hybridMultilevel"/>
    <w:tmpl w:val="3D34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700C5"/>
    <w:multiLevelType w:val="hybridMultilevel"/>
    <w:tmpl w:val="833ABFA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3" w15:restartNumberingAfterBreak="0">
    <w:nsid w:val="6E823BF5"/>
    <w:multiLevelType w:val="hybridMultilevel"/>
    <w:tmpl w:val="CB8E867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F94EB6"/>
    <w:multiLevelType w:val="hybridMultilevel"/>
    <w:tmpl w:val="E60CE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044B5"/>
    <w:multiLevelType w:val="multilevel"/>
    <w:tmpl w:val="ECE47088"/>
    <w:lvl w:ilvl="0">
      <w:start w:val="1"/>
      <w:numFmt w:val="decimal"/>
      <w:lvlText w:val="%1."/>
      <w:lvlJc w:val="left"/>
      <w:pPr>
        <w:tabs>
          <w:tab w:val="num" w:pos="1168"/>
        </w:tabs>
        <w:ind w:left="720" w:firstLine="0"/>
      </w:pPr>
      <w:rPr>
        <w:rFonts w:hint="default"/>
        <w:b w:val="0"/>
        <w:i w:val="0"/>
        <w:sz w:val="20"/>
      </w:rPr>
    </w:lvl>
    <w:lvl w:ilvl="1">
      <w:start w:val="1"/>
      <w:numFmt w:val="decimal"/>
      <w:lvlText w:val="%1.%2"/>
      <w:lvlJc w:val="left"/>
      <w:pPr>
        <w:tabs>
          <w:tab w:val="num" w:pos="1438"/>
        </w:tabs>
        <w:ind w:left="1438" w:hanging="576"/>
      </w:pPr>
      <w:rPr>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num w:numId="1" w16cid:durableId="1862745016">
    <w:abstractNumId w:val="8"/>
  </w:num>
  <w:num w:numId="2" w16cid:durableId="2443353">
    <w:abstractNumId w:val="22"/>
  </w:num>
  <w:num w:numId="3" w16cid:durableId="1663463643">
    <w:abstractNumId w:val="24"/>
  </w:num>
  <w:num w:numId="4" w16cid:durableId="1145198538">
    <w:abstractNumId w:val="12"/>
  </w:num>
  <w:num w:numId="5" w16cid:durableId="46878491">
    <w:abstractNumId w:val="11"/>
  </w:num>
  <w:num w:numId="6" w16cid:durableId="555580185">
    <w:abstractNumId w:val="13"/>
  </w:num>
  <w:num w:numId="7" w16cid:durableId="167987538">
    <w:abstractNumId w:val="31"/>
  </w:num>
  <w:num w:numId="8" w16cid:durableId="1492864604">
    <w:abstractNumId w:val="35"/>
  </w:num>
  <w:num w:numId="9" w16cid:durableId="2017995637">
    <w:abstractNumId w:val="32"/>
  </w:num>
  <w:num w:numId="10" w16cid:durableId="1216966944">
    <w:abstractNumId w:val="26"/>
  </w:num>
  <w:num w:numId="11" w16cid:durableId="96752393">
    <w:abstractNumId w:val="18"/>
  </w:num>
  <w:num w:numId="12" w16cid:durableId="1226603446">
    <w:abstractNumId w:val="4"/>
  </w:num>
  <w:num w:numId="13" w16cid:durableId="225343260">
    <w:abstractNumId w:val="14"/>
  </w:num>
  <w:num w:numId="14" w16cid:durableId="1151017941">
    <w:abstractNumId w:val="34"/>
  </w:num>
  <w:num w:numId="15" w16cid:durableId="782459734">
    <w:abstractNumId w:val="7"/>
  </w:num>
  <w:num w:numId="16" w16cid:durableId="1693652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384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21941">
    <w:abstractNumId w:val="15"/>
  </w:num>
  <w:num w:numId="19" w16cid:durableId="731348036">
    <w:abstractNumId w:val="2"/>
  </w:num>
  <w:num w:numId="20" w16cid:durableId="1642031165">
    <w:abstractNumId w:val="20"/>
  </w:num>
  <w:num w:numId="21" w16cid:durableId="1660452622">
    <w:abstractNumId w:val="17"/>
  </w:num>
  <w:num w:numId="22" w16cid:durableId="1168324813">
    <w:abstractNumId w:val="1"/>
  </w:num>
  <w:num w:numId="23" w16cid:durableId="465197579">
    <w:abstractNumId w:val="28"/>
  </w:num>
  <w:num w:numId="24" w16cid:durableId="989023322">
    <w:abstractNumId w:val="12"/>
  </w:num>
  <w:num w:numId="25" w16cid:durableId="1918203559">
    <w:abstractNumId w:val="12"/>
  </w:num>
  <w:num w:numId="26" w16cid:durableId="1586963571">
    <w:abstractNumId w:val="3"/>
  </w:num>
  <w:num w:numId="27" w16cid:durableId="1464886419">
    <w:abstractNumId w:val="12"/>
  </w:num>
  <w:num w:numId="28" w16cid:durableId="791216586">
    <w:abstractNumId w:val="12"/>
  </w:num>
  <w:num w:numId="29" w16cid:durableId="1073240546">
    <w:abstractNumId w:val="16"/>
  </w:num>
  <w:num w:numId="30" w16cid:durableId="1785612957">
    <w:abstractNumId w:val="23"/>
  </w:num>
  <w:num w:numId="31" w16cid:durableId="1534925207">
    <w:abstractNumId w:val="9"/>
  </w:num>
  <w:num w:numId="32" w16cid:durableId="459232221">
    <w:abstractNumId w:val="21"/>
  </w:num>
  <w:num w:numId="33" w16cid:durableId="1149904464">
    <w:abstractNumId w:val="0"/>
  </w:num>
  <w:num w:numId="34" w16cid:durableId="202407675">
    <w:abstractNumId w:val="29"/>
  </w:num>
  <w:num w:numId="35" w16cid:durableId="2039237564">
    <w:abstractNumId w:val="5"/>
  </w:num>
  <w:num w:numId="36" w16cid:durableId="75517726">
    <w:abstractNumId w:val="10"/>
  </w:num>
  <w:num w:numId="37" w16cid:durableId="53043709">
    <w:abstractNumId w:val="19"/>
  </w:num>
  <w:num w:numId="38" w16cid:durableId="1403258597">
    <w:abstractNumId w:val="25"/>
  </w:num>
  <w:num w:numId="39" w16cid:durableId="1117144054">
    <w:abstractNumId w:val="30"/>
  </w:num>
  <w:num w:numId="40" w16cid:durableId="1376851991">
    <w:abstractNumId w:val="12"/>
  </w:num>
  <w:num w:numId="41" w16cid:durableId="1135411790">
    <w:abstractNumId w:val="6"/>
  </w:num>
  <w:num w:numId="42" w16cid:durableId="475297361">
    <w:abstractNumId w:val="27"/>
  </w:num>
  <w:num w:numId="43" w16cid:durableId="1796220009">
    <w:abstractNumId w:val="33"/>
  </w:num>
  <w:num w:numId="44" w16cid:durableId="169561798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D9"/>
    <w:rsid w:val="0000517E"/>
    <w:rsid w:val="00006894"/>
    <w:rsid w:val="00007E01"/>
    <w:rsid w:val="0001617D"/>
    <w:rsid w:val="0001741D"/>
    <w:rsid w:val="0002339A"/>
    <w:rsid w:val="00023DB9"/>
    <w:rsid w:val="00023F6C"/>
    <w:rsid w:val="00024B93"/>
    <w:rsid w:val="000300F4"/>
    <w:rsid w:val="000315E5"/>
    <w:rsid w:val="00034499"/>
    <w:rsid w:val="00037E91"/>
    <w:rsid w:val="00045FE8"/>
    <w:rsid w:val="00046858"/>
    <w:rsid w:val="00046C8A"/>
    <w:rsid w:val="00050CE5"/>
    <w:rsid w:val="0005356A"/>
    <w:rsid w:val="00057647"/>
    <w:rsid w:val="0006092B"/>
    <w:rsid w:val="00067EAC"/>
    <w:rsid w:val="00070318"/>
    <w:rsid w:val="0007258C"/>
    <w:rsid w:val="00084972"/>
    <w:rsid w:val="00085A8F"/>
    <w:rsid w:val="0009321D"/>
    <w:rsid w:val="000A13DB"/>
    <w:rsid w:val="000A302D"/>
    <w:rsid w:val="000A4A8F"/>
    <w:rsid w:val="000A51D3"/>
    <w:rsid w:val="000A52AC"/>
    <w:rsid w:val="000A5CFE"/>
    <w:rsid w:val="000B0CB0"/>
    <w:rsid w:val="000B332A"/>
    <w:rsid w:val="000B3448"/>
    <w:rsid w:val="000B7B5C"/>
    <w:rsid w:val="000C0E96"/>
    <w:rsid w:val="000C0EF9"/>
    <w:rsid w:val="000C7241"/>
    <w:rsid w:val="000C7679"/>
    <w:rsid w:val="000D54A0"/>
    <w:rsid w:val="000E0D40"/>
    <w:rsid w:val="000E14ED"/>
    <w:rsid w:val="000F0FD0"/>
    <w:rsid w:val="0010079C"/>
    <w:rsid w:val="00102609"/>
    <w:rsid w:val="00102FA5"/>
    <w:rsid w:val="00103983"/>
    <w:rsid w:val="00105640"/>
    <w:rsid w:val="00105697"/>
    <w:rsid w:val="00106D5D"/>
    <w:rsid w:val="0011183D"/>
    <w:rsid w:val="00111A62"/>
    <w:rsid w:val="001134B0"/>
    <w:rsid w:val="00115BFD"/>
    <w:rsid w:val="00121E2B"/>
    <w:rsid w:val="00124295"/>
    <w:rsid w:val="00124B25"/>
    <w:rsid w:val="00124B2D"/>
    <w:rsid w:val="00130656"/>
    <w:rsid w:val="001308BC"/>
    <w:rsid w:val="00134BB3"/>
    <w:rsid w:val="0013677D"/>
    <w:rsid w:val="001377BA"/>
    <w:rsid w:val="00141273"/>
    <w:rsid w:val="0014251C"/>
    <w:rsid w:val="00143571"/>
    <w:rsid w:val="00143C51"/>
    <w:rsid w:val="00143DEF"/>
    <w:rsid w:val="001441DE"/>
    <w:rsid w:val="00151547"/>
    <w:rsid w:val="00153142"/>
    <w:rsid w:val="00153DF5"/>
    <w:rsid w:val="00154709"/>
    <w:rsid w:val="001547CE"/>
    <w:rsid w:val="00155993"/>
    <w:rsid w:val="001613C0"/>
    <w:rsid w:val="00161A9D"/>
    <w:rsid w:val="00163591"/>
    <w:rsid w:val="001707D8"/>
    <w:rsid w:val="001724D7"/>
    <w:rsid w:val="00180A2A"/>
    <w:rsid w:val="00183918"/>
    <w:rsid w:val="00186780"/>
    <w:rsid w:val="00195705"/>
    <w:rsid w:val="001971F6"/>
    <w:rsid w:val="001A0378"/>
    <w:rsid w:val="001A2205"/>
    <w:rsid w:val="001A3018"/>
    <w:rsid w:val="001A646F"/>
    <w:rsid w:val="001A64E3"/>
    <w:rsid w:val="001B105F"/>
    <w:rsid w:val="001B2731"/>
    <w:rsid w:val="001B2C93"/>
    <w:rsid w:val="001B3660"/>
    <w:rsid w:val="001B4E63"/>
    <w:rsid w:val="001B7236"/>
    <w:rsid w:val="001C0E9B"/>
    <w:rsid w:val="001C2A3A"/>
    <w:rsid w:val="001D01D6"/>
    <w:rsid w:val="001D2A85"/>
    <w:rsid w:val="001D4E9F"/>
    <w:rsid w:val="001D540C"/>
    <w:rsid w:val="001D717A"/>
    <w:rsid w:val="001D7E19"/>
    <w:rsid w:val="001E116C"/>
    <w:rsid w:val="001E1B6B"/>
    <w:rsid w:val="001E4922"/>
    <w:rsid w:val="001E4F3F"/>
    <w:rsid w:val="001E55A6"/>
    <w:rsid w:val="001E6156"/>
    <w:rsid w:val="001F00C7"/>
    <w:rsid w:val="001F0F66"/>
    <w:rsid w:val="001F27E0"/>
    <w:rsid w:val="001F3E48"/>
    <w:rsid w:val="001F7B6E"/>
    <w:rsid w:val="00200796"/>
    <w:rsid w:val="00200961"/>
    <w:rsid w:val="0020607E"/>
    <w:rsid w:val="0021281F"/>
    <w:rsid w:val="00213C3C"/>
    <w:rsid w:val="00213DAF"/>
    <w:rsid w:val="00215659"/>
    <w:rsid w:val="00220A22"/>
    <w:rsid w:val="0022613D"/>
    <w:rsid w:val="00227C12"/>
    <w:rsid w:val="00231845"/>
    <w:rsid w:val="002322AB"/>
    <w:rsid w:val="0023428A"/>
    <w:rsid w:val="00234B24"/>
    <w:rsid w:val="00240DD1"/>
    <w:rsid w:val="002443ED"/>
    <w:rsid w:val="002448BB"/>
    <w:rsid w:val="00253ECF"/>
    <w:rsid w:val="00260603"/>
    <w:rsid w:val="00260921"/>
    <w:rsid w:val="002636E4"/>
    <w:rsid w:val="00263A59"/>
    <w:rsid w:val="002705EA"/>
    <w:rsid w:val="002739CA"/>
    <w:rsid w:val="0027555F"/>
    <w:rsid w:val="002774FE"/>
    <w:rsid w:val="00277862"/>
    <w:rsid w:val="00284DFB"/>
    <w:rsid w:val="002857D6"/>
    <w:rsid w:val="00285FF3"/>
    <w:rsid w:val="00287652"/>
    <w:rsid w:val="00292AB2"/>
    <w:rsid w:val="00294BB7"/>
    <w:rsid w:val="00295430"/>
    <w:rsid w:val="002967AE"/>
    <w:rsid w:val="002973AA"/>
    <w:rsid w:val="00297F5D"/>
    <w:rsid w:val="002A0989"/>
    <w:rsid w:val="002A0ECB"/>
    <w:rsid w:val="002A1AF2"/>
    <w:rsid w:val="002A2F4B"/>
    <w:rsid w:val="002A7196"/>
    <w:rsid w:val="002B00BD"/>
    <w:rsid w:val="002B2D7C"/>
    <w:rsid w:val="002B324F"/>
    <w:rsid w:val="002C08B2"/>
    <w:rsid w:val="002C362C"/>
    <w:rsid w:val="002C3B8B"/>
    <w:rsid w:val="002C671E"/>
    <w:rsid w:val="002C6A8F"/>
    <w:rsid w:val="002C79EF"/>
    <w:rsid w:val="002C7FC1"/>
    <w:rsid w:val="002D2722"/>
    <w:rsid w:val="002D449A"/>
    <w:rsid w:val="002D6DF3"/>
    <w:rsid w:val="002E0BA2"/>
    <w:rsid w:val="002E3A0A"/>
    <w:rsid w:val="002E4464"/>
    <w:rsid w:val="002E4DE3"/>
    <w:rsid w:val="002F09E7"/>
    <w:rsid w:val="002F1A56"/>
    <w:rsid w:val="002F1F18"/>
    <w:rsid w:val="002F206B"/>
    <w:rsid w:val="002F4C78"/>
    <w:rsid w:val="00301D3A"/>
    <w:rsid w:val="0030270D"/>
    <w:rsid w:val="00306624"/>
    <w:rsid w:val="003100A9"/>
    <w:rsid w:val="0031085F"/>
    <w:rsid w:val="00310FCA"/>
    <w:rsid w:val="003129CA"/>
    <w:rsid w:val="0031722F"/>
    <w:rsid w:val="0031725A"/>
    <w:rsid w:val="003209E8"/>
    <w:rsid w:val="00323DD9"/>
    <w:rsid w:val="003246B7"/>
    <w:rsid w:val="00326B35"/>
    <w:rsid w:val="00331097"/>
    <w:rsid w:val="0033497C"/>
    <w:rsid w:val="00341B42"/>
    <w:rsid w:val="00341BC5"/>
    <w:rsid w:val="003425C6"/>
    <w:rsid w:val="003434BC"/>
    <w:rsid w:val="00344A55"/>
    <w:rsid w:val="003503D7"/>
    <w:rsid w:val="00350948"/>
    <w:rsid w:val="0035604D"/>
    <w:rsid w:val="00357B86"/>
    <w:rsid w:val="003622E0"/>
    <w:rsid w:val="00362AC9"/>
    <w:rsid w:val="00371EF4"/>
    <w:rsid w:val="00372452"/>
    <w:rsid w:val="003729C8"/>
    <w:rsid w:val="00374F12"/>
    <w:rsid w:val="0037559D"/>
    <w:rsid w:val="0037587E"/>
    <w:rsid w:val="003828D3"/>
    <w:rsid w:val="00382945"/>
    <w:rsid w:val="003829B7"/>
    <w:rsid w:val="003868A6"/>
    <w:rsid w:val="00386C27"/>
    <w:rsid w:val="003873C5"/>
    <w:rsid w:val="0039315E"/>
    <w:rsid w:val="003942BB"/>
    <w:rsid w:val="00394F78"/>
    <w:rsid w:val="003A06A7"/>
    <w:rsid w:val="003A1D6D"/>
    <w:rsid w:val="003A1E76"/>
    <w:rsid w:val="003A4BF4"/>
    <w:rsid w:val="003B09AC"/>
    <w:rsid w:val="003B5911"/>
    <w:rsid w:val="003C334C"/>
    <w:rsid w:val="003C3381"/>
    <w:rsid w:val="003C3A1F"/>
    <w:rsid w:val="003C4FF9"/>
    <w:rsid w:val="003D29D4"/>
    <w:rsid w:val="003D677E"/>
    <w:rsid w:val="003E2ECC"/>
    <w:rsid w:val="003E460F"/>
    <w:rsid w:val="003E64AA"/>
    <w:rsid w:val="003F0421"/>
    <w:rsid w:val="003F0C90"/>
    <w:rsid w:val="003F2658"/>
    <w:rsid w:val="003F3771"/>
    <w:rsid w:val="003F5DD9"/>
    <w:rsid w:val="0040257C"/>
    <w:rsid w:val="00403D6F"/>
    <w:rsid w:val="0040614B"/>
    <w:rsid w:val="0040728D"/>
    <w:rsid w:val="0040787D"/>
    <w:rsid w:val="00410761"/>
    <w:rsid w:val="0041357E"/>
    <w:rsid w:val="004205B7"/>
    <w:rsid w:val="00421066"/>
    <w:rsid w:val="004223D8"/>
    <w:rsid w:val="00425B60"/>
    <w:rsid w:val="0042638B"/>
    <w:rsid w:val="00426BEC"/>
    <w:rsid w:val="00427817"/>
    <w:rsid w:val="00427C16"/>
    <w:rsid w:val="00432C3A"/>
    <w:rsid w:val="00432ECB"/>
    <w:rsid w:val="00433C62"/>
    <w:rsid w:val="004343B2"/>
    <w:rsid w:val="00435BA1"/>
    <w:rsid w:val="00441067"/>
    <w:rsid w:val="00445DEB"/>
    <w:rsid w:val="0044685D"/>
    <w:rsid w:val="004473A8"/>
    <w:rsid w:val="0045650A"/>
    <w:rsid w:val="00457A27"/>
    <w:rsid w:val="00463DAF"/>
    <w:rsid w:val="004743C7"/>
    <w:rsid w:val="00474FF8"/>
    <w:rsid w:val="00476858"/>
    <w:rsid w:val="004768B4"/>
    <w:rsid w:val="00477814"/>
    <w:rsid w:val="0048440D"/>
    <w:rsid w:val="00485D11"/>
    <w:rsid w:val="00487631"/>
    <w:rsid w:val="00491537"/>
    <w:rsid w:val="00491B2B"/>
    <w:rsid w:val="004955A1"/>
    <w:rsid w:val="004956DE"/>
    <w:rsid w:val="004A0575"/>
    <w:rsid w:val="004A21FF"/>
    <w:rsid w:val="004A34E0"/>
    <w:rsid w:val="004A690B"/>
    <w:rsid w:val="004B314A"/>
    <w:rsid w:val="004B69CB"/>
    <w:rsid w:val="004B79A5"/>
    <w:rsid w:val="004B7A0B"/>
    <w:rsid w:val="004B7A8D"/>
    <w:rsid w:val="004C0C2C"/>
    <w:rsid w:val="004C15AB"/>
    <w:rsid w:val="004C353F"/>
    <w:rsid w:val="004C38B1"/>
    <w:rsid w:val="004C6890"/>
    <w:rsid w:val="004C6F13"/>
    <w:rsid w:val="004D180C"/>
    <w:rsid w:val="004D2A70"/>
    <w:rsid w:val="004D508B"/>
    <w:rsid w:val="004D7B4E"/>
    <w:rsid w:val="004E0380"/>
    <w:rsid w:val="004E2771"/>
    <w:rsid w:val="004E300E"/>
    <w:rsid w:val="004E4678"/>
    <w:rsid w:val="004E5470"/>
    <w:rsid w:val="004F0719"/>
    <w:rsid w:val="004F0E89"/>
    <w:rsid w:val="004F4509"/>
    <w:rsid w:val="004F47E0"/>
    <w:rsid w:val="004F520A"/>
    <w:rsid w:val="004F5776"/>
    <w:rsid w:val="00503D06"/>
    <w:rsid w:val="00504A13"/>
    <w:rsid w:val="0050602D"/>
    <w:rsid w:val="00507217"/>
    <w:rsid w:val="00510B3C"/>
    <w:rsid w:val="005131EF"/>
    <w:rsid w:val="00513980"/>
    <w:rsid w:val="00513E02"/>
    <w:rsid w:val="00515E8E"/>
    <w:rsid w:val="0051644A"/>
    <w:rsid w:val="0052657D"/>
    <w:rsid w:val="0052705A"/>
    <w:rsid w:val="0053060B"/>
    <w:rsid w:val="00530E96"/>
    <w:rsid w:val="00532A78"/>
    <w:rsid w:val="00535E65"/>
    <w:rsid w:val="005424B6"/>
    <w:rsid w:val="0054331B"/>
    <w:rsid w:val="00543B53"/>
    <w:rsid w:val="005446D6"/>
    <w:rsid w:val="00547750"/>
    <w:rsid w:val="0054794B"/>
    <w:rsid w:val="00551AD9"/>
    <w:rsid w:val="0055422A"/>
    <w:rsid w:val="005544C8"/>
    <w:rsid w:val="005553C2"/>
    <w:rsid w:val="00555445"/>
    <w:rsid w:val="005569D0"/>
    <w:rsid w:val="005619D0"/>
    <w:rsid w:val="00562063"/>
    <w:rsid w:val="00564D8C"/>
    <w:rsid w:val="005651C9"/>
    <w:rsid w:val="0056633A"/>
    <w:rsid w:val="00567EE0"/>
    <w:rsid w:val="0057192C"/>
    <w:rsid w:val="005734CF"/>
    <w:rsid w:val="005738E3"/>
    <w:rsid w:val="00575C9A"/>
    <w:rsid w:val="0057784F"/>
    <w:rsid w:val="00581F26"/>
    <w:rsid w:val="005869B5"/>
    <w:rsid w:val="005904CE"/>
    <w:rsid w:val="0059191F"/>
    <w:rsid w:val="0059432F"/>
    <w:rsid w:val="00594413"/>
    <w:rsid w:val="005946DE"/>
    <w:rsid w:val="005955E2"/>
    <w:rsid w:val="005A04CF"/>
    <w:rsid w:val="005A2A96"/>
    <w:rsid w:val="005A6A16"/>
    <w:rsid w:val="005B1D64"/>
    <w:rsid w:val="005B60A4"/>
    <w:rsid w:val="005B6AA5"/>
    <w:rsid w:val="005C4DCA"/>
    <w:rsid w:val="005C7D03"/>
    <w:rsid w:val="005D371B"/>
    <w:rsid w:val="005E001B"/>
    <w:rsid w:val="005E0565"/>
    <w:rsid w:val="005E05CD"/>
    <w:rsid w:val="005E5A52"/>
    <w:rsid w:val="005E786C"/>
    <w:rsid w:val="005E7FF8"/>
    <w:rsid w:val="005F0242"/>
    <w:rsid w:val="005F61CC"/>
    <w:rsid w:val="00603A9C"/>
    <w:rsid w:val="006071DD"/>
    <w:rsid w:val="00611B13"/>
    <w:rsid w:val="00613770"/>
    <w:rsid w:val="00617346"/>
    <w:rsid w:val="006204F9"/>
    <w:rsid w:val="006241C5"/>
    <w:rsid w:val="006265E4"/>
    <w:rsid w:val="0062674A"/>
    <w:rsid w:val="006268A2"/>
    <w:rsid w:val="00626DC4"/>
    <w:rsid w:val="00626FA2"/>
    <w:rsid w:val="0063090B"/>
    <w:rsid w:val="00631AB6"/>
    <w:rsid w:val="0063474D"/>
    <w:rsid w:val="006365E9"/>
    <w:rsid w:val="0064023B"/>
    <w:rsid w:val="00640850"/>
    <w:rsid w:val="00641A6B"/>
    <w:rsid w:val="00644C1B"/>
    <w:rsid w:val="00647CD8"/>
    <w:rsid w:val="0065082A"/>
    <w:rsid w:val="006526C6"/>
    <w:rsid w:val="00654770"/>
    <w:rsid w:val="0065657B"/>
    <w:rsid w:val="00657BFC"/>
    <w:rsid w:val="00663560"/>
    <w:rsid w:val="0066522F"/>
    <w:rsid w:val="00665F3F"/>
    <w:rsid w:val="00666130"/>
    <w:rsid w:val="00666AA0"/>
    <w:rsid w:val="00667672"/>
    <w:rsid w:val="00670C4C"/>
    <w:rsid w:val="00673100"/>
    <w:rsid w:val="00674269"/>
    <w:rsid w:val="00674703"/>
    <w:rsid w:val="00677042"/>
    <w:rsid w:val="00680A42"/>
    <w:rsid w:val="00684372"/>
    <w:rsid w:val="0068685B"/>
    <w:rsid w:val="00686C60"/>
    <w:rsid w:val="00691046"/>
    <w:rsid w:val="00691CE7"/>
    <w:rsid w:val="00693564"/>
    <w:rsid w:val="0069560F"/>
    <w:rsid w:val="006A0803"/>
    <w:rsid w:val="006A0936"/>
    <w:rsid w:val="006A3179"/>
    <w:rsid w:val="006A365C"/>
    <w:rsid w:val="006A69E1"/>
    <w:rsid w:val="006B2F11"/>
    <w:rsid w:val="006B52EA"/>
    <w:rsid w:val="006B5352"/>
    <w:rsid w:val="006B7844"/>
    <w:rsid w:val="006C177D"/>
    <w:rsid w:val="006C46E8"/>
    <w:rsid w:val="006C4883"/>
    <w:rsid w:val="006C6F2C"/>
    <w:rsid w:val="006C7E1D"/>
    <w:rsid w:val="006D1A88"/>
    <w:rsid w:val="006D24EF"/>
    <w:rsid w:val="006D3629"/>
    <w:rsid w:val="006D5ED0"/>
    <w:rsid w:val="006E46B9"/>
    <w:rsid w:val="006E58BA"/>
    <w:rsid w:val="006F3B4A"/>
    <w:rsid w:val="006F61B5"/>
    <w:rsid w:val="006F68CA"/>
    <w:rsid w:val="006F73B2"/>
    <w:rsid w:val="00701A1C"/>
    <w:rsid w:val="00701ED0"/>
    <w:rsid w:val="00702A45"/>
    <w:rsid w:val="00702CD6"/>
    <w:rsid w:val="007043D5"/>
    <w:rsid w:val="00704921"/>
    <w:rsid w:val="00706F90"/>
    <w:rsid w:val="0070741C"/>
    <w:rsid w:val="00711CAE"/>
    <w:rsid w:val="0071409C"/>
    <w:rsid w:val="00722017"/>
    <w:rsid w:val="00722A30"/>
    <w:rsid w:val="00725702"/>
    <w:rsid w:val="007315F3"/>
    <w:rsid w:val="0073326D"/>
    <w:rsid w:val="00735EAF"/>
    <w:rsid w:val="007365E7"/>
    <w:rsid w:val="0073737A"/>
    <w:rsid w:val="0073780A"/>
    <w:rsid w:val="00740B56"/>
    <w:rsid w:val="00742672"/>
    <w:rsid w:val="00744F3B"/>
    <w:rsid w:val="00750055"/>
    <w:rsid w:val="00750627"/>
    <w:rsid w:val="007510EA"/>
    <w:rsid w:val="0075242A"/>
    <w:rsid w:val="00752672"/>
    <w:rsid w:val="00753BD3"/>
    <w:rsid w:val="00755130"/>
    <w:rsid w:val="0075686B"/>
    <w:rsid w:val="007575C1"/>
    <w:rsid w:val="0076095C"/>
    <w:rsid w:val="007616B8"/>
    <w:rsid w:val="00763B2B"/>
    <w:rsid w:val="007713A2"/>
    <w:rsid w:val="00771699"/>
    <w:rsid w:val="007731C4"/>
    <w:rsid w:val="00773AFE"/>
    <w:rsid w:val="00776888"/>
    <w:rsid w:val="007801FE"/>
    <w:rsid w:val="00780700"/>
    <w:rsid w:val="00780A6C"/>
    <w:rsid w:val="00782C85"/>
    <w:rsid w:val="007873DF"/>
    <w:rsid w:val="007913B7"/>
    <w:rsid w:val="007922FD"/>
    <w:rsid w:val="00793212"/>
    <w:rsid w:val="007958BC"/>
    <w:rsid w:val="00797A1F"/>
    <w:rsid w:val="007A0456"/>
    <w:rsid w:val="007A1BCB"/>
    <w:rsid w:val="007A275F"/>
    <w:rsid w:val="007A2F41"/>
    <w:rsid w:val="007A3907"/>
    <w:rsid w:val="007A4C5F"/>
    <w:rsid w:val="007A6BA5"/>
    <w:rsid w:val="007B2535"/>
    <w:rsid w:val="007B2990"/>
    <w:rsid w:val="007B3CC7"/>
    <w:rsid w:val="007B3D11"/>
    <w:rsid w:val="007B6A90"/>
    <w:rsid w:val="007B7422"/>
    <w:rsid w:val="007C34EB"/>
    <w:rsid w:val="007C36B7"/>
    <w:rsid w:val="007C3A6C"/>
    <w:rsid w:val="007C3B52"/>
    <w:rsid w:val="007C3C80"/>
    <w:rsid w:val="007C48E9"/>
    <w:rsid w:val="007C4B45"/>
    <w:rsid w:val="007C4FA9"/>
    <w:rsid w:val="007C5220"/>
    <w:rsid w:val="007C68DB"/>
    <w:rsid w:val="007C6BB2"/>
    <w:rsid w:val="007D4A86"/>
    <w:rsid w:val="007D7B36"/>
    <w:rsid w:val="007E1778"/>
    <w:rsid w:val="007E1E37"/>
    <w:rsid w:val="007E525F"/>
    <w:rsid w:val="007E5382"/>
    <w:rsid w:val="007E6CEF"/>
    <w:rsid w:val="007F0027"/>
    <w:rsid w:val="007F57D0"/>
    <w:rsid w:val="007F5821"/>
    <w:rsid w:val="007F6B7E"/>
    <w:rsid w:val="007F7EAA"/>
    <w:rsid w:val="007F7F8B"/>
    <w:rsid w:val="007F7FEC"/>
    <w:rsid w:val="00801E76"/>
    <w:rsid w:val="008023D1"/>
    <w:rsid w:val="008050F3"/>
    <w:rsid w:val="008057CE"/>
    <w:rsid w:val="008059E0"/>
    <w:rsid w:val="008063F4"/>
    <w:rsid w:val="00806753"/>
    <w:rsid w:val="00810BA7"/>
    <w:rsid w:val="00814400"/>
    <w:rsid w:val="008153A8"/>
    <w:rsid w:val="008208E4"/>
    <w:rsid w:val="008213CE"/>
    <w:rsid w:val="00821B56"/>
    <w:rsid w:val="00825003"/>
    <w:rsid w:val="00830B53"/>
    <w:rsid w:val="0083112F"/>
    <w:rsid w:val="0083298A"/>
    <w:rsid w:val="00840D28"/>
    <w:rsid w:val="008419DC"/>
    <w:rsid w:val="008428BD"/>
    <w:rsid w:val="008429B1"/>
    <w:rsid w:val="00844315"/>
    <w:rsid w:val="008443D3"/>
    <w:rsid w:val="00844548"/>
    <w:rsid w:val="008453E9"/>
    <w:rsid w:val="00846DD2"/>
    <w:rsid w:val="00851483"/>
    <w:rsid w:val="00861757"/>
    <w:rsid w:val="00862294"/>
    <w:rsid w:val="00863A9D"/>
    <w:rsid w:val="0086464B"/>
    <w:rsid w:val="00864AA7"/>
    <w:rsid w:val="00865674"/>
    <w:rsid w:val="00866066"/>
    <w:rsid w:val="0086792C"/>
    <w:rsid w:val="00867D78"/>
    <w:rsid w:val="00870C3D"/>
    <w:rsid w:val="008775CB"/>
    <w:rsid w:val="008841A1"/>
    <w:rsid w:val="00884905"/>
    <w:rsid w:val="008856ED"/>
    <w:rsid w:val="008860CA"/>
    <w:rsid w:val="008904EA"/>
    <w:rsid w:val="00890E30"/>
    <w:rsid w:val="00892028"/>
    <w:rsid w:val="00892C6E"/>
    <w:rsid w:val="00893502"/>
    <w:rsid w:val="00895845"/>
    <w:rsid w:val="00895877"/>
    <w:rsid w:val="00895C12"/>
    <w:rsid w:val="008974CC"/>
    <w:rsid w:val="008A0B4C"/>
    <w:rsid w:val="008A19B4"/>
    <w:rsid w:val="008A1B52"/>
    <w:rsid w:val="008A1D9D"/>
    <w:rsid w:val="008A23CD"/>
    <w:rsid w:val="008A47E7"/>
    <w:rsid w:val="008A57D6"/>
    <w:rsid w:val="008B0235"/>
    <w:rsid w:val="008B065A"/>
    <w:rsid w:val="008B2013"/>
    <w:rsid w:val="008B5C2A"/>
    <w:rsid w:val="008C187E"/>
    <w:rsid w:val="008C1D66"/>
    <w:rsid w:val="008C2543"/>
    <w:rsid w:val="008C281D"/>
    <w:rsid w:val="008C2A1E"/>
    <w:rsid w:val="008C4CCB"/>
    <w:rsid w:val="008C547C"/>
    <w:rsid w:val="008C64D7"/>
    <w:rsid w:val="008C6CEE"/>
    <w:rsid w:val="008D3EF1"/>
    <w:rsid w:val="008D4883"/>
    <w:rsid w:val="008D6F2A"/>
    <w:rsid w:val="008E1066"/>
    <w:rsid w:val="008E3488"/>
    <w:rsid w:val="008E3AEF"/>
    <w:rsid w:val="008E477D"/>
    <w:rsid w:val="008E4D41"/>
    <w:rsid w:val="008E580B"/>
    <w:rsid w:val="008E731D"/>
    <w:rsid w:val="008F0153"/>
    <w:rsid w:val="008F2C7C"/>
    <w:rsid w:val="008F342D"/>
    <w:rsid w:val="008F6925"/>
    <w:rsid w:val="009004D2"/>
    <w:rsid w:val="0090194D"/>
    <w:rsid w:val="00902118"/>
    <w:rsid w:val="00902F04"/>
    <w:rsid w:val="00903DD7"/>
    <w:rsid w:val="00903F3D"/>
    <w:rsid w:val="00907016"/>
    <w:rsid w:val="00907259"/>
    <w:rsid w:val="00907462"/>
    <w:rsid w:val="00907802"/>
    <w:rsid w:val="00911789"/>
    <w:rsid w:val="009132AB"/>
    <w:rsid w:val="009142EC"/>
    <w:rsid w:val="00914A3E"/>
    <w:rsid w:val="00915C1A"/>
    <w:rsid w:val="0092251F"/>
    <w:rsid w:val="0092447B"/>
    <w:rsid w:val="0092778B"/>
    <w:rsid w:val="00927ECB"/>
    <w:rsid w:val="00931FDF"/>
    <w:rsid w:val="00932E65"/>
    <w:rsid w:val="009340DE"/>
    <w:rsid w:val="009365EC"/>
    <w:rsid w:val="00936EBE"/>
    <w:rsid w:val="00941E16"/>
    <w:rsid w:val="009443C3"/>
    <w:rsid w:val="00945290"/>
    <w:rsid w:val="00952694"/>
    <w:rsid w:val="009526EA"/>
    <w:rsid w:val="00953AF9"/>
    <w:rsid w:val="0095717A"/>
    <w:rsid w:val="00957D58"/>
    <w:rsid w:val="00961A64"/>
    <w:rsid w:val="009640B2"/>
    <w:rsid w:val="009647AF"/>
    <w:rsid w:val="00972DC9"/>
    <w:rsid w:val="0098123C"/>
    <w:rsid w:val="0098175B"/>
    <w:rsid w:val="00984249"/>
    <w:rsid w:val="009855E8"/>
    <w:rsid w:val="009909F9"/>
    <w:rsid w:val="0099129F"/>
    <w:rsid w:val="00995AA0"/>
    <w:rsid w:val="00995C41"/>
    <w:rsid w:val="009A4151"/>
    <w:rsid w:val="009A56F9"/>
    <w:rsid w:val="009A5DAD"/>
    <w:rsid w:val="009A6DA9"/>
    <w:rsid w:val="009A6FF7"/>
    <w:rsid w:val="009B302E"/>
    <w:rsid w:val="009B492F"/>
    <w:rsid w:val="009B5289"/>
    <w:rsid w:val="009B70A5"/>
    <w:rsid w:val="009C1FD9"/>
    <w:rsid w:val="009C275F"/>
    <w:rsid w:val="009C3FCF"/>
    <w:rsid w:val="009C55C2"/>
    <w:rsid w:val="009C5EDE"/>
    <w:rsid w:val="009C78DF"/>
    <w:rsid w:val="009C7EF3"/>
    <w:rsid w:val="009D274C"/>
    <w:rsid w:val="009D429E"/>
    <w:rsid w:val="009D566C"/>
    <w:rsid w:val="009E0317"/>
    <w:rsid w:val="009E157F"/>
    <w:rsid w:val="009E1AAD"/>
    <w:rsid w:val="009E6F9C"/>
    <w:rsid w:val="009E793B"/>
    <w:rsid w:val="009F102D"/>
    <w:rsid w:val="009F169C"/>
    <w:rsid w:val="009F182B"/>
    <w:rsid w:val="009F24AA"/>
    <w:rsid w:val="009F3ADA"/>
    <w:rsid w:val="009F3B4C"/>
    <w:rsid w:val="00A01CB4"/>
    <w:rsid w:val="00A02E4D"/>
    <w:rsid w:val="00A050F8"/>
    <w:rsid w:val="00A06174"/>
    <w:rsid w:val="00A12755"/>
    <w:rsid w:val="00A1493F"/>
    <w:rsid w:val="00A22648"/>
    <w:rsid w:val="00A22F3D"/>
    <w:rsid w:val="00A27F0B"/>
    <w:rsid w:val="00A32030"/>
    <w:rsid w:val="00A337B2"/>
    <w:rsid w:val="00A360E9"/>
    <w:rsid w:val="00A4063A"/>
    <w:rsid w:val="00A41741"/>
    <w:rsid w:val="00A4271D"/>
    <w:rsid w:val="00A44FAA"/>
    <w:rsid w:val="00A45195"/>
    <w:rsid w:val="00A45852"/>
    <w:rsid w:val="00A5136A"/>
    <w:rsid w:val="00A51DF6"/>
    <w:rsid w:val="00A52F71"/>
    <w:rsid w:val="00A5336D"/>
    <w:rsid w:val="00A53E94"/>
    <w:rsid w:val="00A56698"/>
    <w:rsid w:val="00A60083"/>
    <w:rsid w:val="00A60163"/>
    <w:rsid w:val="00A60FD6"/>
    <w:rsid w:val="00A61A90"/>
    <w:rsid w:val="00A650F5"/>
    <w:rsid w:val="00A66DF1"/>
    <w:rsid w:val="00A67074"/>
    <w:rsid w:val="00A67F3D"/>
    <w:rsid w:val="00A72992"/>
    <w:rsid w:val="00A76DC9"/>
    <w:rsid w:val="00A76F16"/>
    <w:rsid w:val="00A813A4"/>
    <w:rsid w:val="00A82753"/>
    <w:rsid w:val="00A82F33"/>
    <w:rsid w:val="00A83024"/>
    <w:rsid w:val="00A8338F"/>
    <w:rsid w:val="00A84793"/>
    <w:rsid w:val="00A95465"/>
    <w:rsid w:val="00AB1A34"/>
    <w:rsid w:val="00AB4E17"/>
    <w:rsid w:val="00AB51C7"/>
    <w:rsid w:val="00AC2D7B"/>
    <w:rsid w:val="00AC4B79"/>
    <w:rsid w:val="00AC7A7E"/>
    <w:rsid w:val="00AD12B5"/>
    <w:rsid w:val="00AD1D51"/>
    <w:rsid w:val="00AD1F0E"/>
    <w:rsid w:val="00AD27AE"/>
    <w:rsid w:val="00AD4A3A"/>
    <w:rsid w:val="00AD50A2"/>
    <w:rsid w:val="00AD530C"/>
    <w:rsid w:val="00AE0899"/>
    <w:rsid w:val="00AE15F2"/>
    <w:rsid w:val="00AE6881"/>
    <w:rsid w:val="00AF1059"/>
    <w:rsid w:val="00AF157A"/>
    <w:rsid w:val="00AF29D3"/>
    <w:rsid w:val="00AF3A1C"/>
    <w:rsid w:val="00AF54DF"/>
    <w:rsid w:val="00B00318"/>
    <w:rsid w:val="00B01DC6"/>
    <w:rsid w:val="00B02D1C"/>
    <w:rsid w:val="00B03BD5"/>
    <w:rsid w:val="00B05444"/>
    <w:rsid w:val="00B062E1"/>
    <w:rsid w:val="00B105F5"/>
    <w:rsid w:val="00B1423E"/>
    <w:rsid w:val="00B16C3F"/>
    <w:rsid w:val="00B172F6"/>
    <w:rsid w:val="00B20AEA"/>
    <w:rsid w:val="00B21311"/>
    <w:rsid w:val="00B235AE"/>
    <w:rsid w:val="00B26F73"/>
    <w:rsid w:val="00B27F04"/>
    <w:rsid w:val="00B30398"/>
    <w:rsid w:val="00B31F50"/>
    <w:rsid w:val="00B32300"/>
    <w:rsid w:val="00B36432"/>
    <w:rsid w:val="00B37E95"/>
    <w:rsid w:val="00B4040C"/>
    <w:rsid w:val="00B43113"/>
    <w:rsid w:val="00B4409C"/>
    <w:rsid w:val="00B45004"/>
    <w:rsid w:val="00B47935"/>
    <w:rsid w:val="00B5019D"/>
    <w:rsid w:val="00B51780"/>
    <w:rsid w:val="00B5257E"/>
    <w:rsid w:val="00B542AB"/>
    <w:rsid w:val="00B56698"/>
    <w:rsid w:val="00B56C63"/>
    <w:rsid w:val="00B57370"/>
    <w:rsid w:val="00B57873"/>
    <w:rsid w:val="00B618C3"/>
    <w:rsid w:val="00B63282"/>
    <w:rsid w:val="00B63F82"/>
    <w:rsid w:val="00B64383"/>
    <w:rsid w:val="00B6727B"/>
    <w:rsid w:val="00B70471"/>
    <w:rsid w:val="00B7072C"/>
    <w:rsid w:val="00B73047"/>
    <w:rsid w:val="00B74502"/>
    <w:rsid w:val="00B74A50"/>
    <w:rsid w:val="00B75C84"/>
    <w:rsid w:val="00B84890"/>
    <w:rsid w:val="00B856F0"/>
    <w:rsid w:val="00B86721"/>
    <w:rsid w:val="00B8748F"/>
    <w:rsid w:val="00B87C22"/>
    <w:rsid w:val="00B90CC5"/>
    <w:rsid w:val="00B918DC"/>
    <w:rsid w:val="00B92D2B"/>
    <w:rsid w:val="00B94D33"/>
    <w:rsid w:val="00B94FB1"/>
    <w:rsid w:val="00B95236"/>
    <w:rsid w:val="00B96994"/>
    <w:rsid w:val="00BA0B7C"/>
    <w:rsid w:val="00BA1158"/>
    <w:rsid w:val="00BA130C"/>
    <w:rsid w:val="00BA2F36"/>
    <w:rsid w:val="00BA3101"/>
    <w:rsid w:val="00BA3F60"/>
    <w:rsid w:val="00BA4E96"/>
    <w:rsid w:val="00BA65A1"/>
    <w:rsid w:val="00BA79DB"/>
    <w:rsid w:val="00BB45B7"/>
    <w:rsid w:val="00BB6100"/>
    <w:rsid w:val="00BB78B7"/>
    <w:rsid w:val="00BC058E"/>
    <w:rsid w:val="00BC44A9"/>
    <w:rsid w:val="00BC4C4B"/>
    <w:rsid w:val="00BC612E"/>
    <w:rsid w:val="00BD05DB"/>
    <w:rsid w:val="00BD22C1"/>
    <w:rsid w:val="00BD7BD6"/>
    <w:rsid w:val="00BE06FD"/>
    <w:rsid w:val="00BF40A6"/>
    <w:rsid w:val="00BF50A3"/>
    <w:rsid w:val="00C00D6F"/>
    <w:rsid w:val="00C01BDF"/>
    <w:rsid w:val="00C03F81"/>
    <w:rsid w:val="00C05BEB"/>
    <w:rsid w:val="00C072E1"/>
    <w:rsid w:val="00C143BB"/>
    <w:rsid w:val="00C17EAD"/>
    <w:rsid w:val="00C22623"/>
    <w:rsid w:val="00C2416E"/>
    <w:rsid w:val="00C24342"/>
    <w:rsid w:val="00C24AC9"/>
    <w:rsid w:val="00C27314"/>
    <w:rsid w:val="00C3312B"/>
    <w:rsid w:val="00C36AB3"/>
    <w:rsid w:val="00C3780B"/>
    <w:rsid w:val="00C41131"/>
    <w:rsid w:val="00C41C81"/>
    <w:rsid w:val="00C52EC9"/>
    <w:rsid w:val="00C52F7F"/>
    <w:rsid w:val="00C543B1"/>
    <w:rsid w:val="00C55857"/>
    <w:rsid w:val="00C61766"/>
    <w:rsid w:val="00C619A7"/>
    <w:rsid w:val="00C61F81"/>
    <w:rsid w:val="00C62D97"/>
    <w:rsid w:val="00C64C3B"/>
    <w:rsid w:val="00C65976"/>
    <w:rsid w:val="00C72ACB"/>
    <w:rsid w:val="00C73654"/>
    <w:rsid w:val="00C77A8E"/>
    <w:rsid w:val="00C8107C"/>
    <w:rsid w:val="00C81738"/>
    <w:rsid w:val="00C84A84"/>
    <w:rsid w:val="00C8623B"/>
    <w:rsid w:val="00C87713"/>
    <w:rsid w:val="00C87E97"/>
    <w:rsid w:val="00C9036C"/>
    <w:rsid w:val="00C922A7"/>
    <w:rsid w:val="00C93FA1"/>
    <w:rsid w:val="00C96C36"/>
    <w:rsid w:val="00CA372F"/>
    <w:rsid w:val="00CA3A02"/>
    <w:rsid w:val="00CA61AA"/>
    <w:rsid w:val="00CB13B7"/>
    <w:rsid w:val="00CB1E9D"/>
    <w:rsid w:val="00CB2F15"/>
    <w:rsid w:val="00CB3040"/>
    <w:rsid w:val="00CB56F8"/>
    <w:rsid w:val="00CB57C9"/>
    <w:rsid w:val="00CB5F30"/>
    <w:rsid w:val="00CB682B"/>
    <w:rsid w:val="00CC035A"/>
    <w:rsid w:val="00CC0685"/>
    <w:rsid w:val="00CC1516"/>
    <w:rsid w:val="00CC184B"/>
    <w:rsid w:val="00CC2334"/>
    <w:rsid w:val="00CC3D54"/>
    <w:rsid w:val="00CC5843"/>
    <w:rsid w:val="00CC6318"/>
    <w:rsid w:val="00CC64E5"/>
    <w:rsid w:val="00CC677A"/>
    <w:rsid w:val="00CD06B7"/>
    <w:rsid w:val="00CD255A"/>
    <w:rsid w:val="00CD30C1"/>
    <w:rsid w:val="00CD6216"/>
    <w:rsid w:val="00CD6CB1"/>
    <w:rsid w:val="00CD7273"/>
    <w:rsid w:val="00CD76C4"/>
    <w:rsid w:val="00CD7A99"/>
    <w:rsid w:val="00CD7E50"/>
    <w:rsid w:val="00CD7F04"/>
    <w:rsid w:val="00CE3AF4"/>
    <w:rsid w:val="00CE5E5D"/>
    <w:rsid w:val="00CF02A2"/>
    <w:rsid w:val="00CF17AC"/>
    <w:rsid w:val="00CF4621"/>
    <w:rsid w:val="00CF4E2A"/>
    <w:rsid w:val="00CF5426"/>
    <w:rsid w:val="00CF6F9C"/>
    <w:rsid w:val="00CF76EB"/>
    <w:rsid w:val="00D01C44"/>
    <w:rsid w:val="00D040D0"/>
    <w:rsid w:val="00D049A5"/>
    <w:rsid w:val="00D063FA"/>
    <w:rsid w:val="00D06642"/>
    <w:rsid w:val="00D108F8"/>
    <w:rsid w:val="00D114CA"/>
    <w:rsid w:val="00D117B1"/>
    <w:rsid w:val="00D1212E"/>
    <w:rsid w:val="00D1470A"/>
    <w:rsid w:val="00D157A2"/>
    <w:rsid w:val="00D1685A"/>
    <w:rsid w:val="00D200CF"/>
    <w:rsid w:val="00D23D74"/>
    <w:rsid w:val="00D249CA"/>
    <w:rsid w:val="00D24A6E"/>
    <w:rsid w:val="00D24E9C"/>
    <w:rsid w:val="00D278D9"/>
    <w:rsid w:val="00D3758C"/>
    <w:rsid w:val="00D37C9D"/>
    <w:rsid w:val="00D444F5"/>
    <w:rsid w:val="00D46F30"/>
    <w:rsid w:val="00D50B28"/>
    <w:rsid w:val="00D50C3F"/>
    <w:rsid w:val="00D51E77"/>
    <w:rsid w:val="00D55B07"/>
    <w:rsid w:val="00D572A3"/>
    <w:rsid w:val="00D62FAD"/>
    <w:rsid w:val="00D641D9"/>
    <w:rsid w:val="00D64770"/>
    <w:rsid w:val="00D65454"/>
    <w:rsid w:val="00D66546"/>
    <w:rsid w:val="00D66777"/>
    <w:rsid w:val="00D67B52"/>
    <w:rsid w:val="00D7055F"/>
    <w:rsid w:val="00D73D74"/>
    <w:rsid w:val="00D74449"/>
    <w:rsid w:val="00D76859"/>
    <w:rsid w:val="00D83642"/>
    <w:rsid w:val="00D839B5"/>
    <w:rsid w:val="00D84D8F"/>
    <w:rsid w:val="00D87577"/>
    <w:rsid w:val="00D91027"/>
    <w:rsid w:val="00D923D9"/>
    <w:rsid w:val="00D965F9"/>
    <w:rsid w:val="00D97385"/>
    <w:rsid w:val="00D97CCF"/>
    <w:rsid w:val="00DA0620"/>
    <w:rsid w:val="00DA2F0E"/>
    <w:rsid w:val="00DB001B"/>
    <w:rsid w:val="00DB0E13"/>
    <w:rsid w:val="00DB2591"/>
    <w:rsid w:val="00DB3404"/>
    <w:rsid w:val="00DB6F59"/>
    <w:rsid w:val="00DC1A5F"/>
    <w:rsid w:val="00DC2013"/>
    <w:rsid w:val="00DC2188"/>
    <w:rsid w:val="00DC401E"/>
    <w:rsid w:val="00DC5627"/>
    <w:rsid w:val="00DD3ED6"/>
    <w:rsid w:val="00DD4F9A"/>
    <w:rsid w:val="00DD531B"/>
    <w:rsid w:val="00DD5B5A"/>
    <w:rsid w:val="00DD6471"/>
    <w:rsid w:val="00DE1FF9"/>
    <w:rsid w:val="00DE6413"/>
    <w:rsid w:val="00DE6F24"/>
    <w:rsid w:val="00DE7FD7"/>
    <w:rsid w:val="00DF544D"/>
    <w:rsid w:val="00E00539"/>
    <w:rsid w:val="00E03025"/>
    <w:rsid w:val="00E030A4"/>
    <w:rsid w:val="00E05C41"/>
    <w:rsid w:val="00E06C98"/>
    <w:rsid w:val="00E07F18"/>
    <w:rsid w:val="00E1215C"/>
    <w:rsid w:val="00E1459D"/>
    <w:rsid w:val="00E145DF"/>
    <w:rsid w:val="00E15810"/>
    <w:rsid w:val="00E20004"/>
    <w:rsid w:val="00E242D0"/>
    <w:rsid w:val="00E259C3"/>
    <w:rsid w:val="00E25E10"/>
    <w:rsid w:val="00E26CFF"/>
    <w:rsid w:val="00E30145"/>
    <w:rsid w:val="00E30251"/>
    <w:rsid w:val="00E33976"/>
    <w:rsid w:val="00E33BA8"/>
    <w:rsid w:val="00E40505"/>
    <w:rsid w:val="00E42857"/>
    <w:rsid w:val="00E45B0C"/>
    <w:rsid w:val="00E46F92"/>
    <w:rsid w:val="00E47798"/>
    <w:rsid w:val="00E51936"/>
    <w:rsid w:val="00E52A9C"/>
    <w:rsid w:val="00E52ED0"/>
    <w:rsid w:val="00E53D9A"/>
    <w:rsid w:val="00E54B7E"/>
    <w:rsid w:val="00E5722A"/>
    <w:rsid w:val="00E60B43"/>
    <w:rsid w:val="00E660E6"/>
    <w:rsid w:val="00E66491"/>
    <w:rsid w:val="00E66FE8"/>
    <w:rsid w:val="00E674B9"/>
    <w:rsid w:val="00E67AE3"/>
    <w:rsid w:val="00E71122"/>
    <w:rsid w:val="00E72564"/>
    <w:rsid w:val="00E730B5"/>
    <w:rsid w:val="00E7385C"/>
    <w:rsid w:val="00E74E9F"/>
    <w:rsid w:val="00E76708"/>
    <w:rsid w:val="00E80322"/>
    <w:rsid w:val="00E80801"/>
    <w:rsid w:val="00E81AC6"/>
    <w:rsid w:val="00E81E62"/>
    <w:rsid w:val="00E84568"/>
    <w:rsid w:val="00E847D9"/>
    <w:rsid w:val="00E90C3C"/>
    <w:rsid w:val="00E9120B"/>
    <w:rsid w:val="00E916EE"/>
    <w:rsid w:val="00E92F1B"/>
    <w:rsid w:val="00E937E3"/>
    <w:rsid w:val="00E95AF6"/>
    <w:rsid w:val="00E96DFF"/>
    <w:rsid w:val="00E9764C"/>
    <w:rsid w:val="00EA0CF5"/>
    <w:rsid w:val="00EA2ED9"/>
    <w:rsid w:val="00EA4491"/>
    <w:rsid w:val="00EA44A9"/>
    <w:rsid w:val="00EA4C7A"/>
    <w:rsid w:val="00EA561C"/>
    <w:rsid w:val="00EA5EFA"/>
    <w:rsid w:val="00EB0BF1"/>
    <w:rsid w:val="00EB20D9"/>
    <w:rsid w:val="00EB458D"/>
    <w:rsid w:val="00EB520E"/>
    <w:rsid w:val="00EB55CC"/>
    <w:rsid w:val="00EC2B8F"/>
    <w:rsid w:val="00EC313B"/>
    <w:rsid w:val="00EC3560"/>
    <w:rsid w:val="00EC4CB4"/>
    <w:rsid w:val="00ED112B"/>
    <w:rsid w:val="00ED1644"/>
    <w:rsid w:val="00ED1D0B"/>
    <w:rsid w:val="00ED2485"/>
    <w:rsid w:val="00ED255D"/>
    <w:rsid w:val="00ED25D2"/>
    <w:rsid w:val="00ED32AA"/>
    <w:rsid w:val="00ED6823"/>
    <w:rsid w:val="00ED6C43"/>
    <w:rsid w:val="00EE76E0"/>
    <w:rsid w:val="00EF309D"/>
    <w:rsid w:val="00EF3B7E"/>
    <w:rsid w:val="00EF5C81"/>
    <w:rsid w:val="00F021DA"/>
    <w:rsid w:val="00F0224C"/>
    <w:rsid w:val="00F02935"/>
    <w:rsid w:val="00F11B19"/>
    <w:rsid w:val="00F14DAF"/>
    <w:rsid w:val="00F2499F"/>
    <w:rsid w:val="00F275CD"/>
    <w:rsid w:val="00F30EFA"/>
    <w:rsid w:val="00F32DDD"/>
    <w:rsid w:val="00F33869"/>
    <w:rsid w:val="00F345D8"/>
    <w:rsid w:val="00F37DA1"/>
    <w:rsid w:val="00F45884"/>
    <w:rsid w:val="00F47771"/>
    <w:rsid w:val="00F502EB"/>
    <w:rsid w:val="00F6024A"/>
    <w:rsid w:val="00F630B1"/>
    <w:rsid w:val="00F63D9B"/>
    <w:rsid w:val="00F640AC"/>
    <w:rsid w:val="00F66639"/>
    <w:rsid w:val="00F6780A"/>
    <w:rsid w:val="00F67833"/>
    <w:rsid w:val="00F7077D"/>
    <w:rsid w:val="00F71C70"/>
    <w:rsid w:val="00F73F48"/>
    <w:rsid w:val="00F75407"/>
    <w:rsid w:val="00F8132A"/>
    <w:rsid w:val="00F826E0"/>
    <w:rsid w:val="00F83B89"/>
    <w:rsid w:val="00F846D9"/>
    <w:rsid w:val="00F86D92"/>
    <w:rsid w:val="00F90167"/>
    <w:rsid w:val="00F9398E"/>
    <w:rsid w:val="00F93A33"/>
    <w:rsid w:val="00F96BB4"/>
    <w:rsid w:val="00F97103"/>
    <w:rsid w:val="00F97680"/>
    <w:rsid w:val="00FA0AC2"/>
    <w:rsid w:val="00FA22A5"/>
    <w:rsid w:val="00FA236F"/>
    <w:rsid w:val="00FA3BC4"/>
    <w:rsid w:val="00FA4614"/>
    <w:rsid w:val="00FA59E0"/>
    <w:rsid w:val="00FB1FE0"/>
    <w:rsid w:val="00FB3213"/>
    <w:rsid w:val="00FB68B3"/>
    <w:rsid w:val="00FB69A2"/>
    <w:rsid w:val="00FC12D9"/>
    <w:rsid w:val="00FC1478"/>
    <w:rsid w:val="00FC3DDB"/>
    <w:rsid w:val="00FC3FAA"/>
    <w:rsid w:val="00FC4F5A"/>
    <w:rsid w:val="00FC61BB"/>
    <w:rsid w:val="00FC75DF"/>
    <w:rsid w:val="00FD34CB"/>
    <w:rsid w:val="00FD3B4D"/>
    <w:rsid w:val="00FD4CA5"/>
    <w:rsid w:val="00FD4FCA"/>
    <w:rsid w:val="00FD71E2"/>
    <w:rsid w:val="00FD7450"/>
    <w:rsid w:val="00FD7DC7"/>
    <w:rsid w:val="00FE038F"/>
    <w:rsid w:val="00FE3A42"/>
    <w:rsid w:val="00FE3F77"/>
    <w:rsid w:val="00FE4707"/>
    <w:rsid w:val="00FE5792"/>
    <w:rsid w:val="00FE5D5D"/>
    <w:rsid w:val="00FF1A4C"/>
    <w:rsid w:val="00FF364A"/>
    <w:rsid w:val="00FF449C"/>
    <w:rsid w:val="00FF55C2"/>
    <w:rsid w:val="00FF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14:docId w14:val="2903C5E3"/>
  <w15:docId w15:val="{407ACAB5-528B-4257-9D83-7BF8A213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64"/>
    <w:pPr>
      <w:spacing w:after="200" w:line="276" w:lineRule="auto"/>
    </w:pPr>
    <w:rPr>
      <w:sz w:val="22"/>
      <w:szCs w:val="22"/>
      <w:lang w:eastAsia="en-US"/>
    </w:rPr>
  </w:style>
  <w:style w:type="paragraph" w:styleId="Heading1">
    <w:name w:val="heading 1"/>
    <w:basedOn w:val="Normal"/>
    <w:next w:val="Normal"/>
    <w:link w:val="Heading1Char1"/>
    <w:uiPriority w:val="9"/>
    <w:qFormat/>
    <w:rsid w:val="00E81E62"/>
    <w:pPr>
      <w:keepNext/>
      <w:spacing w:before="240" w:after="60"/>
      <w:outlineLvl w:val="0"/>
    </w:pPr>
    <w:rPr>
      <w:rFonts w:ascii="Arial" w:eastAsia="Times New Roman" w:hAnsi="Arial"/>
      <w:b/>
      <w:bCs/>
      <w:kern w:val="32"/>
      <w:sz w:val="36"/>
      <w:szCs w:val="32"/>
    </w:rPr>
  </w:style>
  <w:style w:type="paragraph" w:styleId="Heading2">
    <w:name w:val="heading 2"/>
    <w:next w:val="Normal"/>
    <w:link w:val="Heading2Char"/>
    <w:uiPriority w:val="9"/>
    <w:qFormat/>
    <w:rsid w:val="00575C9A"/>
    <w:pPr>
      <w:keepNext/>
      <w:numPr>
        <w:ilvl w:val="1"/>
        <w:numId w:val="4"/>
      </w:numPr>
      <w:spacing w:before="240"/>
      <w:jc w:val="both"/>
      <w:outlineLvl w:val="1"/>
    </w:pPr>
    <w:rPr>
      <w:rFonts w:ascii="Arial" w:eastAsia="Times New Roman" w:hAnsi="Arial"/>
      <w:bCs/>
      <w:iCs/>
      <w:color w:val="99CC00"/>
      <w:sz w:val="32"/>
      <w:szCs w:val="28"/>
    </w:rPr>
  </w:style>
  <w:style w:type="paragraph" w:styleId="Heading3">
    <w:name w:val="heading 3"/>
    <w:basedOn w:val="Normal"/>
    <w:next w:val="Normal"/>
    <w:autoRedefine/>
    <w:qFormat/>
    <w:rsid w:val="00161A9D"/>
    <w:pPr>
      <w:keepNext/>
      <w:numPr>
        <w:ilvl w:val="2"/>
        <w:numId w:val="4"/>
      </w:numPr>
      <w:spacing w:after="120" w:line="240" w:lineRule="auto"/>
      <w:outlineLvl w:val="2"/>
    </w:pPr>
    <w:rPr>
      <w:rFonts w:ascii="Arial" w:eastAsia="Times New Roman" w:hAnsi="Arial"/>
      <w:color w:val="365F91" w:themeColor="accent1" w:themeShade="BF"/>
      <w:sz w:val="24"/>
      <w:szCs w:val="20"/>
      <w:lang w:eastAsia="en-GB"/>
    </w:rPr>
  </w:style>
  <w:style w:type="paragraph" w:styleId="Heading4">
    <w:name w:val="heading 4"/>
    <w:basedOn w:val="Normal"/>
    <w:next w:val="Normal"/>
    <w:qFormat/>
    <w:rsid w:val="00D641D9"/>
    <w:pPr>
      <w:keepNext/>
      <w:numPr>
        <w:ilvl w:val="3"/>
        <w:numId w:val="4"/>
      </w:numPr>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qFormat/>
    <w:rsid w:val="00D641D9"/>
    <w:pPr>
      <w:numPr>
        <w:ilvl w:val="4"/>
        <w:numId w:val="4"/>
      </w:numPr>
      <w:spacing w:before="240" w:after="60" w:line="240" w:lineRule="auto"/>
      <w:outlineLvl w:val="4"/>
    </w:pPr>
    <w:rPr>
      <w:rFonts w:ascii="Arial" w:eastAsia="Times New Roman" w:hAnsi="Arial"/>
      <w:b/>
      <w:bCs/>
      <w:i/>
      <w:iCs/>
      <w:sz w:val="26"/>
      <w:szCs w:val="26"/>
      <w:lang w:eastAsia="en-GB"/>
    </w:rPr>
  </w:style>
  <w:style w:type="paragraph" w:styleId="Heading6">
    <w:name w:val="heading 6"/>
    <w:basedOn w:val="Normal"/>
    <w:next w:val="Normal"/>
    <w:qFormat/>
    <w:rsid w:val="00D641D9"/>
    <w:pPr>
      <w:numPr>
        <w:ilvl w:val="5"/>
        <w:numId w:val="4"/>
      </w:num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qFormat/>
    <w:rsid w:val="00D641D9"/>
    <w:pPr>
      <w:numPr>
        <w:ilvl w:val="6"/>
        <w:numId w:val="4"/>
      </w:num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qFormat/>
    <w:rsid w:val="00D641D9"/>
    <w:pPr>
      <w:numPr>
        <w:ilvl w:val="7"/>
        <w:numId w:val="4"/>
      </w:num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qFormat/>
    <w:rsid w:val="00D641D9"/>
    <w:pPr>
      <w:numPr>
        <w:ilvl w:val="8"/>
        <w:numId w:val="4"/>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2ED9"/>
    <w:rPr>
      <w:sz w:val="22"/>
      <w:szCs w:val="22"/>
      <w:lang w:eastAsia="en-US"/>
    </w:rPr>
  </w:style>
  <w:style w:type="character" w:customStyle="1" w:styleId="Heading1Char1">
    <w:name w:val="Heading 1 Char1"/>
    <w:basedOn w:val="DefaultParagraphFont"/>
    <w:link w:val="Heading1"/>
    <w:uiPriority w:val="9"/>
    <w:rsid w:val="00D641D9"/>
    <w:rPr>
      <w:rFonts w:ascii="Arial" w:hAnsi="Arial"/>
      <w:b/>
      <w:bCs/>
      <w:kern w:val="32"/>
      <w:sz w:val="36"/>
      <w:szCs w:val="32"/>
      <w:lang w:val="en-GB" w:eastAsia="en-US" w:bidi="ar-SA"/>
    </w:rPr>
  </w:style>
  <w:style w:type="paragraph" w:styleId="TOC1">
    <w:name w:val="toc 1"/>
    <w:basedOn w:val="Normal"/>
    <w:next w:val="Normal"/>
    <w:autoRedefine/>
    <w:uiPriority w:val="39"/>
    <w:unhideWhenUsed/>
    <w:rsid w:val="00B7072C"/>
    <w:pPr>
      <w:spacing w:after="0"/>
    </w:pPr>
  </w:style>
  <w:style w:type="character" w:styleId="Hyperlink">
    <w:name w:val="Hyperlink"/>
    <w:basedOn w:val="DefaultParagraphFont"/>
    <w:uiPriority w:val="99"/>
    <w:unhideWhenUsed/>
    <w:rsid w:val="002F4C78"/>
    <w:rPr>
      <w:color w:val="0000FF"/>
      <w:u w:val="single"/>
    </w:rPr>
  </w:style>
  <w:style w:type="character" w:customStyle="1" w:styleId="Heading2Char">
    <w:name w:val="Heading 2 Char"/>
    <w:basedOn w:val="DefaultParagraphFont"/>
    <w:link w:val="Heading2"/>
    <w:uiPriority w:val="9"/>
    <w:rsid w:val="00575C9A"/>
    <w:rPr>
      <w:rFonts w:ascii="Arial" w:eastAsia="Times New Roman" w:hAnsi="Arial"/>
      <w:bCs/>
      <w:iCs/>
      <w:color w:val="99CC00"/>
      <w:sz w:val="32"/>
      <w:szCs w:val="28"/>
    </w:rPr>
  </w:style>
  <w:style w:type="paragraph" w:styleId="TOC2">
    <w:name w:val="toc 2"/>
    <w:basedOn w:val="Normal"/>
    <w:next w:val="Normal"/>
    <w:autoRedefine/>
    <w:uiPriority w:val="39"/>
    <w:unhideWhenUsed/>
    <w:rsid w:val="00B7072C"/>
    <w:pPr>
      <w:spacing w:after="0"/>
      <w:ind w:left="220"/>
    </w:pPr>
  </w:style>
  <w:style w:type="paragraph" w:styleId="Header">
    <w:name w:val="header"/>
    <w:basedOn w:val="Normal"/>
    <w:rsid w:val="00814400"/>
    <w:pPr>
      <w:tabs>
        <w:tab w:val="center" w:pos="4153"/>
        <w:tab w:val="right" w:pos="8306"/>
      </w:tabs>
    </w:pPr>
  </w:style>
  <w:style w:type="paragraph" w:styleId="Footer">
    <w:name w:val="footer"/>
    <w:basedOn w:val="Normal"/>
    <w:rsid w:val="00814400"/>
    <w:pPr>
      <w:tabs>
        <w:tab w:val="center" w:pos="4153"/>
        <w:tab w:val="right" w:pos="8306"/>
      </w:tabs>
    </w:pPr>
  </w:style>
  <w:style w:type="table" w:styleId="TableGrid">
    <w:name w:val="Table Grid"/>
    <w:basedOn w:val="TableNormal"/>
    <w:uiPriority w:val="39"/>
    <w:rsid w:val="0081440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D97"/>
  </w:style>
  <w:style w:type="paragraph" w:styleId="Caption">
    <w:name w:val="caption"/>
    <w:basedOn w:val="Normal"/>
    <w:next w:val="Normal"/>
    <w:qFormat/>
    <w:rsid w:val="003C4FF9"/>
    <w:pPr>
      <w:spacing w:after="0" w:line="240" w:lineRule="auto"/>
    </w:pPr>
    <w:rPr>
      <w:rFonts w:ascii="Arial" w:eastAsia="Times New Roman" w:hAnsi="Arial"/>
      <w:b/>
      <w:bCs/>
      <w:sz w:val="20"/>
      <w:szCs w:val="20"/>
      <w:lang w:eastAsia="en-GB"/>
    </w:rPr>
  </w:style>
  <w:style w:type="character" w:customStyle="1" w:styleId="Heading1Char">
    <w:name w:val="Heading 1 Char"/>
    <w:basedOn w:val="DefaultParagraphFont"/>
    <w:rsid w:val="00555445"/>
    <w:rPr>
      <w:rFonts w:ascii="Arial" w:hAnsi="Arial" w:cs="Arial"/>
      <w:b/>
      <w:bCs/>
      <w:kern w:val="32"/>
      <w:sz w:val="32"/>
      <w:szCs w:val="32"/>
      <w:lang w:val="en-GB" w:eastAsia="en-GB" w:bidi="ar-SA"/>
    </w:rPr>
  </w:style>
  <w:style w:type="paragraph" w:customStyle="1" w:styleId="Style1">
    <w:name w:val="Style1"/>
    <w:basedOn w:val="Heading1"/>
    <w:next w:val="Heading1"/>
    <w:rsid w:val="00555445"/>
    <w:pPr>
      <w:numPr>
        <w:numId w:val="2"/>
      </w:numPr>
      <w:tabs>
        <w:tab w:val="num" w:pos="432"/>
      </w:tabs>
      <w:spacing w:line="240" w:lineRule="auto"/>
      <w:ind w:left="432" w:hanging="432"/>
    </w:pPr>
    <w:rPr>
      <w:rFonts w:cs="Arial"/>
      <w:b w:val="0"/>
      <w:sz w:val="32"/>
      <w:lang w:eastAsia="en-GB"/>
    </w:rPr>
  </w:style>
  <w:style w:type="paragraph" w:customStyle="1" w:styleId="Style2">
    <w:name w:val="Style2"/>
    <w:basedOn w:val="Heading1"/>
    <w:next w:val="Style1"/>
    <w:rsid w:val="00555445"/>
    <w:pPr>
      <w:numPr>
        <w:numId w:val="1"/>
      </w:numPr>
      <w:spacing w:line="240" w:lineRule="auto"/>
    </w:pPr>
    <w:rPr>
      <w:rFonts w:cs="Arial"/>
      <w:b w:val="0"/>
      <w:sz w:val="32"/>
      <w:lang w:eastAsia="en-GB"/>
    </w:rPr>
  </w:style>
  <w:style w:type="table" w:styleId="TableList4">
    <w:name w:val="Table List 4"/>
    <w:basedOn w:val="TableNormal"/>
    <w:rsid w:val="00C2731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finds">
    <w:name w:val="finds"/>
    <w:rsid w:val="009E6F9C"/>
    <w:pPr>
      <w:numPr>
        <w:numId w:val="3"/>
      </w:numPr>
    </w:pPr>
  </w:style>
  <w:style w:type="paragraph" w:styleId="BlockText">
    <w:name w:val="Block Text"/>
    <w:basedOn w:val="Normal"/>
    <w:rsid w:val="00287652"/>
    <w:pPr>
      <w:spacing w:after="120"/>
      <w:ind w:left="1440" w:right="1440"/>
    </w:pPr>
  </w:style>
  <w:style w:type="paragraph" w:styleId="TOC3">
    <w:name w:val="toc 3"/>
    <w:basedOn w:val="Normal"/>
    <w:next w:val="Normal"/>
    <w:autoRedefine/>
    <w:uiPriority w:val="39"/>
    <w:rsid w:val="000C7241"/>
    <w:pPr>
      <w:tabs>
        <w:tab w:val="left" w:pos="1320"/>
        <w:tab w:val="right" w:leader="dot" w:pos="9742"/>
      </w:tabs>
      <w:spacing w:after="0"/>
      <w:ind w:left="442"/>
    </w:pPr>
  </w:style>
  <w:style w:type="paragraph" w:customStyle="1" w:styleId="Appendixheading">
    <w:name w:val="Appendix heading"/>
    <w:basedOn w:val="Heading2"/>
    <w:rsid w:val="00E81E62"/>
    <w:pPr>
      <w:numPr>
        <w:ilvl w:val="0"/>
      </w:numPr>
    </w:pPr>
  </w:style>
  <w:style w:type="character" w:styleId="Strong">
    <w:name w:val="Strong"/>
    <w:basedOn w:val="DefaultParagraphFont"/>
    <w:qFormat/>
    <w:rsid w:val="00491B2B"/>
    <w:rPr>
      <w:b/>
      <w:bCs/>
    </w:rPr>
  </w:style>
  <w:style w:type="numbering" w:customStyle="1" w:styleId="recs">
    <w:name w:val="recs"/>
    <w:rsid w:val="00B70471"/>
    <w:pPr>
      <w:numPr>
        <w:numId w:val="5"/>
      </w:numPr>
    </w:pPr>
  </w:style>
  <w:style w:type="numbering" w:customStyle="1" w:styleId="recoms">
    <w:name w:val="recoms"/>
    <w:rsid w:val="00FE3A42"/>
    <w:pPr>
      <w:numPr>
        <w:numId w:val="6"/>
      </w:numPr>
    </w:pPr>
  </w:style>
  <w:style w:type="paragraph" w:styleId="BalloonText">
    <w:name w:val="Balloon Text"/>
    <w:basedOn w:val="Normal"/>
    <w:semiHidden/>
    <w:rsid w:val="00DB001B"/>
    <w:rPr>
      <w:rFonts w:ascii="Tahoma" w:hAnsi="Tahoma" w:cs="Tahoma"/>
      <w:sz w:val="16"/>
      <w:szCs w:val="16"/>
    </w:rPr>
  </w:style>
  <w:style w:type="paragraph" w:styleId="BodyText">
    <w:name w:val="Body Text"/>
    <w:basedOn w:val="Normal"/>
    <w:link w:val="BodyTextChar"/>
    <w:rsid w:val="00DE6F24"/>
    <w:pPr>
      <w:spacing w:after="120"/>
    </w:pPr>
  </w:style>
  <w:style w:type="character" w:customStyle="1" w:styleId="BodyTextChar">
    <w:name w:val="Body Text Char"/>
    <w:basedOn w:val="DefaultParagraphFont"/>
    <w:link w:val="BodyText"/>
    <w:rsid w:val="0000517E"/>
    <w:rPr>
      <w:rFonts w:ascii="Calibri" w:eastAsia="Calibri" w:hAnsi="Calibri"/>
      <w:sz w:val="22"/>
      <w:szCs w:val="22"/>
      <w:lang w:val="en-GB" w:eastAsia="en-US" w:bidi="ar-SA"/>
    </w:rPr>
  </w:style>
  <w:style w:type="paragraph" w:styleId="DocumentMap">
    <w:name w:val="Document Map"/>
    <w:basedOn w:val="Normal"/>
    <w:semiHidden/>
    <w:rsid w:val="009A6FF7"/>
    <w:pPr>
      <w:shd w:val="clear" w:color="auto" w:fill="000080"/>
    </w:pPr>
    <w:rPr>
      <w:rFonts w:ascii="Tahoma" w:hAnsi="Tahoma" w:cs="Tahoma"/>
      <w:sz w:val="20"/>
      <w:szCs w:val="20"/>
    </w:rPr>
  </w:style>
  <w:style w:type="character" w:styleId="FollowedHyperlink">
    <w:name w:val="FollowedHyperlink"/>
    <w:basedOn w:val="DefaultParagraphFont"/>
    <w:rsid w:val="00C84A84"/>
    <w:rPr>
      <w:color w:val="800080"/>
      <w:u w:val="single"/>
    </w:rPr>
  </w:style>
  <w:style w:type="paragraph" w:customStyle="1" w:styleId="xl27">
    <w:name w:val="xl27"/>
    <w:basedOn w:val="Normal"/>
    <w:rsid w:val="00C84A8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26">
    <w:name w:val="xl26"/>
    <w:basedOn w:val="Normal"/>
    <w:rsid w:val="00B4040C"/>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28">
    <w:name w:val="xl28"/>
    <w:basedOn w:val="Normal"/>
    <w:rsid w:val="00B4040C"/>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29">
    <w:name w:val="xl29"/>
    <w:basedOn w:val="Normal"/>
    <w:rsid w:val="00B4040C"/>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30">
    <w:name w:val="xl30"/>
    <w:basedOn w:val="Normal"/>
    <w:rsid w:val="00B4040C"/>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character" w:styleId="CommentReference">
    <w:name w:val="annotation reference"/>
    <w:basedOn w:val="DefaultParagraphFont"/>
    <w:semiHidden/>
    <w:rsid w:val="009D566C"/>
    <w:rPr>
      <w:sz w:val="16"/>
      <w:szCs w:val="16"/>
    </w:rPr>
  </w:style>
  <w:style w:type="paragraph" w:styleId="CommentText">
    <w:name w:val="annotation text"/>
    <w:basedOn w:val="Normal"/>
    <w:semiHidden/>
    <w:rsid w:val="009D566C"/>
    <w:rPr>
      <w:sz w:val="20"/>
      <w:szCs w:val="20"/>
    </w:rPr>
  </w:style>
  <w:style w:type="paragraph" w:styleId="CommentSubject">
    <w:name w:val="annotation subject"/>
    <w:basedOn w:val="CommentText"/>
    <w:next w:val="CommentText"/>
    <w:semiHidden/>
    <w:rsid w:val="009D566C"/>
    <w:rPr>
      <w:b/>
      <w:bCs/>
    </w:rPr>
  </w:style>
  <w:style w:type="character" w:customStyle="1" w:styleId="NoSpacingChar">
    <w:name w:val="No Spacing Char"/>
    <w:basedOn w:val="DefaultParagraphFont"/>
    <w:link w:val="NoSpacing"/>
    <w:rsid w:val="009E1AAD"/>
    <w:rPr>
      <w:rFonts w:ascii="Calibri" w:eastAsia="Calibri" w:hAnsi="Calibri"/>
      <w:sz w:val="22"/>
      <w:szCs w:val="22"/>
      <w:lang w:val="en-GB" w:eastAsia="en-US" w:bidi="ar-SA"/>
    </w:rPr>
  </w:style>
  <w:style w:type="paragraph" w:styleId="TableofFigures">
    <w:name w:val="table of figures"/>
    <w:basedOn w:val="Normal"/>
    <w:next w:val="Normal"/>
    <w:uiPriority w:val="99"/>
    <w:rsid w:val="007F57D0"/>
    <w:pPr>
      <w:spacing w:after="0"/>
    </w:pPr>
  </w:style>
  <w:style w:type="paragraph" w:customStyle="1" w:styleId="xl23">
    <w:name w:val="xl23"/>
    <w:basedOn w:val="Normal"/>
    <w:rsid w:val="004A690B"/>
    <w:pPr>
      <w:pBdr>
        <w:left w:val="single" w:sz="4" w:space="0" w:color="000000"/>
      </w:pBd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4C6F13"/>
    <w:pPr>
      <w:ind w:left="720"/>
      <w:contextualSpacing/>
    </w:pPr>
  </w:style>
  <w:style w:type="paragraph" w:styleId="TOCHeading">
    <w:name w:val="TOC Heading"/>
    <w:basedOn w:val="Heading1"/>
    <w:next w:val="Normal"/>
    <w:uiPriority w:val="39"/>
    <w:unhideWhenUsed/>
    <w:qFormat/>
    <w:rsid w:val="00903F3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Default">
    <w:name w:val="Default"/>
    <w:rsid w:val="00702CD6"/>
    <w:pPr>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7C3A6C"/>
    <w:pPr>
      <w:spacing w:after="100"/>
      <w:ind w:left="660"/>
    </w:pPr>
  </w:style>
  <w:style w:type="paragraph" w:styleId="Revision">
    <w:name w:val="Revision"/>
    <w:hidden/>
    <w:uiPriority w:val="99"/>
    <w:semiHidden/>
    <w:rsid w:val="00AF29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241">
      <w:bodyDiv w:val="1"/>
      <w:marLeft w:val="0"/>
      <w:marRight w:val="0"/>
      <w:marTop w:val="0"/>
      <w:marBottom w:val="0"/>
      <w:divBdr>
        <w:top w:val="none" w:sz="0" w:space="0" w:color="auto"/>
        <w:left w:val="none" w:sz="0" w:space="0" w:color="auto"/>
        <w:bottom w:val="none" w:sz="0" w:space="0" w:color="auto"/>
        <w:right w:val="none" w:sz="0" w:space="0" w:color="auto"/>
      </w:divBdr>
    </w:div>
    <w:div w:id="104932802">
      <w:bodyDiv w:val="1"/>
      <w:marLeft w:val="0"/>
      <w:marRight w:val="0"/>
      <w:marTop w:val="0"/>
      <w:marBottom w:val="0"/>
      <w:divBdr>
        <w:top w:val="none" w:sz="0" w:space="0" w:color="auto"/>
        <w:left w:val="none" w:sz="0" w:space="0" w:color="auto"/>
        <w:bottom w:val="none" w:sz="0" w:space="0" w:color="auto"/>
        <w:right w:val="none" w:sz="0" w:space="0" w:color="auto"/>
      </w:divBdr>
    </w:div>
    <w:div w:id="121313350">
      <w:bodyDiv w:val="1"/>
      <w:marLeft w:val="0"/>
      <w:marRight w:val="0"/>
      <w:marTop w:val="0"/>
      <w:marBottom w:val="0"/>
      <w:divBdr>
        <w:top w:val="none" w:sz="0" w:space="0" w:color="auto"/>
        <w:left w:val="none" w:sz="0" w:space="0" w:color="auto"/>
        <w:bottom w:val="none" w:sz="0" w:space="0" w:color="auto"/>
        <w:right w:val="none" w:sz="0" w:space="0" w:color="auto"/>
      </w:divBdr>
    </w:div>
    <w:div w:id="197083065">
      <w:bodyDiv w:val="1"/>
      <w:marLeft w:val="0"/>
      <w:marRight w:val="0"/>
      <w:marTop w:val="0"/>
      <w:marBottom w:val="0"/>
      <w:divBdr>
        <w:top w:val="none" w:sz="0" w:space="0" w:color="auto"/>
        <w:left w:val="none" w:sz="0" w:space="0" w:color="auto"/>
        <w:bottom w:val="none" w:sz="0" w:space="0" w:color="auto"/>
        <w:right w:val="none" w:sz="0" w:space="0" w:color="auto"/>
      </w:divBdr>
    </w:div>
    <w:div w:id="476529700">
      <w:bodyDiv w:val="1"/>
      <w:marLeft w:val="0"/>
      <w:marRight w:val="0"/>
      <w:marTop w:val="0"/>
      <w:marBottom w:val="0"/>
      <w:divBdr>
        <w:top w:val="none" w:sz="0" w:space="0" w:color="auto"/>
        <w:left w:val="none" w:sz="0" w:space="0" w:color="auto"/>
        <w:bottom w:val="none" w:sz="0" w:space="0" w:color="auto"/>
        <w:right w:val="none" w:sz="0" w:space="0" w:color="auto"/>
      </w:divBdr>
    </w:div>
    <w:div w:id="893542143">
      <w:bodyDiv w:val="1"/>
      <w:marLeft w:val="0"/>
      <w:marRight w:val="0"/>
      <w:marTop w:val="0"/>
      <w:marBottom w:val="0"/>
      <w:divBdr>
        <w:top w:val="none" w:sz="0" w:space="0" w:color="auto"/>
        <w:left w:val="none" w:sz="0" w:space="0" w:color="auto"/>
        <w:bottom w:val="none" w:sz="0" w:space="0" w:color="auto"/>
        <w:right w:val="none" w:sz="0" w:space="0" w:color="auto"/>
      </w:divBdr>
    </w:div>
    <w:div w:id="997196264">
      <w:bodyDiv w:val="1"/>
      <w:marLeft w:val="0"/>
      <w:marRight w:val="0"/>
      <w:marTop w:val="0"/>
      <w:marBottom w:val="0"/>
      <w:divBdr>
        <w:top w:val="none" w:sz="0" w:space="0" w:color="auto"/>
        <w:left w:val="none" w:sz="0" w:space="0" w:color="auto"/>
        <w:bottom w:val="none" w:sz="0" w:space="0" w:color="auto"/>
        <w:right w:val="none" w:sz="0" w:space="0" w:color="auto"/>
      </w:divBdr>
    </w:div>
    <w:div w:id="1018435801">
      <w:bodyDiv w:val="1"/>
      <w:marLeft w:val="0"/>
      <w:marRight w:val="0"/>
      <w:marTop w:val="0"/>
      <w:marBottom w:val="0"/>
      <w:divBdr>
        <w:top w:val="none" w:sz="0" w:space="0" w:color="auto"/>
        <w:left w:val="none" w:sz="0" w:space="0" w:color="auto"/>
        <w:bottom w:val="none" w:sz="0" w:space="0" w:color="auto"/>
        <w:right w:val="none" w:sz="0" w:space="0" w:color="auto"/>
      </w:divBdr>
    </w:div>
    <w:div w:id="1745226282">
      <w:bodyDiv w:val="1"/>
      <w:marLeft w:val="0"/>
      <w:marRight w:val="0"/>
      <w:marTop w:val="0"/>
      <w:marBottom w:val="0"/>
      <w:divBdr>
        <w:top w:val="none" w:sz="0" w:space="0" w:color="auto"/>
        <w:left w:val="none" w:sz="0" w:space="0" w:color="auto"/>
        <w:bottom w:val="none" w:sz="0" w:space="0" w:color="auto"/>
        <w:right w:val="none" w:sz="0" w:space="0" w:color="auto"/>
      </w:divBdr>
    </w:div>
    <w:div w:id="1842505337">
      <w:bodyDiv w:val="1"/>
      <w:marLeft w:val="0"/>
      <w:marRight w:val="0"/>
      <w:marTop w:val="0"/>
      <w:marBottom w:val="0"/>
      <w:divBdr>
        <w:top w:val="none" w:sz="0" w:space="0" w:color="auto"/>
        <w:left w:val="none" w:sz="0" w:space="0" w:color="auto"/>
        <w:bottom w:val="none" w:sz="0" w:space="0" w:color="auto"/>
        <w:right w:val="none" w:sz="0" w:space="0" w:color="auto"/>
      </w:divBdr>
    </w:div>
    <w:div w:id="19064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00/928/contents/made" TargetMode="External"/><Relationship Id="rId18" Type="http://schemas.openxmlformats.org/officeDocument/2006/relationships/hyperlink" Target="https://www.gov.uk/government/publications/environmental-permitting-h3-part-2-noise-assessment-and-contr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uidance/how-youll-be-regulated-environmental-permits" TargetMode="External"/><Relationship Id="rId7" Type="http://schemas.openxmlformats.org/officeDocument/2006/relationships/styles" Target="styles.xml"/><Relationship Id="rId12" Type="http://schemas.openxmlformats.org/officeDocument/2006/relationships/hyperlink" Target="https://www.gov.uk/government/publications/rgn-2-understanding-the-meaning-of-regulated-facility" TargetMode="External"/><Relationship Id="rId17" Type="http://schemas.openxmlformats.org/officeDocument/2006/relationships/hyperlink" Target="https://www.gov.uk/government/publications/environmental-permitting-h5-site-condition-repor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collections/pollution-inventory-reporting" TargetMode="External"/><Relationship Id="rId20" Type="http://schemas.openxmlformats.org/officeDocument/2006/relationships/hyperlink" Target="https://www.gov.uk/guidance/environmental-permitting-air-dispersion-modelling-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collections/environmental-permit-application-forms-for-a-new-bespoke-permit"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s://www.gov.uk/guidance/air-emissions-risk-assessment-for-your-environmental-permit" TargetMode="Externa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gov.uk/government/publications/environmental-permitting-guidance-core-guidance--2" TargetMode="External"/><Relationship Id="rId22" Type="http://schemas.openxmlformats.org/officeDocument/2006/relationships/hyperlink" Target="https://www.gov.uk/government/publications/combustion-activities-addition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4F39980E6E4466409E7A15C1D514AAA0" ma:contentTypeVersion="43" ma:contentTypeDescription="Create a new document." ma:contentTypeScope="" ma:versionID="15ab22720128860e43a7b8de631ae166">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b8fba03f-b465-42d4-a04d-5eac66a5065f" targetNamespace="http://schemas.microsoft.com/office/2006/metadata/properties" ma:root="true" ma:fieldsID="1a9e4ba4340d4b9933af4b3b464cc17a" ns2:_="" ns3:_="" ns4:_="" ns5:_="" ns6:_="">
    <xsd:import namespace="dbe221e7-66db-4bdb-a92c-aa517c005f15"/>
    <xsd:import namespace="662745e8-e224-48e8-a2e3-254862b8c2f5"/>
    <xsd:import namespace="eebef177-55b5-4448-a5fb-28ea454417ee"/>
    <xsd:import namespace="5ffd8e36-f429-4edc-ab50-c5be84842779"/>
    <xsd:import namespace="b8fba03f-b465-42d4-a04d-5eac66a5065f"/>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SearchProperties" minOccurs="0"/>
                <xsd:element ref="ns6:MediaLengthInSecond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ba03f-b465-42d4-a04d-5eac66a5065f"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element name="MediaLengthInSeconds" ma:index="59" nillable="true" ma:displayName="MediaLengthInSeconds" ma:hidden="true" ma:internalName="MediaLengthInSeconds" ma:readOnly="true">
      <xsd:simpleType>
        <xsd:restriction base="dms:Unknown"/>
      </xsd:simpleType>
    </xsd:element>
    <xsd:element name="_Flow_SignoffStatus" ma:index="6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fba03f-b465-42d4-a04d-5eac66a5065f">
      <Terms xmlns="http://schemas.microsoft.com/office/infopath/2007/PartnerControls"/>
    </lcf76f155ced4ddcb4097134ff3c332f>
    <TaxCatchAll xmlns="662745e8-e224-48e8-a2e3-254862b8c2f5">
      <Value>41</Value>
      <Value>49</Value>
      <Value>11</Value>
      <Value>32</Value>
      <Value>14</Value>
    </TaxCatchAll>
    <EAReceivedDate xmlns="eebef177-55b5-4448-a5fb-28ea454417ee">2024-10-31T00:00:00+00:00</EAReceivedDate>
    <ga477587807b4e8dbd9d142e03c014fa xmlns="dbe221e7-66db-4bdb-a92c-aa517c005f15">
      <Terms xmlns="http://schemas.microsoft.com/office/infopath/2007/PartnerControls"/>
    </ga477587807b4e8dbd9d142e03c014fa>
    <PermitNumber xmlns="eebef177-55b5-4448-a5fb-28ea454417ee">EPR-EP3022ST</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EPR/EP3022ST</OtherReference>
    <EventLink xmlns="5ffd8e36-f429-4edc-ab50-c5be84842779" xsi:nil="true"/>
    <Customer_x002f_OperatorName xmlns="eebef177-55b5-4448-a5fb-28ea454417ee">Digital Realty (UK)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2024-10-31T00:00:00+00:00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EPR/EP3022ST</EPRNumber>
    <FacilityAddressPostcode xmlns="eebef177-55b5-4448-a5fb-28ea454417ee">RH10 9BD</FacilityAddressPostcode>
    <ed3cfd1978f244c4af5dc9d642a18018 xmlns="dbe221e7-66db-4bdb-a92c-aa517c005f15">
      <Terms xmlns="http://schemas.microsoft.com/office/infopath/2007/PartnerControls"/>
    </ed3cfd1978f244c4af5dc9d642a18018>
    <ExternalAuthor xmlns="eebef177-55b5-4448-a5fb-28ea454417ee">Applicant</ExternalAuthor>
    <SiteName xmlns="eebef177-55b5-4448-a5fb-28ea454417ee">Digital Realty Crawley Data Centre Campus</SiteName>
    <_Flow_SignoffStatus xmlns="b8fba03f-b465-42d4-a04d-5eac66a5065f" xsi:nil="tru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Unit 1 and Unit 2, Manor Royal, Crawley, RH10 9BD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1574-7567-4BD1-8B06-640DD3CFC295}"/>
</file>

<file path=customXml/itemProps2.xml><?xml version="1.0" encoding="utf-8"?>
<ds:datastoreItem xmlns:ds="http://schemas.openxmlformats.org/officeDocument/2006/customXml" ds:itemID="{A4BA9F45-CBD4-43FB-ABC5-A3EE1492E5D9}">
  <ds:schemaRefs>
    <ds:schemaRef ds:uri="http://purl.org/dc/elements/1.1/"/>
    <ds:schemaRef ds:uri="http://schemas.microsoft.com/office/2006/metadata/properties"/>
    <ds:schemaRef ds:uri="e9aa198f-3527-4b2d-be02-f86f9b700563"/>
    <ds:schemaRef ds:uri="19f9f603-4daf-4fe1-a73e-b6ade345e682"/>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e0d9919-a03b-41d6-95f9-28ef72f5b0f3"/>
    <ds:schemaRef ds:uri="http://purl.org/dc/dcmitype/"/>
  </ds:schemaRefs>
</ds:datastoreItem>
</file>

<file path=customXml/itemProps3.xml><?xml version="1.0" encoding="utf-8"?>
<ds:datastoreItem xmlns:ds="http://schemas.openxmlformats.org/officeDocument/2006/customXml" ds:itemID="{D0A534D2-684D-4C28-9088-439EBCD6990A}">
  <ds:schemaRefs>
    <ds:schemaRef ds:uri="http://schemas.microsoft.com/sharepoint/v3/contenttype/forms"/>
  </ds:schemaRefs>
</ds:datastoreItem>
</file>

<file path=customXml/itemProps4.xml><?xml version="1.0" encoding="utf-8"?>
<ds:datastoreItem xmlns:ds="http://schemas.openxmlformats.org/officeDocument/2006/customXml" ds:itemID="{5FE5EE79-4BD9-4B94-ADD9-F04B204B00BF}">
  <ds:schemaRefs>
    <ds:schemaRef ds:uri="http://schemas.microsoft.com/sharepoint/events"/>
  </ds:schemaRefs>
</ds:datastoreItem>
</file>

<file path=customXml/itemProps5.xml><?xml version="1.0" encoding="utf-8"?>
<ds:datastoreItem xmlns:ds="http://schemas.openxmlformats.org/officeDocument/2006/customXml" ds:itemID="{383AE6F2-3E93-4655-8753-DFE1B7D1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13571</Words>
  <Characters>77361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Introduction</vt:lpstr>
    </vt:vector>
  </TitlesOfParts>
  <Company>TOSHIBA</Company>
  <LinksUpToDate>false</LinksUpToDate>
  <CharactersWithSpaces>90751</CharactersWithSpaces>
  <SharedDoc>false</SharedDoc>
  <HLinks>
    <vt:vector size="462" baseType="variant">
      <vt:variant>
        <vt:i4>1507378</vt:i4>
      </vt:variant>
      <vt:variant>
        <vt:i4>461</vt:i4>
      </vt:variant>
      <vt:variant>
        <vt:i4>0</vt:i4>
      </vt:variant>
      <vt:variant>
        <vt:i4>5</vt:i4>
      </vt:variant>
      <vt:variant>
        <vt:lpwstr/>
      </vt:variant>
      <vt:variant>
        <vt:lpwstr>_Toc346100759</vt:lpwstr>
      </vt:variant>
      <vt:variant>
        <vt:i4>1507378</vt:i4>
      </vt:variant>
      <vt:variant>
        <vt:i4>455</vt:i4>
      </vt:variant>
      <vt:variant>
        <vt:i4>0</vt:i4>
      </vt:variant>
      <vt:variant>
        <vt:i4>5</vt:i4>
      </vt:variant>
      <vt:variant>
        <vt:lpwstr/>
      </vt:variant>
      <vt:variant>
        <vt:lpwstr>_Toc346100758</vt:lpwstr>
      </vt:variant>
      <vt:variant>
        <vt:i4>1507378</vt:i4>
      </vt:variant>
      <vt:variant>
        <vt:i4>449</vt:i4>
      </vt:variant>
      <vt:variant>
        <vt:i4>0</vt:i4>
      </vt:variant>
      <vt:variant>
        <vt:i4>5</vt:i4>
      </vt:variant>
      <vt:variant>
        <vt:lpwstr/>
      </vt:variant>
      <vt:variant>
        <vt:lpwstr>_Toc346100757</vt:lpwstr>
      </vt:variant>
      <vt:variant>
        <vt:i4>1507378</vt:i4>
      </vt:variant>
      <vt:variant>
        <vt:i4>443</vt:i4>
      </vt:variant>
      <vt:variant>
        <vt:i4>0</vt:i4>
      </vt:variant>
      <vt:variant>
        <vt:i4>5</vt:i4>
      </vt:variant>
      <vt:variant>
        <vt:lpwstr/>
      </vt:variant>
      <vt:variant>
        <vt:lpwstr>_Toc346100756</vt:lpwstr>
      </vt:variant>
      <vt:variant>
        <vt:i4>1507378</vt:i4>
      </vt:variant>
      <vt:variant>
        <vt:i4>437</vt:i4>
      </vt:variant>
      <vt:variant>
        <vt:i4>0</vt:i4>
      </vt:variant>
      <vt:variant>
        <vt:i4>5</vt:i4>
      </vt:variant>
      <vt:variant>
        <vt:lpwstr/>
      </vt:variant>
      <vt:variant>
        <vt:lpwstr>_Toc346100755</vt:lpwstr>
      </vt:variant>
      <vt:variant>
        <vt:i4>1507378</vt:i4>
      </vt:variant>
      <vt:variant>
        <vt:i4>431</vt:i4>
      </vt:variant>
      <vt:variant>
        <vt:i4>0</vt:i4>
      </vt:variant>
      <vt:variant>
        <vt:i4>5</vt:i4>
      </vt:variant>
      <vt:variant>
        <vt:lpwstr/>
      </vt:variant>
      <vt:variant>
        <vt:lpwstr>_Toc346100754</vt:lpwstr>
      </vt:variant>
      <vt:variant>
        <vt:i4>1507378</vt:i4>
      </vt:variant>
      <vt:variant>
        <vt:i4>425</vt:i4>
      </vt:variant>
      <vt:variant>
        <vt:i4>0</vt:i4>
      </vt:variant>
      <vt:variant>
        <vt:i4>5</vt:i4>
      </vt:variant>
      <vt:variant>
        <vt:lpwstr/>
      </vt:variant>
      <vt:variant>
        <vt:lpwstr>_Toc346100753</vt:lpwstr>
      </vt:variant>
      <vt:variant>
        <vt:i4>1507378</vt:i4>
      </vt:variant>
      <vt:variant>
        <vt:i4>419</vt:i4>
      </vt:variant>
      <vt:variant>
        <vt:i4>0</vt:i4>
      </vt:variant>
      <vt:variant>
        <vt:i4>5</vt:i4>
      </vt:variant>
      <vt:variant>
        <vt:lpwstr/>
      </vt:variant>
      <vt:variant>
        <vt:lpwstr>_Toc346100752</vt:lpwstr>
      </vt:variant>
      <vt:variant>
        <vt:i4>1507378</vt:i4>
      </vt:variant>
      <vt:variant>
        <vt:i4>413</vt:i4>
      </vt:variant>
      <vt:variant>
        <vt:i4>0</vt:i4>
      </vt:variant>
      <vt:variant>
        <vt:i4>5</vt:i4>
      </vt:variant>
      <vt:variant>
        <vt:lpwstr/>
      </vt:variant>
      <vt:variant>
        <vt:lpwstr>_Toc346100751</vt:lpwstr>
      </vt:variant>
      <vt:variant>
        <vt:i4>1507378</vt:i4>
      </vt:variant>
      <vt:variant>
        <vt:i4>407</vt:i4>
      </vt:variant>
      <vt:variant>
        <vt:i4>0</vt:i4>
      </vt:variant>
      <vt:variant>
        <vt:i4>5</vt:i4>
      </vt:variant>
      <vt:variant>
        <vt:lpwstr/>
      </vt:variant>
      <vt:variant>
        <vt:lpwstr>_Toc346100750</vt:lpwstr>
      </vt:variant>
      <vt:variant>
        <vt:i4>1441842</vt:i4>
      </vt:variant>
      <vt:variant>
        <vt:i4>401</vt:i4>
      </vt:variant>
      <vt:variant>
        <vt:i4>0</vt:i4>
      </vt:variant>
      <vt:variant>
        <vt:i4>5</vt:i4>
      </vt:variant>
      <vt:variant>
        <vt:lpwstr/>
      </vt:variant>
      <vt:variant>
        <vt:lpwstr>_Toc346100749</vt:lpwstr>
      </vt:variant>
      <vt:variant>
        <vt:i4>1441842</vt:i4>
      </vt:variant>
      <vt:variant>
        <vt:i4>395</vt:i4>
      </vt:variant>
      <vt:variant>
        <vt:i4>0</vt:i4>
      </vt:variant>
      <vt:variant>
        <vt:i4>5</vt:i4>
      </vt:variant>
      <vt:variant>
        <vt:lpwstr/>
      </vt:variant>
      <vt:variant>
        <vt:lpwstr>_Toc346100748</vt:lpwstr>
      </vt:variant>
      <vt:variant>
        <vt:i4>1441842</vt:i4>
      </vt:variant>
      <vt:variant>
        <vt:i4>389</vt:i4>
      </vt:variant>
      <vt:variant>
        <vt:i4>0</vt:i4>
      </vt:variant>
      <vt:variant>
        <vt:i4>5</vt:i4>
      </vt:variant>
      <vt:variant>
        <vt:lpwstr/>
      </vt:variant>
      <vt:variant>
        <vt:lpwstr>_Toc346100747</vt:lpwstr>
      </vt:variant>
      <vt:variant>
        <vt:i4>1441842</vt:i4>
      </vt:variant>
      <vt:variant>
        <vt:i4>383</vt:i4>
      </vt:variant>
      <vt:variant>
        <vt:i4>0</vt:i4>
      </vt:variant>
      <vt:variant>
        <vt:i4>5</vt:i4>
      </vt:variant>
      <vt:variant>
        <vt:lpwstr/>
      </vt:variant>
      <vt:variant>
        <vt:lpwstr>_Toc346100746</vt:lpwstr>
      </vt:variant>
      <vt:variant>
        <vt:i4>1441842</vt:i4>
      </vt:variant>
      <vt:variant>
        <vt:i4>377</vt:i4>
      </vt:variant>
      <vt:variant>
        <vt:i4>0</vt:i4>
      </vt:variant>
      <vt:variant>
        <vt:i4>5</vt:i4>
      </vt:variant>
      <vt:variant>
        <vt:lpwstr/>
      </vt:variant>
      <vt:variant>
        <vt:lpwstr>_Toc346100745</vt:lpwstr>
      </vt:variant>
      <vt:variant>
        <vt:i4>1441842</vt:i4>
      </vt:variant>
      <vt:variant>
        <vt:i4>371</vt:i4>
      </vt:variant>
      <vt:variant>
        <vt:i4>0</vt:i4>
      </vt:variant>
      <vt:variant>
        <vt:i4>5</vt:i4>
      </vt:variant>
      <vt:variant>
        <vt:lpwstr/>
      </vt:variant>
      <vt:variant>
        <vt:lpwstr>_Toc346100744</vt:lpwstr>
      </vt:variant>
      <vt:variant>
        <vt:i4>1441842</vt:i4>
      </vt:variant>
      <vt:variant>
        <vt:i4>365</vt:i4>
      </vt:variant>
      <vt:variant>
        <vt:i4>0</vt:i4>
      </vt:variant>
      <vt:variant>
        <vt:i4>5</vt:i4>
      </vt:variant>
      <vt:variant>
        <vt:lpwstr/>
      </vt:variant>
      <vt:variant>
        <vt:lpwstr>_Toc346100743</vt:lpwstr>
      </vt:variant>
      <vt:variant>
        <vt:i4>1441842</vt:i4>
      </vt:variant>
      <vt:variant>
        <vt:i4>359</vt:i4>
      </vt:variant>
      <vt:variant>
        <vt:i4>0</vt:i4>
      </vt:variant>
      <vt:variant>
        <vt:i4>5</vt:i4>
      </vt:variant>
      <vt:variant>
        <vt:lpwstr/>
      </vt:variant>
      <vt:variant>
        <vt:lpwstr>_Toc346100742</vt:lpwstr>
      </vt:variant>
      <vt:variant>
        <vt:i4>1441842</vt:i4>
      </vt:variant>
      <vt:variant>
        <vt:i4>353</vt:i4>
      </vt:variant>
      <vt:variant>
        <vt:i4>0</vt:i4>
      </vt:variant>
      <vt:variant>
        <vt:i4>5</vt:i4>
      </vt:variant>
      <vt:variant>
        <vt:lpwstr/>
      </vt:variant>
      <vt:variant>
        <vt:lpwstr>_Toc346100741</vt:lpwstr>
      </vt:variant>
      <vt:variant>
        <vt:i4>1441842</vt:i4>
      </vt:variant>
      <vt:variant>
        <vt:i4>344</vt:i4>
      </vt:variant>
      <vt:variant>
        <vt:i4>0</vt:i4>
      </vt:variant>
      <vt:variant>
        <vt:i4>5</vt:i4>
      </vt:variant>
      <vt:variant>
        <vt:lpwstr/>
      </vt:variant>
      <vt:variant>
        <vt:lpwstr>_Toc346100740</vt:lpwstr>
      </vt:variant>
      <vt:variant>
        <vt:i4>1114162</vt:i4>
      </vt:variant>
      <vt:variant>
        <vt:i4>338</vt:i4>
      </vt:variant>
      <vt:variant>
        <vt:i4>0</vt:i4>
      </vt:variant>
      <vt:variant>
        <vt:i4>5</vt:i4>
      </vt:variant>
      <vt:variant>
        <vt:lpwstr/>
      </vt:variant>
      <vt:variant>
        <vt:lpwstr>_Toc346100739</vt:lpwstr>
      </vt:variant>
      <vt:variant>
        <vt:i4>1114162</vt:i4>
      </vt:variant>
      <vt:variant>
        <vt:i4>332</vt:i4>
      </vt:variant>
      <vt:variant>
        <vt:i4>0</vt:i4>
      </vt:variant>
      <vt:variant>
        <vt:i4>5</vt:i4>
      </vt:variant>
      <vt:variant>
        <vt:lpwstr/>
      </vt:variant>
      <vt:variant>
        <vt:lpwstr>_Toc346100738</vt:lpwstr>
      </vt:variant>
      <vt:variant>
        <vt:i4>1114162</vt:i4>
      </vt:variant>
      <vt:variant>
        <vt:i4>326</vt:i4>
      </vt:variant>
      <vt:variant>
        <vt:i4>0</vt:i4>
      </vt:variant>
      <vt:variant>
        <vt:i4>5</vt:i4>
      </vt:variant>
      <vt:variant>
        <vt:lpwstr/>
      </vt:variant>
      <vt:variant>
        <vt:lpwstr>_Toc346100737</vt:lpwstr>
      </vt:variant>
      <vt:variant>
        <vt:i4>1114162</vt:i4>
      </vt:variant>
      <vt:variant>
        <vt:i4>320</vt:i4>
      </vt:variant>
      <vt:variant>
        <vt:i4>0</vt:i4>
      </vt:variant>
      <vt:variant>
        <vt:i4>5</vt:i4>
      </vt:variant>
      <vt:variant>
        <vt:lpwstr/>
      </vt:variant>
      <vt:variant>
        <vt:lpwstr>_Toc346100736</vt:lpwstr>
      </vt:variant>
      <vt:variant>
        <vt:i4>1114162</vt:i4>
      </vt:variant>
      <vt:variant>
        <vt:i4>314</vt:i4>
      </vt:variant>
      <vt:variant>
        <vt:i4>0</vt:i4>
      </vt:variant>
      <vt:variant>
        <vt:i4>5</vt:i4>
      </vt:variant>
      <vt:variant>
        <vt:lpwstr/>
      </vt:variant>
      <vt:variant>
        <vt:lpwstr>_Toc346100735</vt:lpwstr>
      </vt:variant>
      <vt:variant>
        <vt:i4>1114162</vt:i4>
      </vt:variant>
      <vt:variant>
        <vt:i4>308</vt:i4>
      </vt:variant>
      <vt:variant>
        <vt:i4>0</vt:i4>
      </vt:variant>
      <vt:variant>
        <vt:i4>5</vt:i4>
      </vt:variant>
      <vt:variant>
        <vt:lpwstr/>
      </vt:variant>
      <vt:variant>
        <vt:lpwstr>_Toc346100734</vt:lpwstr>
      </vt:variant>
      <vt:variant>
        <vt:i4>1114162</vt:i4>
      </vt:variant>
      <vt:variant>
        <vt:i4>302</vt:i4>
      </vt:variant>
      <vt:variant>
        <vt:i4>0</vt:i4>
      </vt:variant>
      <vt:variant>
        <vt:i4>5</vt:i4>
      </vt:variant>
      <vt:variant>
        <vt:lpwstr/>
      </vt:variant>
      <vt:variant>
        <vt:lpwstr>_Toc346100733</vt:lpwstr>
      </vt:variant>
      <vt:variant>
        <vt:i4>1114162</vt:i4>
      </vt:variant>
      <vt:variant>
        <vt:i4>296</vt:i4>
      </vt:variant>
      <vt:variant>
        <vt:i4>0</vt:i4>
      </vt:variant>
      <vt:variant>
        <vt:i4>5</vt:i4>
      </vt:variant>
      <vt:variant>
        <vt:lpwstr/>
      </vt:variant>
      <vt:variant>
        <vt:lpwstr>_Toc346100732</vt:lpwstr>
      </vt:variant>
      <vt:variant>
        <vt:i4>1114162</vt:i4>
      </vt:variant>
      <vt:variant>
        <vt:i4>290</vt:i4>
      </vt:variant>
      <vt:variant>
        <vt:i4>0</vt:i4>
      </vt:variant>
      <vt:variant>
        <vt:i4>5</vt:i4>
      </vt:variant>
      <vt:variant>
        <vt:lpwstr/>
      </vt:variant>
      <vt:variant>
        <vt:lpwstr>_Toc346100731</vt:lpwstr>
      </vt:variant>
      <vt:variant>
        <vt:i4>1114162</vt:i4>
      </vt:variant>
      <vt:variant>
        <vt:i4>284</vt:i4>
      </vt:variant>
      <vt:variant>
        <vt:i4>0</vt:i4>
      </vt:variant>
      <vt:variant>
        <vt:i4>5</vt:i4>
      </vt:variant>
      <vt:variant>
        <vt:lpwstr/>
      </vt:variant>
      <vt:variant>
        <vt:lpwstr>_Toc346100730</vt:lpwstr>
      </vt:variant>
      <vt:variant>
        <vt:i4>1048626</vt:i4>
      </vt:variant>
      <vt:variant>
        <vt:i4>278</vt:i4>
      </vt:variant>
      <vt:variant>
        <vt:i4>0</vt:i4>
      </vt:variant>
      <vt:variant>
        <vt:i4>5</vt:i4>
      </vt:variant>
      <vt:variant>
        <vt:lpwstr/>
      </vt:variant>
      <vt:variant>
        <vt:lpwstr>_Toc346100729</vt:lpwstr>
      </vt:variant>
      <vt:variant>
        <vt:i4>1048626</vt:i4>
      </vt:variant>
      <vt:variant>
        <vt:i4>272</vt:i4>
      </vt:variant>
      <vt:variant>
        <vt:i4>0</vt:i4>
      </vt:variant>
      <vt:variant>
        <vt:i4>5</vt:i4>
      </vt:variant>
      <vt:variant>
        <vt:lpwstr/>
      </vt:variant>
      <vt:variant>
        <vt:lpwstr>_Toc346100728</vt:lpwstr>
      </vt:variant>
      <vt:variant>
        <vt:i4>1048626</vt:i4>
      </vt:variant>
      <vt:variant>
        <vt:i4>266</vt:i4>
      </vt:variant>
      <vt:variant>
        <vt:i4>0</vt:i4>
      </vt:variant>
      <vt:variant>
        <vt:i4>5</vt:i4>
      </vt:variant>
      <vt:variant>
        <vt:lpwstr/>
      </vt:variant>
      <vt:variant>
        <vt:lpwstr>_Toc346100727</vt:lpwstr>
      </vt:variant>
      <vt:variant>
        <vt:i4>1048626</vt:i4>
      </vt:variant>
      <vt:variant>
        <vt:i4>260</vt:i4>
      </vt:variant>
      <vt:variant>
        <vt:i4>0</vt:i4>
      </vt:variant>
      <vt:variant>
        <vt:i4>5</vt:i4>
      </vt:variant>
      <vt:variant>
        <vt:lpwstr/>
      </vt:variant>
      <vt:variant>
        <vt:lpwstr>_Toc346100726</vt:lpwstr>
      </vt:variant>
      <vt:variant>
        <vt:i4>1048626</vt:i4>
      </vt:variant>
      <vt:variant>
        <vt:i4>254</vt:i4>
      </vt:variant>
      <vt:variant>
        <vt:i4>0</vt:i4>
      </vt:variant>
      <vt:variant>
        <vt:i4>5</vt:i4>
      </vt:variant>
      <vt:variant>
        <vt:lpwstr/>
      </vt:variant>
      <vt:variant>
        <vt:lpwstr>_Toc346100725</vt:lpwstr>
      </vt:variant>
      <vt:variant>
        <vt:i4>1048626</vt:i4>
      </vt:variant>
      <vt:variant>
        <vt:i4>248</vt:i4>
      </vt:variant>
      <vt:variant>
        <vt:i4>0</vt:i4>
      </vt:variant>
      <vt:variant>
        <vt:i4>5</vt:i4>
      </vt:variant>
      <vt:variant>
        <vt:lpwstr/>
      </vt:variant>
      <vt:variant>
        <vt:lpwstr>_Toc346100724</vt:lpwstr>
      </vt:variant>
      <vt:variant>
        <vt:i4>1048626</vt:i4>
      </vt:variant>
      <vt:variant>
        <vt:i4>242</vt:i4>
      </vt:variant>
      <vt:variant>
        <vt:i4>0</vt:i4>
      </vt:variant>
      <vt:variant>
        <vt:i4>5</vt:i4>
      </vt:variant>
      <vt:variant>
        <vt:lpwstr/>
      </vt:variant>
      <vt:variant>
        <vt:lpwstr>_Toc346100723</vt:lpwstr>
      </vt:variant>
      <vt:variant>
        <vt:i4>1048626</vt:i4>
      </vt:variant>
      <vt:variant>
        <vt:i4>236</vt:i4>
      </vt:variant>
      <vt:variant>
        <vt:i4>0</vt:i4>
      </vt:variant>
      <vt:variant>
        <vt:i4>5</vt:i4>
      </vt:variant>
      <vt:variant>
        <vt:lpwstr/>
      </vt:variant>
      <vt:variant>
        <vt:lpwstr>_Toc346100722</vt:lpwstr>
      </vt:variant>
      <vt:variant>
        <vt:i4>1048626</vt:i4>
      </vt:variant>
      <vt:variant>
        <vt:i4>230</vt:i4>
      </vt:variant>
      <vt:variant>
        <vt:i4>0</vt:i4>
      </vt:variant>
      <vt:variant>
        <vt:i4>5</vt:i4>
      </vt:variant>
      <vt:variant>
        <vt:lpwstr/>
      </vt:variant>
      <vt:variant>
        <vt:lpwstr>_Toc346100721</vt:lpwstr>
      </vt:variant>
      <vt:variant>
        <vt:i4>1048626</vt:i4>
      </vt:variant>
      <vt:variant>
        <vt:i4>224</vt:i4>
      </vt:variant>
      <vt:variant>
        <vt:i4>0</vt:i4>
      </vt:variant>
      <vt:variant>
        <vt:i4>5</vt:i4>
      </vt:variant>
      <vt:variant>
        <vt:lpwstr/>
      </vt:variant>
      <vt:variant>
        <vt:lpwstr>_Toc346100720</vt:lpwstr>
      </vt:variant>
      <vt:variant>
        <vt:i4>1245234</vt:i4>
      </vt:variant>
      <vt:variant>
        <vt:i4>218</vt:i4>
      </vt:variant>
      <vt:variant>
        <vt:i4>0</vt:i4>
      </vt:variant>
      <vt:variant>
        <vt:i4>5</vt:i4>
      </vt:variant>
      <vt:variant>
        <vt:lpwstr/>
      </vt:variant>
      <vt:variant>
        <vt:lpwstr>_Toc346100719</vt:lpwstr>
      </vt:variant>
      <vt:variant>
        <vt:i4>1245234</vt:i4>
      </vt:variant>
      <vt:variant>
        <vt:i4>212</vt:i4>
      </vt:variant>
      <vt:variant>
        <vt:i4>0</vt:i4>
      </vt:variant>
      <vt:variant>
        <vt:i4>5</vt:i4>
      </vt:variant>
      <vt:variant>
        <vt:lpwstr/>
      </vt:variant>
      <vt:variant>
        <vt:lpwstr>_Toc346100718</vt:lpwstr>
      </vt:variant>
      <vt:variant>
        <vt:i4>1245234</vt:i4>
      </vt:variant>
      <vt:variant>
        <vt:i4>206</vt:i4>
      </vt:variant>
      <vt:variant>
        <vt:i4>0</vt:i4>
      </vt:variant>
      <vt:variant>
        <vt:i4>5</vt:i4>
      </vt:variant>
      <vt:variant>
        <vt:lpwstr/>
      </vt:variant>
      <vt:variant>
        <vt:lpwstr>_Toc346100717</vt:lpwstr>
      </vt:variant>
      <vt:variant>
        <vt:i4>1245234</vt:i4>
      </vt:variant>
      <vt:variant>
        <vt:i4>200</vt:i4>
      </vt:variant>
      <vt:variant>
        <vt:i4>0</vt:i4>
      </vt:variant>
      <vt:variant>
        <vt:i4>5</vt:i4>
      </vt:variant>
      <vt:variant>
        <vt:lpwstr/>
      </vt:variant>
      <vt:variant>
        <vt:lpwstr>_Toc346100716</vt:lpwstr>
      </vt:variant>
      <vt:variant>
        <vt:i4>1245234</vt:i4>
      </vt:variant>
      <vt:variant>
        <vt:i4>194</vt:i4>
      </vt:variant>
      <vt:variant>
        <vt:i4>0</vt:i4>
      </vt:variant>
      <vt:variant>
        <vt:i4>5</vt:i4>
      </vt:variant>
      <vt:variant>
        <vt:lpwstr/>
      </vt:variant>
      <vt:variant>
        <vt:lpwstr>_Toc346100715</vt:lpwstr>
      </vt:variant>
      <vt:variant>
        <vt:i4>1245234</vt:i4>
      </vt:variant>
      <vt:variant>
        <vt:i4>188</vt:i4>
      </vt:variant>
      <vt:variant>
        <vt:i4>0</vt:i4>
      </vt:variant>
      <vt:variant>
        <vt:i4>5</vt:i4>
      </vt:variant>
      <vt:variant>
        <vt:lpwstr/>
      </vt:variant>
      <vt:variant>
        <vt:lpwstr>_Toc346100714</vt:lpwstr>
      </vt:variant>
      <vt:variant>
        <vt:i4>1245234</vt:i4>
      </vt:variant>
      <vt:variant>
        <vt:i4>182</vt:i4>
      </vt:variant>
      <vt:variant>
        <vt:i4>0</vt:i4>
      </vt:variant>
      <vt:variant>
        <vt:i4>5</vt:i4>
      </vt:variant>
      <vt:variant>
        <vt:lpwstr/>
      </vt:variant>
      <vt:variant>
        <vt:lpwstr>_Toc346100713</vt:lpwstr>
      </vt:variant>
      <vt:variant>
        <vt:i4>1245234</vt:i4>
      </vt:variant>
      <vt:variant>
        <vt:i4>176</vt:i4>
      </vt:variant>
      <vt:variant>
        <vt:i4>0</vt:i4>
      </vt:variant>
      <vt:variant>
        <vt:i4>5</vt:i4>
      </vt:variant>
      <vt:variant>
        <vt:lpwstr/>
      </vt:variant>
      <vt:variant>
        <vt:lpwstr>_Toc346100712</vt:lpwstr>
      </vt:variant>
      <vt:variant>
        <vt:i4>1245234</vt:i4>
      </vt:variant>
      <vt:variant>
        <vt:i4>170</vt:i4>
      </vt:variant>
      <vt:variant>
        <vt:i4>0</vt:i4>
      </vt:variant>
      <vt:variant>
        <vt:i4>5</vt:i4>
      </vt:variant>
      <vt:variant>
        <vt:lpwstr/>
      </vt:variant>
      <vt:variant>
        <vt:lpwstr>_Toc346100711</vt:lpwstr>
      </vt:variant>
      <vt:variant>
        <vt:i4>1245234</vt:i4>
      </vt:variant>
      <vt:variant>
        <vt:i4>164</vt:i4>
      </vt:variant>
      <vt:variant>
        <vt:i4>0</vt:i4>
      </vt:variant>
      <vt:variant>
        <vt:i4>5</vt:i4>
      </vt:variant>
      <vt:variant>
        <vt:lpwstr/>
      </vt:variant>
      <vt:variant>
        <vt:lpwstr>_Toc346100710</vt:lpwstr>
      </vt:variant>
      <vt:variant>
        <vt:i4>1179698</vt:i4>
      </vt:variant>
      <vt:variant>
        <vt:i4>158</vt:i4>
      </vt:variant>
      <vt:variant>
        <vt:i4>0</vt:i4>
      </vt:variant>
      <vt:variant>
        <vt:i4>5</vt:i4>
      </vt:variant>
      <vt:variant>
        <vt:lpwstr/>
      </vt:variant>
      <vt:variant>
        <vt:lpwstr>_Toc346100709</vt:lpwstr>
      </vt:variant>
      <vt:variant>
        <vt:i4>1179698</vt:i4>
      </vt:variant>
      <vt:variant>
        <vt:i4>152</vt:i4>
      </vt:variant>
      <vt:variant>
        <vt:i4>0</vt:i4>
      </vt:variant>
      <vt:variant>
        <vt:i4>5</vt:i4>
      </vt:variant>
      <vt:variant>
        <vt:lpwstr/>
      </vt:variant>
      <vt:variant>
        <vt:lpwstr>_Toc346100708</vt:lpwstr>
      </vt:variant>
      <vt:variant>
        <vt:i4>1179698</vt:i4>
      </vt:variant>
      <vt:variant>
        <vt:i4>146</vt:i4>
      </vt:variant>
      <vt:variant>
        <vt:i4>0</vt:i4>
      </vt:variant>
      <vt:variant>
        <vt:i4>5</vt:i4>
      </vt:variant>
      <vt:variant>
        <vt:lpwstr/>
      </vt:variant>
      <vt:variant>
        <vt:lpwstr>_Toc346100707</vt:lpwstr>
      </vt:variant>
      <vt:variant>
        <vt:i4>1179698</vt:i4>
      </vt:variant>
      <vt:variant>
        <vt:i4>140</vt:i4>
      </vt:variant>
      <vt:variant>
        <vt:i4>0</vt:i4>
      </vt:variant>
      <vt:variant>
        <vt:i4>5</vt:i4>
      </vt:variant>
      <vt:variant>
        <vt:lpwstr/>
      </vt:variant>
      <vt:variant>
        <vt:lpwstr>_Toc346100706</vt:lpwstr>
      </vt:variant>
      <vt:variant>
        <vt:i4>1179698</vt:i4>
      </vt:variant>
      <vt:variant>
        <vt:i4>134</vt:i4>
      </vt:variant>
      <vt:variant>
        <vt:i4>0</vt:i4>
      </vt:variant>
      <vt:variant>
        <vt:i4>5</vt:i4>
      </vt:variant>
      <vt:variant>
        <vt:lpwstr/>
      </vt:variant>
      <vt:variant>
        <vt:lpwstr>_Toc346100705</vt:lpwstr>
      </vt:variant>
      <vt:variant>
        <vt:i4>1179698</vt:i4>
      </vt:variant>
      <vt:variant>
        <vt:i4>128</vt:i4>
      </vt:variant>
      <vt:variant>
        <vt:i4>0</vt:i4>
      </vt:variant>
      <vt:variant>
        <vt:i4>5</vt:i4>
      </vt:variant>
      <vt:variant>
        <vt:lpwstr/>
      </vt:variant>
      <vt:variant>
        <vt:lpwstr>_Toc346100704</vt:lpwstr>
      </vt:variant>
      <vt:variant>
        <vt:i4>1179698</vt:i4>
      </vt:variant>
      <vt:variant>
        <vt:i4>122</vt:i4>
      </vt:variant>
      <vt:variant>
        <vt:i4>0</vt:i4>
      </vt:variant>
      <vt:variant>
        <vt:i4>5</vt:i4>
      </vt:variant>
      <vt:variant>
        <vt:lpwstr/>
      </vt:variant>
      <vt:variant>
        <vt:lpwstr>_Toc346100703</vt:lpwstr>
      </vt:variant>
      <vt:variant>
        <vt:i4>1179698</vt:i4>
      </vt:variant>
      <vt:variant>
        <vt:i4>116</vt:i4>
      </vt:variant>
      <vt:variant>
        <vt:i4>0</vt:i4>
      </vt:variant>
      <vt:variant>
        <vt:i4>5</vt:i4>
      </vt:variant>
      <vt:variant>
        <vt:lpwstr/>
      </vt:variant>
      <vt:variant>
        <vt:lpwstr>_Toc346100702</vt:lpwstr>
      </vt:variant>
      <vt:variant>
        <vt:i4>1179698</vt:i4>
      </vt:variant>
      <vt:variant>
        <vt:i4>110</vt:i4>
      </vt:variant>
      <vt:variant>
        <vt:i4>0</vt:i4>
      </vt:variant>
      <vt:variant>
        <vt:i4>5</vt:i4>
      </vt:variant>
      <vt:variant>
        <vt:lpwstr/>
      </vt:variant>
      <vt:variant>
        <vt:lpwstr>_Toc346100701</vt:lpwstr>
      </vt:variant>
      <vt:variant>
        <vt:i4>1179698</vt:i4>
      </vt:variant>
      <vt:variant>
        <vt:i4>104</vt:i4>
      </vt:variant>
      <vt:variant>
        <vt:i4>0</vt:i4>
      </vt:variant>
      <vt:variant>
        <vt:i4>5</vt:i4>
      </vt:variant>
      <vt:variant>
        <vt:lpwstr/>
      </vt:variant>
      <vt:variant>
        <vt:lpwstr>_Toc346100700</vt:lpwstr>
      </vt:variant>
      <vt:variant>
        <vt:i4>1769523</vt:i4>
      </vt:variant>
      <vt:variant>
        <vt:i4>98</vt:i4>
      </vt:variant>
      <vt:variant>
        <vt:i4>0</vt:i4>
      </vt:variant>
      <vt:variant>
        <vt:i4>5</vt:i4>
      </vt:variant>
      <vt:variant>
        <vt:lpwstr/>
      </vt:variant>
      <vt:variant>
        <vt:lpwstr>_Toc346100699</vt:lpwstr>
      </vt:variant>
      <vt:variant>
        <vt:i4>1769523</vt:i4>
      </vt:variant>
      <vt:variant>
        <vt:i4>92</vt:i4>
      </vt:variant>
      <vt:variant>
        <vt:i4>0</vt:i4>
      </vt:variant>
      <vt:variant>
        <vt:i4>5</vt:i4>
      </vt:variant>
      <vt:variant>
        <vt:lpwstr/>
      </vt:variant>
      <vt:variant>
        <vt:lpwstr>_Toc346100698</vt:lpwstr>
      </vt:variant>
      <vt:variant>
        <vt:i4>1769523</vt:i4>
      </vt:variant>
      <vt:variant>
        <vt:i4>86</vt:i4>
      </vt:variant>
      <vt:variant>
        <vt:i4>0</vt:i4>
      </vt:variant>
      <vt:variant>
        <vt:i4>5</vt:i4>
      </vt:variant>
      <vt:variant>
        <vt:lpwstr/>
      </vt:variant>
      <vt:variant>
        <vt:lpwstr>_Toc346100697</vt:lpwstr>
      </vt:variant>
      <vt:variant>
        <vt:i4>1769523</vt:i4>
      </vt:variant>
      <vt:variant>
        <vt:i4>80</vt:i4>
      </vt:variant>
      <vt:variant>
        <vt:i4>0</vt:i4>
      </vt:variant>
      <vt:variant>
        <vt:i4>5</vt:i4>
      </vt:variant>
      <vt:variant>
        <vt:lpwstr/>
      </vt:variant>
      <vt:variant>
        <vt:lpwstr>_Toc346100696</vt:lpwstr>
      </vt:variant>
      <vt:variant>
        <vt:i4>1769523</vt:i4>
      </vt:variant>
      <vt:variant>
        <vt:i4>74</vt:i4>
      </vt:variant>
      <vt:variant>
        <vt:i4>0</vt:i4>
      </vt:variant>
      <vt:variant>
        <vt:i4>5</vt:i4>
      </vt:variant>
      <vt:variant>
        <vt:lpwstr/>
      </vt:variant>
      <vt:variant>
        <vt:lpwstr>_Toc346100695</vt:lpwstr>
      </vt:variant>
      <vt:variant>
        <vt:i4>1769523</vt:i4>
      </vt:variant>
      <vt:variant>
        <vt:i4>68</vt:i4>
      </vt:variant>
      <vt:variant>
        <vt:i4>0</vt:i4>
      </vt:variant>
      <vt:variant>
        <vt:i4>5</vt:i4>
      </vt:variant>
      <vt:variant>
        <vt:lpwstr/>
      </vt:variant>
      <vt:variant>
        <vt:lpwstr>_Toc346100694</vt:lpwstr>
      </vt:variant>
      <vt:variant>
        <vt:i4>1769523</vt:i4>
      </vt:variant>
      <vt:variant>
        <vt:i4>62</vt:i4>
      </vt:variant>
      <vt:variant>
        <vt:i4>0</vt:i4>
      </vt:variant>
      <vt:variant>
        <vt:i4>5</vt:i4>
      </vt:variant>
      <vt:variant>
        <vt:lpwstr/>
      </vt:variant>
      <vt:variant>
        <vt:lpwstr>_Toc346100693</vt:lpwstr>
      </vt:variant>
      <vt:variant>
        <vt:i4>1769523</vt:i4>
      </vt:variant>
      <vt:variant>
        <vt:i4>56</vt:i4>
      </vt:variant>
      <vt:variant>
        <vt:i4>0</vt:i4>
      </vt:variant>
      <vt:variant>
        <vt:i4>5</vt:i4>
      </vt:variant>
      <vt:variant>
        <vt:lpwstr/>
      </vt:variant>
      <vt:variant>
        <vt:lpwstr>_Toc346100692</vt:lpwstr>
      </vt:variant>
      <vt:variant>
        <vt:i4>1769523</vt:i4>
      </vt:variant>
      <vt:variant>
        <vt:i4>50</vt:i4>
      </vt:variant>
      <vt:variant>
        <vt:i4>0</vt:i4>
      </vt:variant>
      <vt:variant>
        <vt:i4>5</vt:i4>
      </vt:variant>
      <vt:variant>
        <vt:lpwstr/>
      </vt:variant>
      <vt:variant>
        <vt:lpwstr>_Toc346100691</vt:lpwstr>
      </vt:variant>
      <vt:variant>
        <vt:i4>1769523</vt:i4>
      </vt:variant>
      <vt:variant>
        <vt:i4>44</vt:i4>
      </vt:variant>
      <vt:variant>
        <vt:i4>0</vt:i4>
      </vt:variant>
      <vt:variant>
        <vt:i4>5</vt:i4>
      </vt:variant>
      <vt:variant>
        <vt:lpwstr/>
      </vt:variant>
      <vt:variant>
        <vt:lpwstr>_Toc346100690</vt:lpwstr>
      </vt:variant>
      <vt:variant>
        <vt:i4>1703987</vt:i4>
      </vt:variant>
      <vt:variant>
        <vt:i4>38</vt:i4>
      </vt:variant>
      <vt:variant>
        <vt:i4>0</vt:i4>
      </vt:variant>
      <vt:variant>
        <vt:i4>5</vt:i4>
      </vt:variant>
      <vt:variant>
        <vt:lpwstr/>
      </vt:variant>
      <vt:variant>
        <vt:lpwstr>_Toc346100689</vt:lpwstr>
      </vt:variant>
      <vt:variant>
        <vt:i4>1703987</vt:i4>
      </vt:variant>
      <vt:variant>
        <vt:i4>32</vt:i4>
      </vt:variant>
      <vt:variant>
        <vt:i4>0</vt:i4>
      </vt:variant>
      <vt:variant>
        <vt:i4>5</vt:i4>
      </vt:variant>
      <vt:variant>
        <vt:lpwstr/>
      </vt:variant>
      <vt:variant>
        <vt:lpwstr>_Toc346100688</vt:lpwstr>
      </vt:variant>
      <vt:variant>
        <vt:i4>1703987</vt:i4>
      </vt:variant>
      <vt:variant>
        <vt:i4>26</vt:i4>
      </vt:variant>
      <vt:variant>
        <vt:i4>0</vt:i4>
      </vt:variant>
      <vt:variant>
        <vt:i4>5</vt:i4>
      </vt:variant>
      <vt:variant>
        <vt:lpwstr/>
      </vt:variant>
      <vt:variant>
        <vt:lpwstr>_Toc346100687</vt:lpwstr>
      </vt:variant>
      <vt:variant>
        <vt:i4>1703987</vt:i4>
      </vt:variant>
      <vt:variant>
        <vt:i4>20</vt:i4>
      </vt:variant>
      <vt:variant>
        <vt:i4>0</vt:i4>
      </vt:variant>
      <vt:variant>
        <vt:i4>5</vt:i4>
      </vt:variant>
      <vt:variant>
        <vt:lpwstr/>
      </vt:variant>
      <vt:variant>
        <vt:lpwstr>_Toc346100686</vt:lpwstr>
      </vt:variant>
      <vt:variant>
        <vt:i4>1703987</vt:i4>
      </vt:variant>
      <vt:variant>
        <vt:i4>14</vt:i4>
      </vt:variant>
      <vt:variant>
        <vt:i4>0</vt:i4>
      </vt:variant>
      <vt:variant>
        <vt:i4>5</vt:i4>
      </vt:variant>
      <vt:variant>
        <vt:lpwstr/>
      </vt:variant>
      <vt:variant>
        <vt:lpwstr>_Toc346100685</vt:lpwstr>
      </vt:variant>
      <vt:variant>
        <vt:i4>1703987</vt:i4>
      </vt:variant>
      <vt:variant>
        <vt:i4>8</vt:i4>
      </vt:variant>
      <vt:variant>
        <vt:i4>0</vt:i4>
      </vt:variant>
      <vt:variant>
        <vt:i4>5</vt:i4>
      </vt:variant>
      <vt:variant>
        <vt:lpwstr/>
      </vt:variant>
      <vt:variant>
        <vt:lpwstr>_Toc346100684</vt:lpwstr>
      </vt:variant>
      <vt:variant>
        <vt:i4>1703987</vt:i4>
      </vt:variant>
      <vt:variant>
        <vt:i4>2</vt:i4>
      </vt:variant>
      <vt:variant>
        <vt:i4>0</vt:i4>
      </vt:variant>
      <vt:variant>
        <vt:i4>5</vt:i4>
      </vt:variant>
      <vt:variant>
        <vt:lpwstr/>
      </vt:variant>
      <vt:variant>
        <vt:lpwstr>_Toc346100683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HTee</dc:creator>
  <cp:keywords/>
  <dc:description/>
  <cp:lastModifiedBy>Rachel Skinner</cp:lastModifiedBy>
  <cp:revision>6</cp:revision>
  <cp:lastPrinted>2016-03-30T14:48:00Z</cp:lastPrinted>
  <dcterms:created xsi:type="dcterms:W3CDTF">2018-06-22T07:29:00Z</dcterms:created>
  <dcterms:modified xsi:type="dcterms:W3CDTF">2023-03-31T17:14:00Z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0x0101000E9AD557692E154F9D2697C8C6432F76004F39980E6E4466409E7A15C1D514AAA0</vt:lpwstr>
  </property>
  <property fmtid="{D5CDD505-2E9C-101B-9397-08002B2CF9AE}" pid="4" name="_dlc_DocIdItemGuid">
    <vt:lpwstr>21c800e3-ed17-493a-a85b-4b4c1b62b9c2</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SetDate">
    <vt:lpwstr>2022-12-27T13:16:51Z</vt:lpwstr>
  </property>
  <property fmtid="{D5CDD505-2E9C-101B-9397-08002B2CF9AE}" pid="14" name="MSIP_Label_e463cba9-5f6c-478d-9329-7b2295e4e8ed_Name">
    <vt:lpwstr>Atos For Internal Use \ Atos For Internal Use - All Employees</vt:lpwstr>
  </property>
  <property fmtid="{D5CDD505-2E9C-101B-9397-08002B2CF9AE}" pid="15" name="MSIP_Label_e463cba9-5f6c-478d-9329-7b2295e4e8ed_ActionId">
    <vt:lpwstr>aad99cdc-09f5-48bf-b1cc-b49537aa41b1</vt:lpwstr>
  </property>
  <property fmtid="{D5CDD505-2E9C-101B-9397-08002B2CF9AE}" pid="16" name="MSIP_Label_e463cba9-5f6c-478d-9329-7b2295e4e8ed_Removed">
    <vt:lpwstr>False</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Standard</vt:lpwstr>
  </property>
  <property fmtid="{D5CDD505-2E9C-101B-9397-08002B2CF9AE}" pid="19" name="MSIP_Label_112e00b9-34e2-4b26-a577-af1fd0f9f7ee_Enabled">
    <vt:lpwstr>True</vt:lpwstr>
  </property>
  <property fmtid="{D5CDD505-2E9C-101B-9397-08002B2CF9AE}" pid="20" name="MSIP_Label_112e00b9-34e2-4b26-a577-af1fd0f9f7ee_SiteId">
    <vt:lpwstr>33440fc6-b7c7-412c-bb73-0e70b0198d5a</vt:lpwstr>
  </property>
  <property fmtid="{D5CDD505-2E9C-101B-9397-08002B2CF9AE}" pid="21" name="MSIP_Label_112e00b9-34e2-4b26-a577-af1fd0f9f7ee_SetDate">
    <vt:lpwstr>2022-12-27T13:16:51Z</vt:lpwstr>
  </property>
  <property fmtid="{D5CDD505-2E9C-101B-9397-08002B2CF9AE}" pid="22" name="MSIP_Label_112e00b9-34e2-4b26-a577-af1fd0f9f7ee_Name">
    <vt:lpwstr>Atos For Internal Use</vt:lpwstr>
  </property>
  <property fmtid="{D5CDD505-2E9C-101B-9397-08002B2CF9AE}" pid="23" name="MSIP_Label_112e00b9-34e2-4b26-a577-af1fd0f9f7ee_ActionId">
    <vt:lpwstr>a7408bc6-35b5-47af-b0ea-2dcd937ce3f0</vt:lpwstr>
  </property>
  <property fmtid="{D5CDD505-2E9C-101B-9397-08002B2CF9AE}" pid="24" name="MSIP_Label_112e00b9-34e2-4b26-a577-af1fd0f9f7ee_Extended_MSFT_Method">
    <vt:lpwstr>Standard</vt:lpwstr>
  </property>
  <property fmtid="{D5CDD505-2E9C-101B-9397-08002B2CF9AE}" pid="25" name="Sensitivity">
    <vt:lpwstr>Atos For Internal Use \ Atos For Internal Use - All Employees Atos For Internal Use</vt:lpwstr>
  </property>
  <property fmtid="{D5CDD505-2E9C-101B-9397-08002B2CF9AE}" pid="26" name="MediaServiceImageTags">
    <vt:lpwstr/>
  </property>
  <property fmtid="{D5CDD505-2E9C-101B-9397-08002B2CF9AE}" pid="27" name="PermitDocumentType">
    <vt:lpwstr/>
  </property>
  <property fmtid="{D5CDD505-2E9C-101B-9397-08002B2CF9AE}" pid="28" name="TypeofPermit">
    <vt:lpwstr>32;#Bespoke|743fbb82-64b4-442a-8bac-afa632175399</vt:lpwstr>
  </property>
  <property fmtid="{D5CDD505-2E9C-101B-9397-08002B2CF9AE}" pid="29" name="DisclosureStatus">
    <vt:lpwstr>41;#Public Register|f1fcf6a6-5d97-4f1d-964e-a2f916eb1f18</vt:lpwstr>
  </property>
  <property fmtid="{D5CDD505-2E9C-101B-9397-08002B2CF9AE}" pid="30" name="ActivityGrouping">
    <vt:lpwstr>14;#Application ＆ Associated Docs|5eadfd3c-6deb-44e1-b7e1-16accd427bec</vt:lpwstr>
  </property>
  <property fmtid="{D5CDD505-2E9C-101B-9397-08002B2CF9AE}" pid="31" name="Catchment">
    <vt:lpwstr/>
  </property>
  <property fmtid="{D5CDD505-2E9C-101B-9397-08002B2CF9AE}" pid="32" name="MajorProjectID">
    <vt:lpwstr/>
  </property>
  <property fmtid="{D5CDD505-2E9C-101B-9397-08002B2CF9AE}" pid="33" name="StandardRulesID">
    <vt:lpwstr/>
  </property>
  <property fmtid="{D5CDD505-2E9C-101B-9397-08002B2CF9AE}" pid="34" name="CessationStatus">
    <vt:lpwstr/>
  </property>
  <property fmtid="{D5CDD505-2E9C-101B-9397-08002B2CF9AE}" pid="35" name="Regime">
    <vt:lpwstr>11;#EPR|0e5af97d-1a8c-4d8f-a20b-528a11cab1f6</vt:lpwstr>
  </property>
  <property fmtid="{D5CDD505-2E9C-101B-9397-08002B2CF9AE}" pid="36" name="RegulatedActivitySub-Class">
    <vt:lpwstr/>
  </property>
  <property fmtid="{D5CDD505-2E9C-101B-9397-08002B2CF9AE}" pid="37" name="EventType1">
    <vt:lpwstr/>
  </property>
  <property fmtid="{D5CDD505-2E9C-101B-9397-08002B2CF9AE}" pid="38" name="RegulatedActivityClass">
    <vt:lpwstr>49;#Installations|645f1c9c-65df-490a-9ce3-4a2aa7c5ff7f</vt:lpwstr>
  </property>
  <property fmtid="{D5CDD505-2E9C-101B-9397-08002B2CF9AE}" pid="39" name="RegulatedActivitySub_x002d_Class">
    <vt:lpwstr/>
  </property>
</Properties>
</file>