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7DF6" w14:textId="776EBA99" w:rsidR="00F3020C" w:rsidRDefault="003D7073">
      <w:r>
        <w:rPr>
          <w:noProof/>
        </w:rPr>
        <w:drawing>
          <wp:anchor distT="0" distB="0" distL="114300" distR="114300" simplePos="0" relativeHeight="251658240" behindDoc="0" locked="0" layoutInCell="1" allowOverlap="1" wp14:anchorId="4884B19F" wp14:editId="08E3F806">
            <wp:simplePos x="0" y="0"/>
            <wp:positionH relativeFrom="margin">
              <wp:posOffset>748665</wp:posOffset>
            </wp:positionH>
            <wp:positionV relativeFrom="paragraph">
              <wp:posOffset>123825</wp:posOffset>
            </wp:positionV>
            <wp:extent cx="4006380" cy="923925"/>
            <wp:effectExtent l="0" t="0" r="0" b="0"/>
            <wp:wrapNone/>
            <wp:docPr id="1402455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38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CA75C" w14:textId="77777777" w:rsidR="003D7073" w:rsidRPr="003D7073" w:rsidRDefault="003D7073" w:rsidP="003D7073"/>
    <w:p w14:paraId="6B28914E" w14:textId="77777777" w:rsidR="003D7073" w:rsidRPr="003D7073" w:rsidRDefault="003D7073" w:rsidP="003D7073"/>
    <w:p w14:paraId="620949EA" w14:textId="77777777" w:rsidR="003D7073" w:rsidRPr="003D7073" w:rsidRDefault="003D7073" w:rsidP="003D7073"/>
    <w:p w14:paraId="63ABC790" w14:textId="77777777" w:rsidR="003D7073" w:rsidRPr="003D7073" w:rsidRDefault="003D7073" w:rsidP="003D7073"/>
    <w:p w14:paraId="74E32324" w14:textId="3939587B" w:rsidR="003D7073" w:rsidRDefault="003D7073" w:rsidP="003D7073">
      <w:pPr>
        <w:pStyle w:val="ListParagraph"/>
        <w:jc w:val="center"/>
        <w:rPr>
          <w:b/>
          <w:bCs/>
          <w:u w:val="single"/>
        </w:rPr>
      </w:pPr>
      <w:r w:rsidRPr="003D7073">
        <w:rPr>
          <w:b/>
          <w:bCs/>
          <w:u w:val="single"/>
        </w:rPr>
        <w:t>Non-technical Summary.</w:t>
      </w:r>
    </w:p>
    <w:p w14:paraId="5F4CB632" w14:textId="77777777" w:rsidR="003D7073" w:rsidRDefault="003D7073" w:rsidP="003D7073">
      <w:pPr>
        <w:pStyle w:val="ListParagraph"/>
        <w:rPr>
          <w:b/>
          <w:bCs/>
          <w:u w:val="single"/>
        </w:rPr>
      </w:pPr>
    </w:p>
    <w:p w14:paraId="39613046" w14:textId="77777777" w:rsidR="003D7073" w:rsidRDefault="003D7073" w:rsidP="003D7073">
      <w:pPr>
        <w:pStyle w:val="ListParagraph"/>
        <w:rPr>
          <w:b/>
          <w:bCs/>
          <w:u w:val="single"/>
        </w:rPr>
      </w:pPr>
    </w:p>
    <w:p w14:paraId="3AFE0D69" w14:textId="460B2135" w:rsidR="003D7073" w:rsidRDefault="003D7073" w:rsidP="003D707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Introductory Note</w:t>
      </w:r>
    </w:p>
    <w:p w14:paraId="058E0D78" w14:textId="77777777" w:rsidR="003D7073" w:rsidRDefault="003D7073" w:rsidP="003D7073">
      <w:pPr>
        <w:pStyle w:val="ListParagraph"/>
        <w:spacing w:after="0"/>
        <w:jc w:val="both"/>
      </w:pPr>
    </w:p>
    <w:p w14:paraId="4A8A77F5" w14:textId="073853D3" w:rsidR="003D7073" w:rsidRDefault="003D7073" w:rsidP="003D7073">
      <w:pPr>
        <w:pStyle w:val="ListParagraph"/>
        <w:spacing w:after="0"/>
        <w:jc w:val="both"/>
      </w:pPr>
      <w:r>
        <w:t>This non-technical summary accompanies the permit application for a bespoke permit for Archimedes Metals Ltd, a metals recycling site based at 9-10 Ackworth Road, Hilsea, Portsmouth</w:t>
      </w:r>
      <w:r w:rsidR="00136682">
        <w:t xml:space="preserve"> </w:t>
      </w:r>
      <w:r>
        <w:t>PO3 5NS.</w:t>
      </w:r>
    </w:p>
    <w:p w14:paraId="3D8E9402" w14:textId="77777777" w:rsidR="003D7073" w:rsidRDefault="003D7073" w:rsidP="003D7073">
      <w:pPr>
        <w:pStyle w:val="ListParagraph"/>
        <w:spacing w:after="0"/>
        <w:jc w:val="both"/>
      </w:pPr>
    </w:p>
    <w:p w14:paraId="65F1B7C9" w14:textId="07EAF006" w:rsidR="003D7073" w:rsidRDefault="003D7073" w:rsidP="003D7073">
      <w:pPr>
        <w:pStyle w:val="ListParagraph"/>
        <w:spacing w:after="0"/>
        <w:jc w:val="both"/>
      </w:pPr>
      <w:r>
        <w:t xml:space="preserve">The company have been operating under a T9 exemption but due to changes with the environmental permitting regime they are now required to obtain an environmental permit. </w:t>
      </w:r>
    </w:p>
    <w:p w14:paraId="021350D3" w14:textId="77777777" w:rsidR="003D7073" w:rsidRDefault="003D7073" w:rsidP="003D7073">
      <w:pPr>
        <w:pStyle w:val="ListParagraph"/>
        <w:spacing w:after="0"/>
        <w:jc w:val="both"/>
      </w:pPr>
    </w:p>
    <w:p w14:paraId="23A245DE" w14:textId="1CD8A61C" w:rsidR="003D7073" w:rsidRDefault="003D7073" w:rsidP="003D7073">
      <w:pPr>
        <w:pStyle w:val="ListParagraph"/>
        <w:spacing w:after="0"/>
        <w:jc w:val="both"/>
      </w:pPr>
      <w:r>
        <w:t xml:space="preserve">Due to their proximity </w:t>
      </w:r>
      <w:r w:rsidR="009C581D">
        <w:t xml:space="preserve">(approximately 900m) </w:t>
      </w:r>
      <w:r>
        <w:t>to Chichester and Langstone Harbour SSSI, SPA and RAMSAR sites the company are required to apply for a bespoke permit.</w:t>
      </w:r>
    </w:p>
    <w:p w14:paraId="4C116D15" w14:textId="77777777" w:rsidR="003D7073" w:rsidRDefault="003D7073" w:rsidP="003D7073">
      <w:pPr>
        <w:pStyle w:val="ListParagraph"/>
        <w:spacing w:after="0"/>
        <w:jc w:val="both"/>
      </w:pPr>
    </w:p>
    <w:p w14:paraId="2DE62A0B" w14:textId="6FAEADC5" w:rsidR="003D7073" w:rsidRPr="003D7073" w:rsidRDefault="003D7073" w:rsidP="003D7073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3D7073">
        <w:rPr>
          <w:b/>
          <w:bCs/>
          <w:u w:val="single"/>
        </w:rPr>
        <w:t>Site activities</w:t>
      </w:r>
    </w:p>
    <w:p w14:paraId="389434EA" w14:textId="77777777" w:rsidR="003D7073" w:rsidRDefault="003D7073" w:rsidP="003D7073">
      <w:pPr>
        <w:pStyle w:val="ListParagraph"/>
        <w:spacing w:after="0"/>
        <w:jc w:val="both"/>
      </w:pPr>
    </w:p>
    <w:p w14:paraId="4CD4ECB1" w14:textId="3E00ED73" w:rsidR="003D7073" w:rsidRDefault="003D7073" w:rsidP="003D7073">
      <w:pPr>
        <w:pStyle w:val="ListParagraph"/>
        <w:spacing w:after="0"/>
        <w:jc w:val="both"/>
      </w:pPr>
      <w:r>
        <w:t>The site intends to continue to operate as they have under the T9 exemption treating the same wastes in the same way. This includes a range of non-ferrous and ferrous metals, cable, batteries, catalytic converters and general wastes including</w:t>
      </w:r>
      <w:r w:rsidR="003243F8">
        <w:t xml:space="preserve"> non-hazardous</w:t>
      </w:r>
      <w:r>
        <w:t xml:space="preserve"> </w:t>
      </w:r>
      <w:r w:rsidR="009C581D">
        <w:t>white goods</w:t>
      </w:r>
      <w:r>
        <w:t xml:space="preserve"> such as washing machines.</w:t>
      </w:r>
      <w:r w:rsidR="004D3E1C">
        <w:t xml:space="preserve"> For processing the wastes on site within the processing shed there are 2 </w:t>
      </w:r>
      <w:r w:rsidR="00D07374">
        <w:t>x static</w:t>
      </w:r>
      <w:r w:rsidR="004D3E1C">
        <w:t xml:space="preserve"> </w:t>
      </w:r>
      <w:r w:rsidR="008E0262">
        <w:t xml:space="preserve">pedal operated </w:t>
      </w:r>
      <w:r w:rsidR="004D3E1C">
        <w:t>shears, 1 x baler and 2 x cable strippers.</w:t>
      </w:r>
    </w:p>
    <w:p w14:paraId="4C0C9E57" w14:textId="77777777" w:rsidR="003D7073" w:rsidRDefault="003D7073" w:rsidP="003D7073">
      <w:pPr>
        <w:pStyle w:val="ListParagraph"/>
        <w:spacing w:after="0"/>
        <w:jc w:val="both"/>
      </w:pPr>
    </w:p>
    <w:p w14:paraId="32050043" w14:textId="1B22951F" w:rsidR="003D7073" w:rsidRPr="003D7073" w:rsidRDefault="003D7073" w:rsidP="003D7073">
      <w:pPr>
        <w:pStyle w:val="ListParagraph"/>
        <w:numPr>
          <w:ilvl w:val="0"/>
          <w:numId w:val="1"/>
        </w:numPr>
        <w:spacing w:after="0"/>
        <w:jc w:val="both"/>
      </w:pPr>
      <w:r>
        <w:rPr>
          <w:b/>
          <w:bCs/>
          <w:u w:val="single"/>
        </w:rPr>
        <w:t>EWC codes</w:t>
      </w:r>
    </w:p>
    <w:p w14:paraId="05940EFD" w14:textId="0F2D17F2" w:rsidR="003D7073" w:rsidRDefault="003D7073" w:rsidP="003D7073">
      <w:pPr>
        <w:pStyle w:val="ListParagraph"/>
        <w:spacing w:after="0"/>
        <w:jc w:val="both"/>
        <w:rPr>
          <w:b/>
          <w:bCs/>
          <w:u w:val="single"/>
        </w:rPr>
      </w:pPr>
    </w:p>
    <w:p w14:paraId="3A3E07F2" w14:textId="5721B926" w:rsidR="00256A1B" w:rsidRDefault="00256A1B" w:rsidP="003D7073">
      <w:pPr>
        <w:pStyle w:val="ListParagraph"/>
        <w:spacing w:after="0"/>
        <w:jc w:val="both"/>
      </w:pPr>
      <w:r>
        <w:t xml:space="preserve">The EWC codes will follow those in the equivalent standard rules permit </w:t>
      </w:r>
      <w:r w:rsidR="00D07374">
        <w:t>with the addition of</w:t>
      </w:r>
      <w:r>
        <w:t>:</w:t>
      </w:r>
    </w:p>
    <w:p w14:paraId="1A16EABF" w14:textId="77777777" w:rsidR="00256A1B" w:rsidRDefault="00256A1B" w:rsidP="003D7073">
      <w:pPr>
        <w:pStyle w:val="ListParagraph"/>
        <w:spacing w:after="0"/>
        <w:jc w:val="both"/>
      </w:pPr>
    </w:p>
    <w:p w14:paraId="70F5710B" w14:textId="3262A027" w:rsidR="00D57CF5" w:rsidRDefault="00D57CF5" w:rsidP="003D7073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For light white goods such as washing machines:</w:t>
      </w:r>
    </w:p>
    <w:p w14:paraId="51329141" w14:textId="01D55A4A" w:rsidR="00256A1B" w:rsidRDefault="00256A1B" w:rsidP="003D7073">
      <w:pPr>
        <w:pStyle w:val="ListParagraph"/>
        <w:spacing w:after="0"/>
        <w:jc w:val="both"/>
      </w:pPr>
      <w:r w:rsidRPr="00256A1B">
        <w:rPr>
          <w:b/>
          <w:bCs/>
        </w:rPr>
        <w:t>20 01 36</w:t>
      </w:r>
      <w:r>
        <w:t xml:space="preserve"> Discarded electrical and electronic equipment other than those mentioned in </w:t>
      </w:r>
    </w:p>
    <w:p w14:paraId="1F754953" w14:textId="438144A0" w:rsidR="00256A1B" w:rsidRDefault="00256A1B" w:rsidP="003D7073">
      <w:pPr>
        <w:pStyle w:val="ListParagraph"/>
        <w:spacing w:after="0"/>
        <w:jc w:val="both"/>
      </w:pPr>
      <w:r>
        <w:t>20 01 21, 20 01 23 and 20 01 35</w:t>
      </w:r>
    </w:p>
    <w:p w14:paraId="57A5D344" w14:textId="77777777" w:rsidR="00A513D6" w:rsidRDefault="00A513D6" w:rsidP="003D7073">
      <w:pPr>
        <w:pStyle w:val="ListParagraph"/>
        <w:spacing w:after="0"/>
        <w:jc w:val="both"/>
      </w:pPr>
    </w:p>
    <w:p w14:paraId="1A0B7824" w14:textId="5F919A74" w:rsidR="005C7DC0" w:rsidRPr="008D1D1F" w:rsidRDefault="005C7DC0" w:rsidP="003D7073">
      <w:pPr>
        <w:pStyle w:val="ListParagraph"/>
        <w:spacing w:after="0"/>
        <w:jc w:val="both"/>
        <w:rPr>
          <w:b/>
          <w:bCs/>
        </w:rPr>
      </w:pPr>
      <w:r w:rsidRPr="008D1D1F">
        <w:rPr>
          <w:b/>
          <w:bCs/>
        </w:rPr>
        <w:t xml:space="preserve">For cable which the site is unable to </w:t>
      </w:r>
      <w:r w:rsidR="008D1D1F" w:rsidRPr="008D1D1F">
        <w:rPr>
          <w:b/>
          <w:bCs/>
        </w:rPr>
        <w:t>prove</w:t>
      </w:r>
      <w:r w:rsidRPr="008D1D1F">
        <w:rPr>
          <w:b/>
          <w:bCs/>
        </w:rPr>
        <w:t xml:space="preserve"> as non-hazardous:</w:t>
      </w:r>
    </w:p>
    <w:p w14:paraId="58FE05D0" w14:textId="4C944779" w:rsidR="00CE7E12" w:rsidRDefault="00482114" w:rsidP="00CE7E12">
      <w:pPr>
        <w:pStyle w:val="ListParagraph"/>
        <w:spacing w:after="0"/>
        <w:jc w:val="both"/>
      </w:pPr>
      <w:r>
        <w:t xml:space="preserve">Cable from </w:t>
      </w:r>
      <w:r w:rsidR="00CE7E12">
        <w:t xml:space="preserve">construction and demolition </w:t>
      </w:r>
      <w:r>
        <w:t>work</w:t>
      </w:r>
      <w:r w:rsidR="00CE7E12">
        <w:t xml:space="preserve"> 17 04 10* and 17 04 11</w:t>
      </w:r>
    </w:p>
    <w:p w14:paraId="1B32F065" w14:textId="148B1BA1" w:rsidR="00256A1B" w:rsidRDefault="00482114" w:rsidP="00CE7E12">
      <w:pPr>
        <w:pStyle w:val="ListParagraph"/>
        <w:spacing w:after="0"/>
        <w:jc w:val="both"/>
      </w:pPr>
      <w:r>
        <w:t xml:space="preserve">Cable from </w:t>
      </w:r>
      <w:r w:rsidR="00CE7E12">
        <w:t>vehicles 16 01 21* and 16 01 22</w:t>
      </w:r>
    </w:p>
    <w:p w14:paraId="69F3AC68" w14:textId="77777777" w:rsidR="00256A1B" w:rsidRPr="00B94FD4" w:rsidRDefault="00256A1B" w:rsidP="003D7073">
      <w:pPr>
        <w:pStyle w:val="ListParagraph"/>
        <w:spacing w:after="0"/>
        <w:jc w:val="both"/>
      </w:pPr>
    </w:p>
    <w:p w14:paraId="23A65484" w14:textId="6C008467" w:rsidR="003D7073" w:rsidRDefault="004D3E1C" w:rsidP="003D7073">
      <w:pPr>
        <w:pStyle w:val="ListParagraph"/>
        <w:spacing w:after="0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D537F1E" wp14:editId="5AEA5D0C">
            <wp:extent cx="5953760" cy="6391910"/>
            <wp:effectExtent l="0" t="0" r="8890" b="8890"/>
            <wp:docPr id="475377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639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5F210" w14:textId="77777777" w:rsidR="004D3E1C" w:rsidRDefault="004D3E1C" w:rsidP="004D3E1C">
      <w:pPr>
        <w:rPr>
          <w:noProof/>
        </w:rPr>
      </w:pPr>
    </w:p>
    <w:p w14:paraId="29080067" w14:textId="3F72F33D" w:rsidR="004D3E1C" w:rsidRDefault="004D3E1C" w:rsidP="004D3E1C">
      <w:pPr>
        <w:ind w:firstLine="720"/>
      </w:pPr>
      <w:r>
        <w:rPr>
          <w:noProof/>
        </w:rPr>
        <w:lastRenderedPageBreak/>
        <w:drawing>
          <wp:inline distT="0" distB="0" distL="0" distR="0" wp14:anchorId="43310E2E" wp14:editId="1ADA3012">
            <wp:extent cx="5991860" cy="5029835"/>
            <wp:effectExtent l="0" t="0" r="8890" b="0"/>
            <wp:docPr id="8513572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278F3" w14:textId="67625EE1" w:rsidR="00D57CF5" w:rsidRPr="00D57CF5" w:rsidRDefault="00D57CF5" w:rsidP="00D57CF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CF5">
        <w:rPr>
          <w:b/>
          <w:bCs/>
          <w:u w:val="single"/>
        </w:rPr>
        <w:t>Technical guidance</w:t>
      </w:r>
    </w:p>
    <w:p w14:paraId="568268E8" w14:textId="50C9C8C5" w:rsidR="00D57CF5" w:rsidRDefault="00D57CF5" w:rsidP="004D3E1C">
      <w:pPr>
        <w:ind w:firstLine="720"/>
      </w:pPr>
      <w:r>
        <w:t xml:space="preserve">Waste acceptance procedures are detailed in the site’s </w:t>
      </w:r>
      <w:r w:rsidR="000E7D38">
        <w:t xml:space="preserve">Environmental Management System. </w:t>
      </w:r>
      <w:r w:rsidR="000E7D38">
        <w:tab/>
        <w:t xml:space="preserve">All waste is categorised using the Environment Agency’s WM3 waste classification guidance </w:t>
      </w:r>
      <w:r w:rsidR="000E7D38">
        <w:tab/>
        <w:t>version 1.2 GB (Oct 2021).</w:t>
      </w:r>
    </w:p>
    <w:p w14:paraId="35AAB0DB" w14:textId="544B5673" w:rsidR="00D57CF5" w:rsidRDefault="000E7D38" w:rsidP="004D3E1C">
      <w:pPr>
        <w:ind w:firstLine="720"/>
      </w:pPr>
      <w:r>
        <w:t xml:space="preserve">For the acceptance and processing of cable the site </w:t>
      </w:r>
      <w:r w:rsidR="00136682">
        <w:t>has</w:t>
      </w:r>
      <w:r>
        <w:t xml:space="preserve"> followed the guidance in </w:t>
      </w:r>
      <w:r w:rsidR="00D57CF5">
        <w:t>RPS276</w:t>
      </w:r>
      <w:r w:rsidR="00136682">
        <w:t>.</w:t>
      </w:r>
    </w:p>
    <w:p w14:paraId="5A2BE071" w14:textId="04A8DBC1" w:rsidR="00D57CF5" w:rsidRDefault="00D57CF5" w:rsidP="004D3E1C">
      <w:pPr>
        <w:ind w:firstLine="720"/>
      </w:pPr>
      <w:r>
        <w:t>Appropriate measures</w:t>
      </w:r>
      <w:r w:rsidR="000E7D38">
        <w:t xml:space="preserve"> followed </w:t>
      </w:r>
      <w:r w:rsidR="00136682">
        <w:t xml:space="preserve">and written into the management system </w:t>
      </w:r>
      <w:r w:rsidR="000E7D38">
        <w:t>are:</w:t>
      </w:r>
    </w:p>
    <w:p w14:paraId="3BE750F3" w14:textId="246721C9" w:rsidR="00136682" w:rsidRDefault="00136682" w:rsidP="004D3E1C">
      <w:pPr>
        <w:ind w:firstLine="720"/>
      </w:pPr>
      <w:r>
        <w:t xml:space="preserve">Non-hazardous and inert waste: appropriate measures for permitted </w:t>
      </w:r>
      <w:r w:rsidR="00D07374">
        <w:t>facilities.</w:t>
      </w:r>
    </w:p>
    <w:p w14:paraId="537DDA5F" w14:textId="75C4B33A" w:rsidR="00640195" w:rsidRDefault="008C0164" w:rsidP="004D3E1C">
      <w:pPr>
        <w:ind w:firstLine="720"/>
      </w:pPr>
      <w:r>
        <w:t xml:space="preserve">Waste </w:t>
      </w:r>
      <w:r w:rsidR="002D2D9A">
        <w:t>E</w:t>
      </w:r>
      <w:r>
        <w:t xml:space="preserve">lectrical and </w:t>
      </w:r>
      <w:r w:rsidR="002D2D9A">
        <w:t>E</w:t>
      </w:r>
      <w:r>
        <w:t xml:space="preserve">lectronic </w:t>
      </w:r>
      <w:r w:rsidR="002D2D9A">
        <w:t>E</w:t>
      </w:r>
      <w:r>
        <w:t xml:space="preserve">quipment (WEEE) </w:t>
      </w:r>
      <w:r w:rsidR="006D250F">
        <w:t>to cover the cable</w:t>
      </w:r>
      <w:r w:rsidR="002D2D9A">
        <w:t xml:space="preserve"> accepted and</w:t>
      </w:r>
    </w:p>
    <w:p w14:paraId="05F14475" w14:textId="7BFD65CE" w:rsidR="006D250F" w:rsidRDefault="006D250F" w:rsidP="004D3E1C">
      <w:pPr>
        <w:ind w:firstLine="720"/>
      </w:pPr>
      <w:r>
        <w:t>End of Life Vehicles (ELV) to cover the catalytic converters</w:t>
      </w:r>
      <w:r w:rsidR="002D2D9A">
        <w:t xml:space="preserve"> and cable.</w:t>
      </w:r>
    </w:p>
    <w:p w14:paraId="24D7D37E" w14:textId="3858D0F2" w:rsidR="00D57CF5" w:rsidRDefault="00D57CF5" w:rsidP="00D57CF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57CF5">
        <w:rPr>
          <w:b/>
          <w:bCs/>
          <w:u w:val="single"/>
        </w:rPr>
        <w:t>Conclusion</w:t>
      </w:r>
    </w:p>
    <w:p w14:paraId="0C8211D0" w14:textId="77777777" w:rsidR="00D57CF5" w:rsidRDefault="00D57CF5" w:rsidP="00D57CF5">
      <w:pPr>
        <w:pStyle w:val="ListParagraph"/>
      </w:pPr>
    </w:p>
    <w:p w14:paraId="0728F1C3" w14:textId="24E4F15F" w:rsidR="00D57CF5" w:rsidRPr="00D57CF5" w:rsidRDefault="00D57CF5" w:rsidP="00D57CF5">
      <w:pPr>
        <w:pStyle w:val="ListParagraph"/>
      </w:pPr>
      <w:r>
        <w:t xml:space="preserve">There are no new risks associated with this metal recycling site as it will continue to operate as per the T9 exemption, this </w:t>
      </w:r>
      <w:r w:rsidR="009C581D">
        <w:t>includes</w:t>
      </w:r>
      <w:r w:rsidR="003243F8">
        <w:t xml:space="preserve"> waste acceptance, waste processes and</w:t>
      </w:r>
      <w:r>
        <w:t xml:space="preserve"> waste throughput (which is limited by the operational area of the site</w:t>
      </w:r>
      <w:r w:rsidR="00136682">
        <w:t>)</w:t>
      </w:r>
      <w:r w:rsidR="003243F8">
        <w:t>.</w:t>
      </w:r>
      <w:r>
        <w:t xml:space="preserve"> </w:t>
      </w:r>
    </w:p>
    <w:sectPr w:rsidR="00D57CF5" w:rsidRPr="00D57C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8309" w14:textId="77777777" w:rsidR="003267FD" w:rsidRDefault="003267FD" w:rsidP="003D7073">
      <w:pPr>
        <w:spacing w:after="0" w:line="240" w:lineRule="auto"/>
      </w:pPr>
      <w:r>
        <w:separator/>
      </w:r>
    </w:p>
  </w:endnote>
  <w:endnote w:type="continuationSeparator" w:id="0">
    <w:p w14:paraId="217FAA4D" w14:textId="77777777" w:rsidR="003267FD" w:rsidRDefault="003267FD" w:rsidP="003D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0595" w14:textId="58216AFB" w:rsidR="005F1260" w:rsidRDefault="005F1260">
    <w:pPr>
      <w:pStyle w:val="Footer"/>
    </w:pPr>
    <w:r>
      <w:t>AML/</w:t>
    </w:r>
    <w:r w:rsidR="00DC3FB4">
      <w:t>00</w:t>
    </w:r>
    <w:r w:rsidR="005A50E0">
      <w:t>3</w:t>
    </w:r>
    <w:r w:rsidR="00DC3FB4">
      <w:t>/NTS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CE93" w14:textId="77777777" w:rsidR="003267FD" w:rsidRDefault="003267FD" w:rsidP="003D7073">
      <w:pPr>
        <w:spacing w:after="0" w:line="240" w:lineRule="auto"/>
      </w:pPr>
      <w:r>
        <w:separator/>
      </w:r>
    </w:p>
  </w:footnote>
  <w:footnote w:type="continuationSeparator" w:id="0">
    <w:p w14:paraId="558C7F58" w14:textId="77777777" w:rsidR="003267FD" w:rsidRDefault="003267FD" w:rsidP="003D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B4A0" w14:textId="17CADBD5" w:rsidR="003D7073" w:rsidRDefault="003D7073">
    <w:pPr>
      <w:pStyle w:val="Header"/>
    </w:pPr>
    <w:r>
      <w:t>Archimedes Metals Non-technical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D123F"/>
    <w:multiLevelType w:val="hybridMultilevel"/>
    <w:tmpl w:val="F14A4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73"/>
    <w:rsid w:val="000E7D38"/>
    <w:rsid w:val="00136682"/>
    <w:rsid w:val="00256A1B"/>
    <w:rsid w:val="00265373"/>
    <w:rsid w:val="002D2D9A"/>
    <w:rsid w:val="003243F8"/>
    <w:rsid w:val="003267FD"/>
    <w:rsid w:val="0032737C"/>
    <w:rsid w:val="003D7073"/>
    <w:rsid w:val="0044734D"/>
    <w:rsid w:val="00482114"/>
    <w:rsid w:val="004D3E1C"/>
    <w:rsid w:val="005A50E0"/>
    <w:rsid w:val="005C7DC0"/>
    <w:rsid w:val="005F1260"/>
    <w:rsid w:val="00640195"/>
    <w:rsid w:val="006D250F"/>
    <w:rsid w:val="007053C5"/>
    <w:rsid w:val="007877ED"/>
    <w:rsid w:val="008C0164"/>
    <w:rsid w:val="008D1D1F"/>
    <w:rsid w:val="008E0262"/>
    <w:rsid w:val="00984890"/>
    <w:rsid w:val="009C581D"/>
    <w:rsid w:val="00A513D6"/>
    <w:rsid w:val="00B94FD4"/>
    <w:rsid w:val="00BE35BD"/>
    <w:rsid w:val="00CE7E12"/>
    <w:rsid w:val="00D07374"/>
    <w:rsid w:val="00D57CF5"/>
    <w:rsid w:val="00DC3FB4"/>
    <w:rsid w:val="00F3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F1CC"/>
  <w15:chartTrackingRefBased/>
  <w15:docId w15:val="{D9635C51-C978-43B5-B505-10DECAF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73"/>
  </w:style>
  <w:style w:type="paragraph" w:styleId="Footer">
    <w:name w:val="footer"/>
    <w:basedOn w:val="Normal"/>
    <w:link w:val="FooterChar"/>
    <w:uiPriority w:val="99"/>
    <w:unhideWhenUsed/>
    <w:rsid w:val="003D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73"/>
  </w:style>
  <w:style w:type="paragraph" w:styleId="ListParagraph">
    <w:name w:val="List Paragraph"/>
    <w:basedOn w:val="Normal"/>
    <w:uiPriority w:val="34"/>
    <w:qFormat/>
    <w:rsid w:val="003D7073"/>
    <w:pPr>
      <w:ind w:left="720"/>
      <w:contextualSpacing/>
    </w:pPr>
  </w:style>
  <w:style w:type="table" w:styleId="TableGrid">
    <w:name w:val="Table Grid"/>
    <w:basedOn w:val="TableNormal"/>
    <w:uiPriority w:val="39"/>
    <w:rsid w:val="003D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168d84c5be60d41049c99890cd0265a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a87270a46d4e5dc51326208ecfaff1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0a6acde7-f8d2-45c7-a1f6-65f49a3b67d5">
      <Terms xmlns="http://schemas.microsoft.com/office/infopath/2007/PartnerControls"/>
    </lcf76f155ced4ddcb4097134ff3c332f>
    <EAReceivedDate xmlns="eebef177-55b5-4448-a5fb-28ea454417ee">2025-06-01T23:00:00+00:00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EPR-CP3926ST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EPR/CP3926ST</OtherReference>
    <EventLink xmlns="5ffd8e36-f429-4edc-ab50-c5be84842779" xsi:nil="true"/>
    <Customer_x002f_OperatorName xmlns="eebef177-55b5-4448-a5fb-28ea454417ee">ARCHIMEDES METALS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EPR/CP3926ST</EPRNumber>
    <FacilityAddressPostcode xmlns="eebef177-55b5-4448-a5fb-28ea454417ee">PO3 5HU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/>
    <SiteName xmlns="eebef177-55b5-4448-a5fb-28ea454417ee">Archimedes Metals Ltd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Archimedes Metals Ltd, Ackworth Rd, Portsmouth, PO3 5HU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76BC1A9-D8DA-46CA-8514-069F6D82845B}"/>
</file>

<file path=customXml/itemProps2.xml><?xml version="1.0" encoding="utf-8"?>
<ds:datastoreItem xmlns:ds="http://schemas.openxmlformats.org/officeDocument/2006/customXml" ds:itemID="{DACBA82F-4B68-491D-BDD2-F0CEA71516A5}"/>
</file>

<file path=customXml/itemProps3.xml><?xml version="1.0" encoding="utf-8"?>
<ds:datastoreItem xmlns:ds="http://schemas.openxmlformats.org/officeDocument/2006/customXml" ds:itemID="{6C10CA65-9B37-4DE6-BE5B-7B6D60413D20}"/>
</file>

<file path=customXml/itemProps4.xml><?xml version="1.0" encoding="utf-8"?>
<ds:datastoreItem xmlns:ds="http://schemas.openxmlformats.org/officeDocument/2006/customXml" ds:itemID="{D3FA6982-48D9-493E-8C10-C920714DC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Cowdrey</dc:creator>
  <cp:keywords/>
  <dc:description/>
  <cp:lastModifiedBy>Claire Cowdrey</cp:lastModifiedBy>
  <cp:revision>12</cp:revision>
  <cp:lastPrinted>2023-12-11T15:05:00Z</cp:lastPrinted>
  <dcterms:created xsi:type="dcterms:W3CDTF">2024-02-09T11:17:00Z</dcterms:created>
  <dcterms:modified xsi:type="dcterms:W3CDTF">2025-06-02T14:12:00Z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32;#Bespoke|743fbb82-64b4-442a-8bac-afa632175399</vt:lpwstr>
  </property>
  <property fmtid="{D5CDD505-2E9C-101B-9397-08002B2CF9AE}" pid="12" name="DisclosureStatus">
    <vt:lpwstr>41;#Public Register|f1fcf6a6-5d97-4f1d-964e-a2f916eb1f18</vt:lpwstr>
  </property>
  <property fmtid="{D5CDD505-2E9C-101B-9397-08002B2CF9AE}" pid="13" name="ActivityGrouping">
    <vt:lpwstr>14;#Application ＆ Associated Docs|5eadfd3c-6deb-44e1-b7e1-16accd427bec</vt:lpwstr>
  </property>
  <property fmtid="{D5CDD505-2E9C-101B-9397-08002B2CF9AE}" pid="14" name="RegulatedActivityClass">
    <vt:lpwstr>40;#Waste Operations|dc63c9b7-da6e-463c-b2cf-265b08d49156</vt:lpwstr>
  </property>
  <property fmtid="{D5CDD505-2E9C-101B-9397-08002B2CF9AE}" pid="15" name="Catchment">
    <vt:lpwstr/>
  </property>
  <property fmtid="{D5CDD505-2E9C-101B-9397-08002B2CF9AE}" pid="16" name="MajorProjectID">
    <vt:lpwstr/>
  </property>
  <property fmtid="{D5CDD505-2E9C-101B-9397-08002B2CF9AE}" pid="17" name="StandardRulesID">
    <vt:lpwstr/>
  </property>
  <property fmtid="{D5CDD505-2E9C-101B-9397-08002B2CF9AE}" pid="18" name="CessationStatus">
    <vt:lpwstr/>
  </property>
  <property fmtid="{D5CDD505-2E9C-101B-9397-08002B2CF9AE}" pid="19" name="Regime">
    <vt:lpwstr>11;#EPR|0e5af97d-1a8c-4d8f-a20b-528a11cab1f6</vt:lpwstr>
  </property>
  <property fmtid="{D5CDD505-2E9C-101B-9397-08002B2CF9AE}" pid="20" name="RegulatedActivitySub_x002d_Class">
    <vt:lpwstr/>
  </property>
  <property fmtid="{D5CDD505-2E9C-101B-9397-08002B2CF9AE}" pid="21" name="RegulatedActivitySub-Class">
    <vt:lpwstr/>
  </property>
  <property fmtid="{D5CDD505-2E9C-101B-9397-08002B2CF9AE}" pid="22" name="EventType1">
    <vt:lpwstr/>
  </property>
</Properties>
</file>