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Pr="00DE49CE" w:rsidR="00A26BEE" w:rsidP="00946716" w:rsidRDefault="00A26BEE" w14:paraId="74411AB5" w14:textId="77777777">
      <w:pPr>
        <w:jc w:val="both"/>
      </w:pPr>
      <w:r w:rsidRPr="00DE49CE">
        <w:rPr>
          <w:noProof/>
        </w:rPr>
        <w:drawing>
          <wp:anchor distT="0" distB="0" distL="114300" distR="114300" simplePos="0" relativeHeight="251658242" behindDoc="0" locked="0" layoutInCell="1" allowOverlap="1" wp14:anchorId="76F2CB37" wp14:editId="5B6AE701">
            <wp:simplePos x="0" y="0"/>
            <wp:positionH relativeFrom="margin">
              <wp:posOffset>2027555</wp:posOffset>
            </wp:positionH>
            <wp:positionV relativeFrom="paragraph">
              <wp:posOffset>-1270</wp:posOffset>
            </wp:positionV>
            <wp:extent cx="1889185" cy="967803"/>
            <wp:effectExtent l="0" t="0" r="0" b="3810"/>
            <wp:wrapNone/>
            <wp:docPr id="1729909085"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09085" name="Picture 1" descr="A green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85" cy="9678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E49CE" w:rsidR="00A26BEE" w:rsidP="00946716" w:rsidRDefault="00A26BEE" w14:paraId="00AA8C44" w14:textId="77777777">
      <w:pPr>
        <w:jc w:val="both"/>
      </w:pPr>
      <w:r w:rsidRPr="00DE49CE">
        <w:rPr>
          <w:noProof/>
        </w:rPr>
        <w:drawing>
          <wp:anchor distT="0" distB="0" distL="114300" distR="114300" simplePos="0" relativeHeight="251658241" behindDoc="0" locked="0" layoutInCell="1" allowOverlap="1" wp14:anchorId="2F2CEC1A" wp14:editId="32AB04BF">
            <wp:simplePos x="0" y="0"/>
            <wp:positionH relativeFrom="column">
              <wp:posOffset>2516505</wp:posOffset>
            </wp:positionH>
            <wp:positionV relativeFrom="paragraph">
              <wp:posOffset>439420</wp:posOffset>
            </wp:positionV>
            <wp:extent cx="6235700" cy="6235700"/>
            <wp:effectExtent l="0" t="0" r="0" b="0"/>
            <wp:wrapNone/>
            <wp:docPr id="60699297" name="HH marque grey.ai" descr="HH marque grey.ai">
              <a:extLst xmlns:a="http://schemas.openxmlformats.org/drawingml/2006/main">
                <a:ext uri="{FF2B5EF4-FFF2-40B4-BE49-F238E27FC236}">
                  <a16:creationId xmlns:a16="http://schemas.microsoft.com/office/drawing/2014/main" id="{06A20B78-1B8C-4C53-A0A6-858189400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9297" name="HH marque grey.ai" descr="HH marque grey.ai">
                      <a:extLst>
                        <a:ext uri="{FF2B5EF4-FFF2-40B4-BE49-F238E27FC236}">
                          <a16:creationId xmlns:a16="http://schemas.microsoft.com/office/drawing/2014/main" id="{06A20B78-1B8C-4C53-A0A6-858189400137}"/>
                        </a:ext>
                      </a:extLst>
                    </pic:cNvPr>
                    <pic:cNvPicPr>
                      <a:picLocks noChangeAspect="1"/>
                    </pic:cNvPicPr>
                  </pic:nvPicPr>
                  <pic:blipFill>
                    <a:blip r:embed="rId11">
                      <a:alphaModFix amt="10000"/>
                      <a:extLst>
                        <a:ext uri="{28A0092B-C50C-407E-A947-70E740481C1C}">
                          <a14:useLocalDpi xmlns:a14="http://schemas.microsoft.com/office/drawing/2010/main" val="0"/>
                        </a:ext>
                      </a:extLst>
                    </a:blip>
                    <a:stretch>
                      <a:fillRect/>
                    </a:stretch>
                  </pic:blipFill>
                  <pic:spPr>
                    <a:xfrm>
                      <a:off x="0" y="0"/>
                      <a:ext cx="6235700" cy="62357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Pr="00DE49CE">
        <w:rPr>
          <w:noProof/>
        </w:rPr>
        <mc:AlternateContent>
          <mc:Choice Requires="wps">
            <w:drawing>
              <wp:anchor distT="0" distB="0" distL="182880" distR="182880" simplePos="0" relativeHeight="251658240" behindDoc="0" locked="0" layoutInCell="1" allowOverlap="1" wp14:anchorId="34D79364" wp14:editId="4D3E360C">
                <wp:simplePos x="0" y="0"/>
                <wp:positionH relativeFrom="margin">
                  <wp:align>left</wp:align>
                </wp:positionH>
                <wp:positionV relativeFrom="page">
                  <wp:posOffset>5673006</wp:posOffset>
                </wp:positionV>
                <wp:extent cx="4686300" cy="6720840"/>
                <wp:effectExtent l="0" t="0" r="10160" b="8255"/>
                <wp:wrapSquare wrapText="bothSides"/>
                <wp:docPr id="1967799530" name="Text Box 1967799530"/>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F6C16" w:rsidR="00A26BEE" w:rsidP="00A26BEE" w:rsidRDefault="0052557B" w14:paraId="16A0345C" w14:textId="01F1259E">
                            <w:pPr>
                              <w:pStyle w:val="NoSpacing"/>
                              <w:spacing w:before="40" w:after="560" w:line="216" w:lineRule="auto"/>
                              <w:rPr>
                                <w:rFonts w:ascii="Century Gothic" w:hAnsi="Century Gothic"/>
                                <w:b/>
                                <w:color w:val="A3C241"/>
                                <w:sz w:val="72"/>
                                <w:szCs w:val="72"/>
                              </w:rPr>
                            </w:pPr>
                            <w:sdt>
                              <w:sdtPr>
                                <w:rPr>
                                  <w:rFonts w:ascii="Century Gothic" w:hAnsi="Century Gothic"/>
                                  <w:b/>
                                  <w:color w:val="A3C241"/>
                                  <w:sz w:val="72"/>
                                  <w:szCs w:val="72"/>
                                </w:rPr>
                                <w:alias w:val="Title"/>
                                <w:tag w:val=""/>
                                <w:id w:val="251780439"/>
                                <w:dataBinding w:prefixMappings="xmlns:ns0='http://purl.org/dc/elements/1.1/' xmlns:ns1='http://schemas.openxmlformats.org/package/2006/metadata/core-properties' " w:xpath="/ns1:coreProperties[1]/ns0:title[1]" w:storeItemID="{6C3C8BC8-F283-45AE-878A-BAB7291924A1}"/>
                                <w:text/>
                              </w:sdtPr>
                              <w:sdtEndPr/>
                              <w:sdtContent>
                                <w:r w:rsidR="00BA2ECE">
                                  <w:rPr>
                                    <w:rFonts w:ascii="Century Gothic" w:hAnsi="Century Gothic"/>
                                    <w:b/>
                                    <w:color w:val="A3C241"/>
                                    <w:sz w:val="72"/>
                                    <w:szCs w:val="72"/>
                                  </w:rPr>
                                  <w:t xml:space="preserve">Material </w:t>
                                </w:r>
                                <w:r>
                                  <w:rPr>
                                    <w:rFonts w:ascii="Century Gothic" w:hAnsi="Century Gothic"/>
                                    <w:b/>
                                    <w:color w:val="A3C241"/>
                                    <w:sz w:val="72"/>
                                    <w:szCs w:val="72"/>
                                  </w:rPr>
                                  <w:t>I</w:t>
                                </w:r>
                                <w:r w:rsidR="00BA2ECE">
                                  <w:rPr>
                                    <w:rFonts w:ascii="Century Gothic" w:hAnsi="Century Gothic"/>
                                    <w:b/>
                                    <w:color w:val="A3C241"/>
                                    <w:sz w:val="72"/>
                                    <w:szCs w:val="72"/>
                                  </w:rPr>
                                  <w:t>nventory and Efficiency Techniques – Including Water</w:t>
                                </w:r>
                              </w:sdtContent>
                            </w:sdt>
                          </w:p>
                          <w:sdt>
                            <w:sdtPr>
                              <w:rPr>
                                <w:rFonts w:ascii="Century Gothic" w:hAnsi="Century Gothic"/>
                                <w:caps/>
                                <w:color w:val="FF0000"/>
                                <w:sz w:val="28"/>
                                <w:szCs w:val="28"/>
                              </w:rPr>
                              <w:alias w:val="Subtitle"/>
                              <w:tag w:val=""/>
                              <w:id w:val="-1430498614"/>
                              <w:showingPlcHdr/>
                              <w:dataBinding w:prefixMappings="xmlns:ns0='http://purl.org/dc/elements/1.1/' xmlns:ns1='http://schemas.openxmlformats.org/package/2006/metadata/core-properties' " w:xpath="/ns1:coreProperties[1]/ns0:subject[1]" w:storeItemID="{6C3C8BC8-F283-45AE-878A-BAB7291924A1}"/>
                              <w:text/>
                            </w:sdtPr>
                            <w:sdtEndPr/>
                            <w:sdtContent>
                              <w:p w:rsidRPr="00D31482" w:rsidR="00A26BEE" w:rsidP="00A26BEE" w:rsidRDefault="00A26BEE" w14:paraId="1B057C79" w14:textId="77777777">
                                <w:pPr>
                                  <w:pStyle w:val="NoSpacing"/>
                                  <w:spacing w:before="40" w:after="40"/>
                                  <w:rPr>
                                    <w:rFonts w:ascii="Century Gothic" w:hAnsi="Century Gothic"/>
                                    <w:caps/>
                                    <w:color w:val="FF0000"/>
                                    <w:sz w:val="28"/>
                                    <w:szCs w:val="28"/>
                                  </w:rPr>
                                </w:pPr>
                                <w:r>
                                  <w:rPr>
                                    <w:rFonts w:ascii="Century Gothic" w:hAnsi="Century Gothic"/>
                                    <w:caps/>
                                    <w:color w:val="FF0000"/>
                                    <w:sz w:val="28"/>
                                    <w:szCs w:val="28"/>
                                  </w:rPr>
                                  <w:t xml:space="preserve">     </w:t>
                                </w:r>
                              </w:p>
                            </w:sdtContent>
                          </w:sdt>
                          <w:p w:rsidR="00FA6B2A" w:rsidP="00A26BEE" w:rsidRDefault="00834A32" w14:paraId="63101F70" w14:textId="740020D7">
                            <w:pPr>
                              <w:pStyle w:val="NoSpacing"/>
                              <w:spacing w:before="80" w:after="40"/>
                              <w:rPr>
                                <w:rFonts w:ascii="Century Gothic" w:hAnsi="Century Gothic"/>
                                <w:caps/>
                                <w:sz w:val="24"/>
                                <w:szCs w:val="24"/>
                              </w:rPr>
                            </w:pPr>
                            <w:r>
                              <w:rPr>
                                <w:rFonts w:ascii="Century Gothic" w:hAnsi="Century Gothic"/>
                                <w:caps/>
                                <w:sz w:val="24"/>
                                <w:szCs w:val="24"/>
                              </w:rPr>
                              <w:t xml:space="preserve">Envar </w:t>
                            </w:r>
                            <w:r w:rsidR="00A26BEE">
                              <w:rPr>
                                <w:rFonts w:ascii="Century Gothic" w:hAnsi="Century Gothic"/>
                                <w:caps/>
                                <w:sz w:val="24"/>
                                <w:szCs w:val="24"/>
                              </w:rPr>
                              <w:t>COmposting</w:t>
                            </w:r>
                            <w:r w:rsidR="00C8608F">
                              <w:rPr>
                                <w:rFonts w:ascii="Century Gothic" w:hAnsi="Century Gothic"/>
                                <w:caps/>
                                <w:sz w:val="24"/>
                                <w:szCs w:val="24"/>
                              </w:rPr>
                              <w:t xml:space="preserve"> </w:t>
                            </w:r>
                            <w:r w:rsidR="00990FC9">
                              <w:rPr>
                                <w:rFonts w:ascii="Century Gothic" w:hAnsi="Century Gothic"/>
                                <w:caps/>
                                <w:sz w:val="24"/>
                                <w:szCs w:val="24"/>
                              </w:rPr>
                              <w:t>Cambridge</w:t>
                            </w:r>
                            <w:r w:rsidR="00A26BEE">
                              <w:rPr>
                                <w:rFonts w:ascii="Century Gothic" w:hAnsi="Century Gothic"/>
                                <w:caps/>
                                <w:sz w:val="24"/>
                                <w:szCs w:val="24"/>
                              </w:rPr>
                              <w:t xml:space="preserve"> </w:t>
                            </w:r>
                            <w:r w:rsidR="00D2673F">
                              <w:rPr>
                                <w:rFonts w:ascii="Century Gothic" w:hAnsi="Century Gothic"/>
                                <w:caps/>
                                <w:sz w:val="24"/>
                                <w:szCs w:val="24"/>
                              </w:rPr>
                              <w:t>–</w:t>
                            </w:r>
                            <w:r w:rsidR="00182E40">
                              <w:rPr>
                                <w:rFonts w:ascii="Century Gothic" w:hAnsi="Century Gothic"/>
                                <w:caps/>
                                <w:sz w:val="24"/>
                                <w:szCs w:val="24"/>
                              </w:rPr>
                              <w:t xml:space="preserve"> </w:t>
                            </w:r>
                            <w:r w:rsidR="00D572AD">
                              <w:rPr>
                                <w:rFonts w:ascii="Century Gothic" w:hAnsi="Century Gothic"/>
                                <w:caps/>
                                <w:sz w:val="24"/>
                                <w:szCs w:val="24"/>
                              </w:rPr>
                              <w:t>March</w:t>
                            </w:r>
                            <w:r w:rsidR="007C73F0">
                              <w:rPr>
                                <w:rFonts w:ascii="Century Gothic" w:hAnsi="Century Gothic"/>
                                <w:caps/>
                                <w:sz w:val="24"/>
                                <w:szCs w:val="24"/>
                              </w:rPr>
                              <w:t xml:space="preserve"> 2025</w:t>
                            </w:r>
                          </w:p>
                          <w:p w:rsidRPr="009A653F" w:rsidR="009A653F" w:rsidP="009A653F" w:rsidRDefault="009A653F" w14:paraId="04B456FB" w14:textId="77777777">
                            <w:pPr>
                              <w:pStyle w:val="NoSpacing"/>
                              <w:spacing w:before="80" w:after="40"/>
                              <w:rPr>
                                <w:rFonts w:ascii="Century Gothic" w:hAnsi="Century Gothic"/>
                                <w:caps/>
                              </w:rPr>
                            </w:pPr>
                          </w:p>
                          <w:p w:rsidRPr="000304D1" w:rsidR="009A653F" w:rsidP="009A653F" w:rsidRDefault="009A653F" w14:paraId="01CD2B78" w14:textId="437AF890">
                            <w:pPr>
                              <w:pStyle w:val="NoSpacing"/>
                              <w:spacing w:before="80" w:after="40"/>
                              <w:rPr>
                                <w:rFonts w:ascii="Century Gothic" w:hAnsi="Century Gothic"/>
                                <w:caps/>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w14:anchorId="34D79364">
                <v:stroke joinstyle="miter"/>
                <v:path gradientshapeok="t" o:connecttype="rect"/>
              </v:shapetype>
              <v:shape id="Text Box 1967799530" style="position:absolute;left:0;text-align:left;margin-left:0;margin-top:446.7pt;width:369pt;height:529.2pt;z-index:251658240;visibility:visible;mso-wrap-style:square;mso-width-percent:790;mso-height-percent:350;mso-wrap-distance-left:14.4pt;mso-wrap-distance-top:0;mso-wrap-distance-right:14.4pt;mso-wrap-distance-bottom:0;mso-position-horizontal:left;mso-position-horizontal-relative:margin;mso-position-vertical:absolute;mso-position-vertical-relative:page;mso-width-percent:790;mso-height-percent:35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">
                <v:textbox style="mso-fit-shape-to-text:t" inset="0,0,0,0">
                  <w:txbxContent>
                    <w:p w:rsidRPr="00AF6C16" w:rsidR="00A26BEE" w:rsidP="00A26BEE" w:rsidRDefault="0052557B" w14:paraId="16A0345C" w14:textId="01F1259E">
                      <w:pPr>
                        <w:pStyle w:val="NoSpacing"/>
                        <w:spacing w:before="40" w:after="560" w:line="216" w:lineRule="auto"/>
                        <w:rPr>
                          <w:rFonts w:ascii="Century Gothic" w:hAnsi="Century Gothic"/>
                          <w:b/>
                          <w:color w:val="A3C241"/>
                          <w:sz w:val="72"/>
                          <w:szCs w:val="72"/>
                        </w:rPr>
                      </w:pPr>
                      <w:sdt>
                        <w:sdtPr>
                          <w:rPr>
                            <w:rFonts w:ascii="Century Gothic" w:hAnsi="Century Gothic"/>
                            <w:b/>
                            <w:color w:val="A3C241"/>
                            <w:sz w:val="72"/>
                            <w:szCs w:val="72"/>
                          </w:rPr>
                          <w:alias w:val="Title"/>
                          <w:tag w:val=""/>
                          <w:id w:val="251780439"/>
                          <w:dataBinding w:prefixMappings="xmlns:ns0='http://purl.org/dc/elements/1.1/' xmlns:ns1='http://schemas.openxmlformats.org/package/2006/metadata/core-properties' " w:xpath="/ns1:coreProperties[1]/ns0:title[1]" w:storeItemID="{6C3C8BC8-F283-45AE-878A-BAB7291924A1}"/>
                          <w:text/>
                        </w:sdtPr>
                        <w:sdtEndPr/>
                        <w:sdtContent>
                          <w:r w:rsidR="00BA2ECE">
                            <w:rPr>
                              <w:rFonts w:ascii="Century Gothic" w:hAnsi="Century Gothic"/>
                              <w:b/>
                              <w:color w:val="A3C241"/>
                              <w:sz w:val="72"/>
                              <w:szCs w:val="72"/>
                            </w:rPr>
                            <w:t xml:space="preserve">Material </w:t>
                          </w:r>
                          <w:r>
                            <w:rPr>
                              <w:rFonts w:ascii="Century Gothic" w:hAnsi="Century Gothic"/>
                              <w:b/>
                              <w:color w:val="A3C241"/>
                              <w:sz w:val="72"/>
                              <w:szCs w:val="72"/>
                            </w:rPr>
                            <w:t>I</w:t>
                          </w:r>
                          <w:r w:rsidR="00BA2ECE">
                            <w:rPr>
                              <w:rFonts w:ascii="Century Gothic" w:hAnsi="Century Gothic"/>
                              <w:b/>
                              <w:color w:val="A3C241"/>
                              <w:sz w:val="72"/>
                              <w:szCs w:val="72"/>
                            </w:rPr>
                            <w:t>nventory and Efficiency Techniques – Including Water</w:t>
                          </w:r>
                        </w:sdtContent>
                      </w:sdt>
                    </w:p>
                    <w:sdt>
                      <w:sdtPr>
                        <w:rPr>
                          <w:rFonts w:ascii="Century Gothic" w:hAnsi="Century Gothic"/>
                          <w:caps/>
                          <w:color w:val="FF0000"/>
                          <w:sz w:val="28"/>
                          <w:szCs w:val="28"/>
                        </w:rPr>
                        <w:alias w:val="Subtitle"/>
                        <w:tag w:val=""/>
                        <w:id w:val="-1430498614"/>
                        <w:showingPlcHdr/>
                        <w:dataBinding w:prefixMappings="xmlns:ns0='http://purl.org/dc/elements/1.1/' xmlns:ns1='http://schemas.openxmlformats.org/package/2006/metadata/core-properties' " w:xpath="/ns1:coreProperties[1]/ns0:subject[1]" w:storeItemID="{6C3C8BC8-F283-45AE-878A-BAB7291924A1}"/>
                        <w:text/>
                      </w:sdtPr>
                      <w:sdtEndPr/>
                      <w:sdtContent>
                        <w:p w:rsidRPr="00D31482" w:rsidR="00A26BEE" w:rsidP="00A26BEE" w:rsidRDefault="00A26BEE" w14:paraId="1B057C79" w14:textId="77777777">
                          <w:pPr>
                            <w:pStyle w:val="NoSpacing"/>
                            <w:spacing w:before="40" w:after="40"/>
                            <w:rPr>
                              <w:rFonts w:ascii="Century Gothic" w:hAnsi="Century Gothic"/>
                              <w:caps/>
                              <w:color w:val="FF0000"/>
                              <w:sz w:val="28"/>
                              <w:szCs w:val="28"/>
                            </w:rPr>
                          </w:pPr>
                          <w:r>
                            <w:rPr>
                              <w:rFonts w:ascii="Century Gothic" w:hAnsi="Century Gothic"/>
                              <w:caps/>
                              <w:color w:val="FF0000"/>
                              <w:sz w:val="28"/>
                              <w:szCs w:val="28"/>
                            </w:rPr>
                            <w:t xml:space="preserve">     </w:t>
                          </w:r>
                        </w:p>
                      </w:sdtContent>
                    </w:sdt>
                    <w:p w:rsidR="00FA6B2A" w:rsidP="00A26BEE" w:rsidRDefault="00834A32" w14:paraId="63101F70" w14:textId="740020D7">
                      <w:pPr>
                        <w:pStyle w:val="NoSpacing"/>
                        <w:spacing w:before="80" w:after="40"/>
                        <w:rPr>
                          <w:rFonts w:ascii="Century Gothic" w:hAnsi="Century Gothic"/>
                          <w:caps/>
                          <w:sz w:val="24"/>
                          <w:szCs w:val="24"/>
                        </w:rPr>
                      </w:pPr>
                      <w:r>
                        <w:rPr>
                          <w:rFonts w:ascii="Century Gothic" w:hAnsi="Century Gothic"/>
                          <w:caps/>
                          <w:sz w:val="24"/>
                          <w:szCs w:val="24"/>
                        </w:rPr>
                        <w:t xml:space="preserve">Envar </w:t>
                      </w:r>
                      <w:r w:rsidR="00A26BEE">
                        <w:rPr>
                          <w:rFonts w:ascii="Century Gothic" w:hAnsi="Century Gothic"/>
                          <w:caps/>
                          <w:sz w:val="24"/>
                          <w:szCs w:val="24"/>
                        </w:rPr>
                        <w:t>COmposting</w:t>
                      </w:r>
                      <w:r w:rsidR="00C8608F">
                        <w:rPr>
                          <w:rFonts w:ascii="Century Gothic" w:hAnsi="Century Gothic"/>
                          <w:caps/>
                          <w:sz w:val="24"/>
                          <w:szCs w:val="24"/>
                        </w:rPr>
                        <w:t xml:space="preserve"> </w:t>
                      </w:r>
                      <w:r w:rsidR="00990FC9">
                        <w:rPr>
                          <w:rFonts w:ascii="Century Gothic" w:hAnsi="Century Gothic"/>
                          <w:caps/>
                          <w:sz w:val="24"/>
                          <w:szCs w:val="24"/>
                        </w:rPr>
                        <w:t>Cambridge</w:t>
                      </w:r>
                      <w:r w:rsidR="00A26BEE">
                        <w:rPr>
                          <w:rFonts w:ascii="Century Gothic" w:hAnsi="Century Gothic"/>
                          <w:caps/>
                          <w:sz w:val="24"/>
                          <w:szCs w:val="24"/>
                        </w:rPr>
                        <w:t xml:space="preserve"> </w:t>
                      </w:r>
                      <w:r w:rsidR="00D2673F">
                        <w:rPr>
                          <w:rFonts w:ascii="Century Gothic" w:hAnsi="Century Gothic"/>
                          <w:caps/>
                          <w:sz w:val="24"/>
                          <w:szCs w:val="24"/>
                        </w:rPr>
                        <w:t>–</w:t>
                      </w:r>
                      <w:r w:rsidR="00182E40">
                        <w:rPr>
                          <w:rFonts w:ascii="Century Gothic" w:hAnsi="Century Gothic"/>
                          <w:caps/>
                          <w:sz w:val="24"/>
                          <w:szCs w:val="24"/>
                        </w:rPr>
                        <w:t xml:space="preserve"> </w:t>
                      </w:r>
                      <w:r w:rsidR="00D572AD">
                        <w:rPr>
                          <w:rFonts w:ascii="Century Gothic" w:hAnsi="Century Gothic"/>
                          <w:caps/>
                          <w:sz w:val="24"/>
                          <w:szCs w:val="24"/>
                        </w:rPr>
                        <w:t>March</w:t>
                      </w:r>
                      <w:r w:rsidR="007C73F0">
                        <w:rPr>
                          <w:rFonts w:ascii="Century Gothic" w:hAnsi="Century Gothic"/>
                          <w:caps/>
                          <w:sz w:val="24"/>
                          <w:szCs w:val="24"/>
                        </w:rPr>
                        <w:t xml:space="preserve"> 2025</w:t>
                      </w:r>
                    </w:p>
                    <w:p w:rsidRPr="009A653F" w:rsidR="009A653F" w:rsidP="009A653F" w:rsidRDefault="009A653F" w14:paraId="04B456FB" w14:textId="77777777">
                      <w:pPr>
                        <w:pStyle w:val="NoSpacing"/>
                        <w:spacing w:before="80" w:after="40"/>
                        <w:rPr>
                          <w:rFonts w:ascii="Century Gothic" w:hAnsi="Century Gothic"/>
                          <w:caps/>
                        </w:rPr>
                      </w:pPr>
                    </w:p>
                    <w:p w:rsidRPr="000304D1" w:rsidR="009A653F" w:rsidP="009A653F" w:rsidRDefault="009A653F" w14:paraId="01CD2B78" w14:textId="437AF890">
                      <w:pPr>
                        <w:pStyle w:val="NoSpacing"/>
                        <w:spacing w:before="80" w:after="40"/>
                        <w:rPr>
                          <w:rFonts w:ascii="Century Gothic" w:hAnsi="Century Gothic"/>
                          <w:caps/>
                          <w:sz w:val="24"/>
                          <w:szCs w:val="24"/>
                        </w:rPr>
                      </w:pPr>
                    </w:p>
                  </w:txbxContent>
                </v:textbox>
                <w10:wrap type="square" anchorx="margin" anchory="page"/>
              </v:shape>
            </w:pict>
          </mc:Fallback>
        </mc:AlternateContent>
      </w:r>
      <w:r w:rsidRPr="00DE49CE">
        <w:br w:type="page"/>
      </w:r>
    </w:p>
    <w:bookmarkStart w:name="_Toc194842506" w:displacedByCustomXml="next" w:id="0"/>
    <w:sdt>
      <w:sdtPr>
        <w:id w:val="877360176"/>
        <w:docPartObj>
          <w:docPartGallery w:val="Table of Contents"/>
          <w:docPartUnique/>
        </w:docPartObj>
        <w:rPr>
          <w:rFonts w:ascii="Aptos" w:hAnsi="Aptos" w:eastAsia="" w:cs="" w:asciiTheme="minorAscii" w:hAnsiTheme="minorAscii" w:eastAsiaTheme="minorEastAsia" w:cstheme="minorBidi"/>
          <w:color w:val="auto"/>
          <w:kern w:val="0"/>
          <w:sz w:val="24"/>
          <w:szCs w:val="24"/>
          <w:lang w:eastAsia="ja-JP"/>
          <w14:ligatures w14:val="none"/>
        </w:rPr>
      </w:sdtPr>
      <w:sdtEndPr>
        <w:rPr>
          <w:rFonts w:ascii="Aptos" w:hAnsi="Aptos" w:eastAsia="" w:cs="" w:asciiTheme="minorAscii" w:hAnsiTheme="minorAscii" w:eastAsiaTheme="minorEastAsia" w:cstheme="minorBidi"/>
          <w:color w:val="auto"/>
          <w:sz w:val="24"/>
          <w:szCs w:val="24"/>
          <w:lang w:eastAsia="ja-JP"/>
        </w:rPr>
      </w:sdtEndPr>
      <w:sdtContent>
        <w:p w:rsidRPr="00DE49CE" w:rsidR="00834A32" w:rsidP="0052557B" w:rsidRDefault="00834A32" w14:paraId="5630F1CF" w14:textId="54B7618A">
          <w:pPr>
            <w:pStyle w:val="Heading1"/>
            <w:numPr>
              <w:ilvl w:val="0"/>
              <w:numId w:val="0"/>
            </w:numPr>
            <w:ind w:left="432" w:hanging="432"/>
            <w:jc w:val="both"/>
            <w:rPr>
              <w:rFonts w:asciiTheme="minorHAnsi" w:hAnsiTheme="minorHAnsi"/>
            </w:rPr>
          </w:pPr>
          <w:r w:rsidRPr="00DE49CE">
            <w:rPr>
              <w:rFonts w:asciiTheme="minorHAnsi" w:hAnsiTheme="minorHAnsi"/>
            </w:rPr>
            <w:t>Contents</w:t>
          </w:r>
          <w:bookmarkEnd w:id="0"/>
        </w:p>
        <w:p w:rsidR="0052557B" w:rsidRDefault="00834A32" w14:paraId="2973C558" w14:textId="336DACBE">
          <w:pPr>
            <w:pStyle w:val="TOC1"/>
            <w:tabs>
              <w:tab w:val="right" w:leader="dot" w:pos="9016"/>
            </w:tabs>
            <w:rPr>
              <w:noProof/>
              <w:kern w:val="2"/>
              <w:lang w:eastAsia="en-GB"/>
              <w14:ligatures w14:val="standardContextual"/>
            </w:rPr>
          </w:pPr>
          <w:r w:rsidRPr="00DE49CE">
            <w:fldChar w:fldCharType="begin"/>
          </w:r>
          <w:r w:rsidRPr="00DE49CE">
            <w:instrText xml:space="preserve"> TOC \o "1-3" \h \z \u </w:instrText>
          </w:r>
          <w:r w:rsidRPr="00DE49CE">
            <w:fldChar w:fldCharType="separate"/>
          </w:r>
          <w:hyperlink w:history="1" w:anchor="_Toc194842506">
            <w:r w:rsidRPr="00950694" w:rsidR="0052557B">
              <w:rPr>
                <w:rStyle w:val="Hyperlink"/>
                <w:noProof/>
              </w:rPr>
              <w:t>Contents</w:t>
            </w:r>
            <w:r w:rsidR="0052557B">
              <w:rPr>
                <w:noProof/>
                <w:webHidden/>
              </w:rPr>
              <w:tab/>
            </w:r>
            <w:r w:rsidR="0052557B">
              <w:rPr>
                <w:noProof/>
                <w:webHidden/>
              </w:rPr>
              <w:fldChar w:fldCharType="begin"/>
            </w:r>
            <w:r w:rsidR="0052557B">
              <w:rPr>
                <w:noProof/>
                <w:webHidden/>
              </w:rPr>
              <w:instrText xml:space="preserve"> PAGEREF _Toc194842506 \h </w:instrText>
            </w:r>
            <w:r w:rsidR="0052557B">
              <w:rPr>
                <w:noProof/>
                <w:webHidden/>
              </w:rPr>
            </w:r>
            <w:r w:rsidR="0052557B">
              <w:rPr>
                <w:noProof/>
                <w:webHidden/>
              </w:rPr>
              <w:fldChar w:fldCharType="separate"/>
            </w:r>
            <w:r w:rsidR="0052557B">
              <w:rPr>
                <w:noProof/>
                <w:webHidden/>
              </w:rPr>
              <w:t>2</w:t>
            </w:r>
            <w:r w:rsidR="0052557B">
              <w:rPr>
                <w:noProof/>
                <w:webHidden/>
              </w:rPr>
              <w:fldChar w:fldCharType="end"/>
            </w:r>
          </w:hyperlink>
        </w:p>
        <w:p w:rsidR="0052557B" w:rsidRDefault="0052557B" w14:paraId="596689DF" w14:textId="58A0B9D8">
          <w:pPr>
            <w:pStyle w:val="TOC1"/>
            <w:tabs>
              <w:tab w:val="left" w:pos="480"/>
              <w:tab w:val="right" w:leader="dot" w:pos="9016"/>
            </w:tabs>
            <w:rPr>
              <w:noProof/>
              <w:kern w:val="2"/>
              <w:lang w:eastAsia="en-GB"/>
              <w14:ligatures w14:val="standardContextual"/>
            </w:rPr>
          </w:pPr>
          <w:hyperlink w:history="1" w:anchor="_Toc194842507">
            <w:r w:rsidRPr="00950694">
              <w:rPr>
                <w:rStyle w:val="Hyperlink"/>
                <w:noProof/>
              </w:rPr>
              <w:t>1</w:t>
            </w:r>
            <w:r>
              <w:rPr>
                <w:noProof/>
                <w:kern w:val="2"/>
                <w:lang w:eastAsia="en-GB"/>
                <w14:ligatures w14:val="standardContextual"/>
              </w:rPr>
              <w:tab/>
            </w:r>
            <w:r w:rsidRPr="00950694">
              <w:rPr>
                <w:rStyle w:val="Hyperlink"/>
                <w:noProof/>
              </w:rPr>
              <w:t>Raw Materials Inventory and Efficiency Techniques</w:t>
            </w:r>
            <w:r>
              <w:rPr>
                <w:noProof/>
                <w:webHidden/>
              </w:rPr>
              <w:tab/>
            </w:r>
            <w:r>
              <w:rPr>
                <w:noProof/>
                <w:webHidden/>
              </w:rPr>
              <w:fldChar w:fldCharType="begin"/>
            </w:r>
            <w:r>
              <w:rPr>
                <w:noProof/>
                <w:webHidden/>
              </w:rPr>
              <w:instrText xml:space="preserve"> PAGEREF _Toc194842507 \h </w:instrText>
            </w:r>
            <w:r>
              <w:rPr>
                <w:noProof/>
                <w:webHidden/>
              </w:rPr>
            </w:r>
            <w:r>
              <w:rPr>
                <w:noProof/>
                <w:webHidden/>
              </w:rPr>
              <w:fldChar w:fldCharType="separate"/>
            </w:r>
            <w:r>
              <w:rPr>
                <w:noProof/>
                <w:webHidden/>
              </w:rPr>
              <w:t>3</w:t>
            </w:r>
            <w:r>
              <w:rPr>
                <w:noProof/>
                <w:webHidden/>
              </w:rPr>
              <w:fldChar w:fldCharType="end"/>
            </w:r>
          </w:hyperlink>
        </w:p>
        <w:p w:rsidR="0052557B" w:rsidRDefault="0052557B" w14:paraId="4DC42619" w14:textId="18925820">
          <w:pPr>
            <w:pStyle w:val="TOC2"/>
            <w:tabs>
              <w:tab w:val="left" w:pos="960"/>
              <w:tab w:val="right" w:leader="dot" w:pos="9016"/>
            </w:tabs>
            <w:rPr>
              <w:noProof/>
              <w:kern w:val="2"/>
              <w:lang w:eastAsia="en-GB"/>
              <w14:ligatures w14:val="standardContextual"/>
            </w:rPr>
          </w:pPr>
          <w:hyperlink w:history="1" w:anchor="_Toc194842508">
            <w:r w:rsidRPr="00950694">
              <w:rPr>
                <w:rStyle w:val="Hyperlink"/>
                <w:noProof/>
              </w:rPr>
              <w:t>1.1</w:t>
            </w:r>
            <w:r>
              <w:rPr>
                <w:noProof/>
                <w:kern w:val="2"/>
                <w:lang w:eastAsia="en-GB"/>
                <w14:ligatures w14:val="standardContextual"/>
              </w:rPr>
              <w:tab/>
            </w:r>
            <w:r w:rsidRPr="00950694">
              <w:rPr>
                <w:rStyle w:val="Hyperlink"/>
                <w:noProof/>
              </w:rPr>
              <w:t>Raw Materials Inventory</w:t>
            </w:r>
            <w:r>
              <w:rPr>
                <w:noProof/>
                <w:webHidden/>
              </w:rPr>
              <w:tab/>
            </w:r>
            <w:r>
              <w:rPr>
                <w:noProof/>
                <w:webHidden/>
              </w:rPr>
              <w:fldChar w:fldCharType="begin"/>
            </w:r>
            <w:r>
              <w:rPr>
                <w:noProof/>
                <w:webHidden/>
              </w:rPr>
              <w:instrText xml:space="preserve"> PAGEREF _Toc194842508 \h </w:instrText>
            </w:r>
            <w:r>
              <w:rPr>
                <w:noProof/>
                <w:webHidden/>
              </w:rPr>
            </w:r>
            <w:r>
              <w:rPr>
                <w:noProof/>
                <w:webHidden/>
              </w:rPr>
              <w:fldChar w:fldCharType="separate"/>
            </w:r>
            <w:r>
              <w:rPr>
                <w:noProof/>
                <w:webHidden/>
              </w:rPr>
              <w:t>3</w:t>
            </w:r>
            <w:r>
              <w:rPr>
                <w:noProof/>
                <w:webHidden/>
              </w:rPr>
              <w:fldChar w:fldCharType="end"/>
            </w:r>
          </w:hyperlink>
        </w:p>
        <w:p w:rsidR="0052557B" w:rsidRDefault="0052557B" w14:paraId="78F6711C" w14:textId="6251C93B">
          <w:pPr>
            <w:pStyle w:val="TOC2"/>
            <w:tabs>
              <w:tab w:val="left" w:pos="960"/>
              <w:tab w:val="right" w:leader="dot" w:pos="9016"/>
            </w:tabs>
            <w:rPr>
              <w:noProof/>
              <w:kern w:val="2"/>
              <w:lang w:eastAsia="en-GB"/>
              <w14:ligatures w14:val="standardContextual"/>
            </w:rPr>
          </w:pPr>
          <w:hyperlink w:history="1" w:anchor="_Toc194842509">
            <w:r w:rsidRPr="00950694">
              <w:rPr>
                <w:rStyle w:val="Hyperlink"/>
                <w:noProof/>
              </w:rPr>
              <w:t>1.2</w:t>
            </w:r>
            <w:r>
              <w:rPr>
                <w:noProof/>
                <w:kern w:val="2"/>
                <w:lang w:eastAsia="en-GB"/>
                <w14:ligatures w14:val="standardContextual"/>
              </w:rPr>
              <w:tab/>
            </w:r>
            <w:r w:rsidRPr="00950694">
              <w:rPr>
                <w:rStyle w:val="Hyperlink"/>
                <w:noProof/>
              </w:rPr>
              <w:t>Efficiency Techniques and Monitoring</w:t>
            </w:r>
            <w:r>
              <w:rPr>
                <w:noProof/>
                <w:webHidden/>
              </w:rPr>
              <w:tab/>
            </w:r>
            <w:r>
              <w:rPr>
                <w:noProof/>
                <w:webHidden/>
              </w:rPr>
              <w:fldChar w:fldCharType="begin"/>
            </w:r>
            <w:r>
              <w:rPr>
                <w:noProof/>
                <w:webHidden/>
              </w:rPr>
              <w:instrText xml:space="preserve"> PAGEREF _Toc194842509 \h </w:instrText>
            </w:r>
            <w:r>
              <w:rPr>
                <w:noProof/>
                <w:webHidden/>
              </w:rPr>
            </w:r>
            <w:r>
              <w:rPr>
                <w:noProof/>
                <w:webHidden/>
              </w:rPr>
              <w:fldChar w:fldCharType="separate"/>
            </w:r>
            <w:r>
              <w:rPr>
                <w:noProof/>
                <w:webHidden/>
              </w:rPr>
              <w:t>3</w:t>
            </w:r>
            <w:r>
              <w:rPr>
                <w:noProof/>
                <w:webHidden/>
              </w:rPr>
              <w:fldChar w:fldCharType="end"/>
            </w:r>
          </w:hyperlink>
        </w:p>
        <w:p w:rsidR="0052557B" w:rsidRDefault="0052557B" w14:paraId="215E2BD2" w14:textId="67AD158D">
          <w:pPr>
            <w:pStyle w:val="TOC2"/>
            <w:tabs>
              <w:tab w:val="left" w:pos="960"/>
              <w:tab w:val="right" w:leader="dot" w:pos="9016"/>
            </w:tabs>
            <w:rPr>
              <w:noProof/>
              <w:kern w:val="2"/>
              <w:lang w:eastAsia="en-GB"/>
              <w14:ligatures w14:val="standardContextual"/>
            </w:rPr>
          </w:pPr>
          <w:hyperlink w:history="1" w:anchor="_Toc194842510">
            <w:r w:rsidRPr="00950694">
              <w:rPr>
                <w:rStyle w:val="Hyperlink"/>
                <w:noProof/>
              </w:rPr>
              <w:t>1.3</w:t>
            </w:r>
            <w:r>
              <w:rPr>
                <w:noProof/>
                <w:kern w:val="2"/>
                <w:lang w:eastAsia="en-GB"/>
                <w14:ligatures w14:val="standardContextual"/>
              </w:rPr>
              <w:tab/>
            </w:r>
            <w:r w:rsidRPr="00950694">
              <w:rPr>
                <w:rStyle w:val="Hyperlink"/>
                <w:noProof/>
              </w:rPr>
              <w:t>BAT and Appropriate Measures</w:t>
            </w:r>
            <w:r>
              <w:rPr>
                <w:noProof/>
                <w:webHidden/>
              </w:rPr>
              <w:tab/>
            </w:r>
            <w:r>
              <w:rPr>
                <w:noProof/>
                <w:webHidden/>
              </w:rPr>
              <w:fldChar w:fldCharType="begin"/>
            </w:r>
            <w:r>
              <w:rPr>
                <w:noProof/>
                <w:webHidden/>
              </w:rPr>
              <w:instrText xml:space="preserve"> PAGEREF _Toc194842510 \h </w:instrText>
            </w:r>
            <w:r>
              <w:rPr>
                <w:noProof/>
                <w:webHidden/>
              </w:rPr>
            </w:r>
            <w:r>
              <w:rPr>
                <w:noProof/>
                <w:webHidden/>
              </w:rPr>
              <w:fldChar w:fldCharType="separate"/>
            </w:r>
            <w:r>
              <w:rPr>
                <w:noProof/>
                <w:webHidden/>
              </w:rPr>
              <w:t>5</w:t>
            </w:r>
            <w:r>
              <w:rPr>
                <w:noProof/>
                <w:webHidden/>
              </w:rPr>
              <w:fldChar w:fldCharType="end"/>
            </w:r>
          </w:hyperlink>
        </w:p>
        <w:p w:rsidR="0052557B" w:rsidRDefault="0052557B" w14:paraId="34C3D974" w14:textId="14F0F485">
          <w:pPr>
            <w:pStyle w:val="TOC3"/>
            <w:tabs>
              <w:tab w:val="left" w:pos="1440"/>
              <w:tab w:val="right" w:leader="dot" w:pos="9016"/>
            </w:tabs>
            <w:rPr>
              <w:noProof/>
              <w:kern w:val="2"/>
              <w:lang w:eastAsia="en-GB"/>
              <w14:ligatures w14:val="standardContextual"/>
            </w:rPr>
          </w:pPr>
          <w:hyperlink w:history="1" w:anchor="_Toc194842511">
            <w:r w:rsidRPr="00950694">
              <w:rPr>
                <w:rStyle w:val="Hyperlink"/>
                <w:noProof/>
              </w:rPr>
              <w:t>1.3.1</w:t>
            </w:r>
            <w:r>
              <w:rPr>
                <w:noProof/>
                <w:kern w:val="2"/>
                <w:lang w:eastAsia="en-GB"/>
                <w14:ligatures w14:val="standardContextual"/>
              </w:rPr>
              <w:tab/>
            </w:r>
            <w:r w:rsidRPr="00950694">
              <w:rPr>
                <w:rStyle w:val="Hyperlink"/>
                <w:noProof/>
              </w:rPr>
              <w:t>Alignment with Environment Agency Raw Material Efficiency Techniques</w:t>
            </w:r>
            <w:r>
              <w:rPr>
                <w:noProof/>
                <w:webHidden/>
              </w:rPr>
              <w:tab/>
            </w:r>
            <w:r>
              <w:rPr>
                <w:noProof/>
                <w:webHidden/>
              </w:rPr>
              <w:fldChar w:fldCharType="begin"/>
            </w:r>
            <w:r>
              <w:rPr>
                <w:noProof/>
                <w:webHidden/>
              </w:rPr>
              <w:instrText xml:space="preserve"> PAGEREF _Toc194842511 \h </w:instrText>
            </w:r>
            <w:r>
              <w:rPr>
                <w:noProof/>
                <w:webHidden/>
              </w:rPr>
            </w:r>
            <w:r>
              <w:rPr>
                <w:noProof/>
                <w:webHidden/>
              </w:rPr>
              <w:fldChar w:fldCharType="separate"/>
            </w:r>
            <w:r>
              <w:rPr>
                <w:noProof/>
                <w:webHidden/>
              </w:rPr>
              <w:t>5</w:t>
            </w:r>
            <w:r>
              <w:rPr>
                <w:noProof/>
                <w:webHidden/>
              </w:rPr>
              <w:fldChar w:fldCharType="end"/>
            </w:r>
          </w:hyperlink>
        </w:p>
        <w:p w:rsidR="0052557B" w:rsidRDefault="0052557B" w14:paraId="5879F987" w14:textId="1341F60A">
          <w:pPr>
            <w:pStyle w:val="TOC3"/>
            <w:tabs>
              <w:tab w:val="left" w:pos="1440"/>
              <w:tab w:val="right" w:leader="dot" w:pos="9016"/>
            </w:tabs>
            <w:rPr>
              <w:noProof/>
              <w:kern w:val="2"/>
              <w:lang w:eastAsia="en-GB"/>
              <w14:ligatures w14:val="standardContextual"/>
            </w:rPr>
          </w:pPr>
          <w:hyperlink w:history="1" w:anchor="_Toc194842512">
            <w:r w:rsidRPr="00950694">
              <w:rPr>
                <w:rStyle w:val="Hyperlink"/>
                <w:noProof/>
              </w:rPr>
              <w:t>1.3.2</w:t>
            </w:r>
            <w:r>
              <w:rPr>
                <w:noProof/>
                <w:kern w:val="2"/>
                <w:lang w:eastAsia="en-GB"/>
                <w14:ligatures w14:val="standardContextual"/>
              </w:rPr>
              <w:tab/>
            </w:r>
            <w:r w:rsidRPr="00950694">
              <w:rPr>
                <w:rStyle w:val="Hyperlink"/>
                <w:noProof/>
              </w:rPr>
              <w:t>Conclusion</w:t>
            </w:r>
            <w:r>
              <w:rPr>
                <w:noProof/>
                <w:webHidden/>
              </w:rPr>
              <w:tab/>
            </w:r>
            <w:r>
              <w:rPr>
                <w:noProof/>
                <w:webHidden/>
              </w:rPr>
              <w:fldChar w:fldCharType="begin"/>
            </w:r>
            <w:r>
              <w:rPr>
                <w:noProof/>
                <w:webHidden/>
              </w:rPr>
              <w:instrText xml:space="preserve"> PAGEREF _Toc194842512 \h </w:instrText>
            </w:r>
            <w:r>
              <w:rPr>
                <w:noProof/>
                <w:webHidden/>
              </w:rPr>
            </w:r>
            <w:r>
              <w:rPr>
                <w:noProof/>
                <w:webHidden/>
              </w:rPr>
              <w:fldChar w:fldCharType="separate"/>
            </w:r>
            <w:r>
              <w:rPr>
                <w:noProof/>
                <w:webHidden/>
              </w:rPr>
              <w:t>6</w:t>
            </w:r>
            <w:r>
              <w:rPr>
                <w:noProof/>
                <w:webHidden/>
              </w:rPr>
              <w:fldChar w:fldCharType="end"/>
            </w:r>
          </w:hyperlink>
        </w:p>
        <w:p w:rsidRPr="00DE49CE" w:rsidR="00834A32" w:rsidP="00946716" w:rsidRDefault="00834A32" w14:paraId="3E9C0CD7" w14:textId="5A668755">
          <w:pPr>
            <w:jc w:val="both"/>
            <w:sectPr w:rsidRPr="00DE49CE" w:rsidR="00834A32">
              <w:footerReference w:type="default" r:id="rId12"/>
              <w:pgSz w:w="11906" w:h="16838"/>
              <w:pgMar w:top="1440" w:right="1440" w:bottom="1440" w:left="1440" w:header="708" w:footer="708" w:gutter="0"/>
              <w:cols w:space="708"/>
              <w:docGrid w:linePitch="360"/>
            </w:sectPr>
          </w:pPr>
          <w:r w:rsidRPr="00DE49CE">
            <w:fldChar w:fldCharType="end"/>
          </w:r>
        </w:p>
      </w:sdtContent>
    </w:sdt>
    <w:p w:rsidRPr="00DE49CE" w:rsidR="00AD5D3F" w:rsidP="00AD5D3F" w:rsidRDefault="00AD5D3F" w14:paraId="69D80B22" w14:textId="475D8721">
      <w:pPr>
        <w:pStyle w:val="NormalWeb"/>
        <w:rPr>
          <w:rFonts w:asciiTheme="minorHAnsi" w:hAnsiTheme="minorHAnsi"/>
        </w:rPr>
      </w:pPr>
    </w:p>
    <w:p w:rsidRPr="00BA2ECE" w:rsidR="00BA2ECE" w:rsidP="00BA2ECE" w:rsidRDefault="00BA2ECE" w14:paraId="62154D9F" w14:textId="77777777">
      <w:pPr>
        <w:pStyle w:val="Heading1"/>
      </w:pPr>
      <w:bookmarkStart w:name="_Toc194842507" w:id="1"/>
      <w:r w:rsidRPr="00BA2ECE">
        <w:t>Raw Materials Inventory and Efficiency Techniques</w:t>
      </w:r>
      <w:bookmarkEnd w:id="1"/>
    </w:p>
    <w:p w:rsidRPr="00BA2ECE" w:rsidR="00BA2ECE" w:rsidP="00BA2ECE" w:rsidRDefault="00BA2ECE" w14:paraId="664FC4CB" w14:textId="77777777">
      <w:pPr>
        <w:jc w:val="both"/>
        <w:rPr>
          <w:sz w:val="22"/>
          <w:szCs w:val="22"/>
          <w:lang w:eastAsia="en-US"/>
        </w:rPr>
      </w:pPr>
      <w:r w:rsidRPr="00BA2ECE">
        <w:rPr>
          <w:sz w:val="22"/>
          <w:szCs w:val="22"/>
          <w:lang w:eastAsia="en-US"/>
        </w:rPr>
        <w:t>As part of our environmental permitting obligations and wider commitment to sustainability, Envar Composting has implemented a robust strategy for monitoring, managing, and optimising raw material usage. Our operations are aligned with the principles of Best Available Techniques (BAT) and the Environment Agency's Appropriate Measures guidance, and our activities are designed to ensure responsible and efficient use of all materials.</w:t>
      </w:r>
    </w:p>
    <w:p w:rsidRPr="00BA2ECE" w:rsidR="00BA2ECE" w:rsidP="00BA2ECE" w:rsidRDefault="00BA2ECE" w14:paraId="1D3D9F80" w14:textId="77777777">
      <w:pPr>
        <w:pStyle w:val="Heading2"/>
      </w:pPr>
      <w:bookmarkStart w:name="_Toc194842508" w:id="2"/>
      <w:r w:rsidRPr="00BA2ECE">
        <w:t>Raw Materials Inventory</w:t>
      </w:r>
      <w:bookmarkEnd w:id="2"/>
    </w:p>
    <w:p w:rsidRPr="00BA2ECE" w:rsidR="00BA2ECE" w:rsidP="00BA2ECE" w:rsidRDefault="00BA2ECE" w14:paraId="601CBFB9" w14:textId="14A9EB85">
      <w:pPr>
        <w:jc w:val="both"/>
        <w:rPr>
          <w:sz w:val="22"/>
          <w:szCs w:val="22"/>
          <w:lang w:eastAsia="en-US"/>
        </w:rPr>
      </w:pPr>
      <w:r w:rsidRPr="00BA2ECE">
        <w:rPr>
          <w:sz w:val="22"/>
          <w:szCs w:val="22"/>
          <w:lang w:eastAsia="en-US"/>
        </w:rPr>
        <w:t>The table below presents the estimated use of key raw materials on both a total annual and per-tonne treated basis. These estimates are based on a maximum throughput of 100,000 tonnes per annum at our Cambridge composting facility</w:t>
      </w:r>
      <w:r>
        <w:rPr>
          <w:sz w:val="22"/>
          <w:szCs w:val="22"/>
          <w:lang w:eastAsia="en-US"/>
        </w:rPr>
        <w:t xml:space="preserve"> for </w:t>
      </w:r>
      <w:proofErr w:type="spellStart"/>
      <w:r>
        <w:rPr>
          <w:sz w:val="22"/>
          <w:szCs w:val="22"/>
          <w:lang w:eastAsia="en-US"/>
        </w:rPr>
        <w:t>biodrying</w:t>
      </w:r>
      <w:proofErr w:type="spellEnd"/>
      <w:r w:rsidRPr="00BA2ECE">
        <w:rPr>
          <w:sz w:val="22"/>
          <w:szCs w:val="22"/>
          <w:lang w:eastAsia="en-US"/>
        </w:rPr>
        <w:t>.</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678"/>
        <w:gridCol w:w="2011"/>
        <w:gridCol w:w="1174"/>
        <w:gridCol w:w="1135"/>
        <w:gridCol w:w="3018"/>
      </w:tblGrid>
      <w:tr w:rsidRPr="00BA2ECE" w:rsidR="00BA2ECE" w:rsidTr="29EC7756" w14:paraId="667C3BCC" w14:textId="77777777">
        <w:trPr>
          <w:tblHeader/>
          <w:tblCellSpacing w:w="15" w:type="dxa"/>
        </w:trPr>
        <w:tc>
          <w:tcPr>
            <w:tcW w:w="0" w:type="auto"/>
            <w:tcMar/>
            <w:vAlign w:val="center"/>
            <w:hideMark/>
          </w:tcPr>
          <w:p w:rsidRPr="00BA2ECE" w:rsidR="00BA2ECE" w:rsidP="00BA2ECE" w:rsidRDefault="00BA2ECE" w14:paraId="49F40E53" w14:textId="77777777">
            <w:pPr>
              <w:jc w:val="both"/>
              <w:rPr>
                <w:b/>
                <w:bCs/>
                <w:sz w:val="22"/>
                <w:szCs w:val="22"/>
                <w:lang w:eastAsia="en-US"/>
              </w:rPr>
            </w:pPr>
            <w:r w:rsidRPr="00BA2ECE">
              <w:rPr>
                <w:b/>
                <w:bCs/>
                <w:sz w:val="22"/>
                <w:szCs w:val="22"/>
                <w:lang w:eastAsia="en-US"/>
              </w:rPr>
              <w:t>Raw Material</w:t>
            </w:r>
          </w:p>
        </w:tc>
        <w:tc>
          <w:tcPr>
            <w:tcW w:w="0" w:type="auto"/>
            <w:tcMar/>
            <w:vAlign w:val="center"/>
            <w:hideMark/>
          </w:tcPr>
          <w:p w:rsidRPr="00BA2ECE" w:rsidR="00BA2ECE" w:rsidP="00BA2ECE" w:rsidRDefault="00BA2ECE" w14:paraId="32D65221" w14:textId="77777777">
            <w:pPr>
              <w:jc w:val="both"/>
              <w:rPr>
                <w:b/>
                <w:bCs/>
                <w:sz w:val="22"/>
                <w:szCs w:val="22"/>
                <w:lang w:eastAsia="en-US"/>
              </w:rPr>
            </w:pPr>
            <w:r w:rsidRPr="00BA2ECE">
              <w:rPr>
                <w:b/>
                <w:bCs/>
                <w:sz w:val="22"/>
                <w:szCs w:val="22"/>
                <w:lang w:eastAsia="en-US"/>
              </w:rPr>
              <w:t>Purpose/Use</w:t>
            </w:r>
          </w:p>
        </w:tc>
        <w:tc>
          <w:tcPr>
            <w:tcW w:w="0" w:type="auto"/>
            <w:tcMar/>
            <w:vAlign w:val="center"/>
            <w:hideMark/>
          </w:tcPr>
          <w:p w:rsidRPr="00BA2ECE" w:rsidR="00BA2ECE" w:rsidP="00BA2ECE" w:rsidRDefault="00BA2ECE" w14:paraId="63199CDE" w14:textId="77777777">
            <w:pPr>
              <w:jc w:val="both"/>
              <w:rPr>
                <w:b/>
                <w:bCs/>
                <w:sz w:val="22"/>
                <w:szCs w:val="22"/>
                <w:lang w:eastAsia="en-US"/>
              </w:rPr>
            </w:pPr>
            <w:r w:rsidRPr="00BA2ECE">
              <w:rPr>
                <w:b/>
                <w:bCs/>
                <w:sz w:val="22"/>
                <w:szCs w:val="22"/>
                <w:lang w:eastAsia="en-US"/>
              </w:rPr>
              <w:t>Annual Use</w:t>
            </w:r>
          </w:p>
        </w:tc>
        <w:tc>
          <w:tcPr>
            <w:tcW w:w="0" w:type="auto"/>
            <w:tcMar/>
            <w:vAlign w:val="center"/>
            <w:hideMark/>
          </w:tcPr>
          <w:p w:rsidRPr="00BA2ECE" w:rsidR="00BA2ECE" w:rsidP="00BA2ECE" w:rsidRDefault="00BA2ECE" w14:paraId="68A3EB87" w14:textId="77777777">
            <w:pPr>
              <w:jc w:val="both"/>
              <w:rPr>
                <w:b/>
                <w:bCs/>
                <w:sz w:val="22"/>
                <w:szCs w:val="22"/>
                <w:lang w:eastAsia="en-US"/>
              </w:rPr>
            </w:pPr>
            <w:r w:rsidRPr="00BA2ECE">
              <w:rPr>
                <w:b/>
                <w:bCs/>
                <w:sz w:val="22"/>
                <w:szCs w:val="22"/>
                <w:lang w:eastAsia="en-US"/>
              </w:rPr>
              <w:t>Per Tonne Treated</w:t>
            </w:r>
          </w:p>
        </w:tc>
        <w:tc>
          <w:tcPr>
            <w:tcW w:w="0" w:type="auto"/>
            <w:tcMar/>
            <w:vAlign w:val="center"/>
            <w:hideMark/>
          </w:tcPr>
          <w:p w:rsidRPr="00BA2ECE" w:rsidR="00BA2ECE" w:rsidP="00BA2ECE" w:rsidRDefault="00BA2ECE" w14:paraId="738F960C" w14:textId="77777777">
            <w:pPr>
              <w:jc w:val="both"/>
              <w:rPr>
                <w:b/>
                <w:bCs/>
                <w:sz w:val="22"/>
                <w:szCs w:val="22"/>
                <w:lang w:eastAsia="en-US"/>
              </w:rPr>
            </w:pPr>
            <w:r w:rsidRPr="00BA2ECE">
              <w:rPr>
                <w:b/>
                <w:bCs/>
                <w:sz w:val="22"/>
                <w:szCs w:val="22"/>
                <w:lang w:eastAsia="en-US"/>
              </w:rPr>
              <w:t>Source/Notes</w:t>
            </w:r>
          </w:p>
        </w:tc>
      </w:tr>
      <w:tr w:rsidRPr="00BA2ECE" w:rsidR="00BA2ECE" w:rsidTr="29EC7756" w14:paraId="012FF7B2" w14:textId="77777777">
        <w:trPr>
          <w:tblCellSpacing w:w="15" w:type="dxa"/>
        </w:trPr>
        <w:tc>
          <w:tcPr>
            <w:tcW w:w="0" w:type="auto"/>
            <w:tcMar/>
            <w:vAlign w:val="center"/>
            <w:hideMark/>
          </w:tcPr>
          <w:p w:rsidRPr="00BA2ECE" w:rsidR="00BA2ECE" w:rsidP="00BA2ECE" w:rsidRDefault="00BA2ECE" w14:paraId="470F019C" w14:textId="77777777">
            <w:pPr>
              <w:jc w:val="both"/>
              <w:rPr>
                <w:sz w:val="22"/>
                <w:szCs w:val="22"/>
                <w:lang w:eastAsia="en-US"/>
              </w:rPr>
            </w:pPr>
            <w:r w:rsidRPr="00BA2ECE">
              <w:rPr>
                <w:sz w:val="22"/>
                <w:szCs w:val="22"/>
                <w:lang w:eastAsia="en-US"/>
              </w:rPr>
              <w:t>Electricity</w:t>
            </w:r>
          </w:p>
        </w:tc>
        <w:tc>
          <w:tcPr>
            <w:tcW w:w="0" w:type="auto"/>
            <w:tcMar/>
            <w:vAlign w:val="center"/>
            <w:hideMark/>
          </w:tcPr>
          <w:p w:rsidRPr="00BA2ECE" w:rsidR="00BA2ECE" w:rsidP="00BA2ECE" w:rsidRDefault="00BA2ECE" w14:paraId="25BDAB38" w14:textId="77777777">
            <w:pPr>
              <w:jc w:val="both"/>
              <w:rPr>
                <w:sz w:val="22"/>
                <w:szCs w:val="22"/>
                <w:lang w:eastAsia="en-US"/>
              </w:rPr>
            </w:pPr>
            <w:r w:rsidRPr="00BA2ECE">
              <w:rPr>
                <w:sz w:val="22"/>
                <w:szCs w:val="22"/>
                <w:lang w:eastAsia="en-US"/>
              </w:rPr>
              <w:t>Powering fixed infrastructure</w:t>
            </w:r>
          </w:p>
        </w:tc>
        <w:tc>
          <w:tcPr>
            <w:tcW w:w="0" w:type="auto"/>
            <w:tcMar/>
            <w:vAlign w:val="center"/>
            <w:hideMark/>
          </w:tcPr>
          <w:p w:rsidRPr="00BA2ECE" w:rsidR="00BA2ECE" w:rsidP="00BA2ECE" w:rsidRDefault="00BA2ECE" w14:paraId="785E4C3F" w14:textId="77777777">
            <w:pPr>
              <w:jc w:val="both"/>
              <w:rPr>
                <w:sz w:val="22"/>
                <w:szCs w:val="22"/>
                <w:lang w:eastAsia="en-US"/>
              </w:rPr>
            </w:pPr>
            <w:r w:rsidRPr="00BA2ECE">
              <w:rPr>
                <w:sz w:val="22"/>
                <w:szCs w:val="22"/>
                <w:lang w:eastAsia="en-US"/>
              </w:rPr>
              <w:t>1,517 MWh</w:t>
            </w:r>
          </w:p>
        </w:tc>
        <w:tc>
          <w:tcPr>
            <w:tcW w:w="0" w:type="auto"/>
            <w:tcMar/>
            <w:vAlign w:val="center"/>
            <w:hideMark/>
          </w:tcPr>
          <w:p w:rsidRPr="00BA2ECE" w:rsidR="00BA2ECE" w:rsidP="00BA2ECE" w:rsidRDefault="00BA2ECE" w14:paraId="54A002F9" w14:textId="77777777">
            <w:pPr>
              <w:jc w:val="both"/>
              <w:rPr>
                <w:sz w:val="22"/>
                <w:szCs w:val="22"/>
                <w:lang w:eastAsia="en-US"/>
              </w:rPr>
            </w:pPr>
            <w:r w:rsidRPr="00BA2ECE">
              <w:rPr>
                <w:sz w:val="22"/>
                <w:szCs w:val="22"/>
                <w:lang w:eastAsia="en-US"/>
              </w:rPr>
              <w:t>15.17 kWh</w:t>
            </w:r>
          </w:p>
        </w:tc>
        <w:tc>
          <w:tcPr>
            <w:tcW w:w="0" w:type="auto"/>
            <w:tcMar/>
            <w:vAlign w:val="center"/>
            <w:hideMark/>
          </w:tcPr>
          <w:p w:rsidRPr="00BA2ECE" w:rsidR="00BA2ECE" w:rsidP="00BA2ECE" w:rsidRDefault="00BA2ECE" w14:paraId="199EEE7D" w14:textId="77777777">
            <w:pPr>
              <w:jc w:val="both"/>
              <w:rPr>
                <w:sz w:val="22"/>
                <w:szCs w:val="22"/>
                <w:lang w:eastAsia="en-US"/>
              </w:rPr>
            </w:pPr>
            <w:r w:rsidRPr="00BA2ECE">
              <w:rPr>
                <w:sz w:val="22"/>
                <w:szCs w:val="22"/>
                <w:lang w:eastAsia="en-US"/>
              </w:rPr>
              <w:t>100% renewable grid supply + on-site solar</w:t>
            </w:r>
          </w:p>
        </w:tc>
      </w:tr>
      <w:tr w:rsidRPr="00BA2ECE" w:rsidR="00BA2ECE" w:rsidTr="29EC7756" w14:paraId="0E6BEF25" w14:textId="77777777">
        <w:trPr>
          <w:tblCellSpacing w:w="15" w:type="dxa"/>
        </w:trPr>
        <w:tc>
          <w:tcPr>
            <w:tcW w:w="0" w:type="auto"/>
            <w:tcMar/>
            <w:vAlign w:val="center"/>
            <w:hideMark/>
          </w:tcPr>
          <w:p w:rsidRPr="00BA2ECE" w:rsidR="00BA2ECE" w:rsidP="00BA2ECE" w:rsidRDefault="00BA2ECE" w14:paraId="283E29AD" w14:textId="77777777">
            <w:pPr>
              <w:jc w:val="both"/>
              <w:rPr>
                <w:sz w:val="22"/>
                <w:szCs w:val="22"/>
                <w:lang w:eastAsia="en-US"/>
              </w:rPr>
            </w:pPr>
            <w:r w:rsidRPr="00BA2ECE">
              <w:rPr>
                <w:sz w:val="22"/>
                <w:szCs w:val="22"/>
                <w:lang w:eastAsia="en-US"/>
              </w:rPr>
              <w:t>Diesel (red/white)</w:t>
            </w:r>
          </w:p>
        </w:tc>
        <w:tc>
          <w:tcPr>
            <w:tcW w:w="0" w:type="auto"/>
            <w:tcMar/>
            <w:vAlign w:val="center"/>
            <w:hideMark/>
          </w:tcPr>
          <w:p w:rsidRPr="00BA2ECE" w:rsidR="00BA2ECE" w:rsidP="00BA2ECE" w:rsidRDefault="00BA2ECE" w14:paraId="73D1ACA9" w14:textId="77777777">
            <w:pPr>
              <w:jc w:val="both"/>
              <w:rPr>
                <w:sz w:val="22"/>
                <w:szCs w:val="22"/>
                <w:lang w:eastAsia="en-US"/>
              </w:rPr>
            </w:pPr>
            <w:r w:rsidRPr="00BA2ECE">
              <w:rPr>
                <w:sz w:val="22"/>
                <w:szCs w:val="22"/>
                <w:lang w:eastAsia="en-US"/>
              </w:rPr>
              <w:t>Fuel for mobile plant and equipment</w:t>
            </w:r>
          </w:p>
        </w:tc>
        <w:tc>
          <w:tcPr>
            <w:tcW w:w="0" w:type="auto"/>
            <w:tcMar/>
            <w:vAlign w:val="center"/>
            <w:hideMark/>
          </w:tcPr>
          <w:p w:rsidRPr="00BA2ECE" w:rsidR="00BA2ECE" w:rsidP="00BA2ECE" w:rsidRDefault="00BA2ECE" w14:paraId="4DD9BA6E" w14:textId="77777777">
            <w:pPr>
              <w:jc w:val="both"/>
              <w:rPr>
                <w:sz w:val="22"/>
                <w:szCs w:val="22"/>
                <w:lang w:eastAsia="en-US"/>
              </w:rPr>
            </w:pPr>
            <w:r w:rsidRPr="00BA2ECE">
              <w:rPr>
                <w:sz w:val="22"/>
                <w:szCs w:val="22"/>
                <w:lang w:eastAsia="en-US"/>
              </w:rPr>
              <w:t>270,000 litres</w:t>
            </w:r>
          </w:p>
        </w:tc>
        <w:tc>
          <w:tcPr>
            <w:tcW w:w="0" w:type="auto"/>
            <w:tcMar/>
            <w:vAlign w:val="center"/>
            <w:hideMark/>
          </w:tcPr>
          <w:p w:rsidRPr="00BA2ECE" w:rsidR="00BA2ECE" w:rsidP="00BA2ECE" w:rsidRDefault="00BA2ECE" w14:paraId="34D1E6E7" w14:textId="77777777">
            <w:pPr>
              <w:jc w:val="both"/>
              <w:rPr>
                <w:sz w:val="22"/>
                <w:szCs w:val="22"/>
                <w:lang w:eastAsia="en-US"/>
              </w:rPr>
            </w:pPr>
            <w:r w:rsidRPr="00BA2ECE">
              <w:rPr>
                <w:sz w:val="22"/>
                <w:szCs w:val="22"/>
                <w:lang w:eastAsia="en-US"/>
              </w:rPr>
              <w:t>2.7 litres</w:t>
            </w:r>
          </w:p>
        </w:tc>
        <w:tc>
          <w:tcPr>
            <w:tcW w:w="0" w:type="auto"/>
            <w:tcMar/>
            <w:vAlign w:val="center"/>
            <w:hideMark/>
          </w:tcPr>
          <w:p w:rsidRPr="00BA2ECE" w:rsidR="00BA2ECE" w:rsidP="00BA2ECE" w:rsidRDefault="00BA2ECE" w14:paraId="7393F6B2" w14:textId="77777777">
            <w:pPr>
              <w:jc w:val="both"/>
              <w:rPr>
                <w:sz w:val="22"/>
                <w:szCs w:val="22"/>
                <w:lang w:eastAsia="en-US"/>
              </w:rPr>
            </w:pPr>
            <w:r w:rsidRPr="00BA2ECE">
              <w:rPr>
                <w:sz w:val="22"/>
                <w:szCs w:val="22"/>
                <w:lang w:eastAsia="en-US"/>
              </w:rPr>
              <w:t>Monitored by asset tracker and usage KPIs</w:t>
            </w:r>
          </w:p>
        </w:tc>
      </w:tr>
      <w:tr w:rsidRPr="00BA2ECE" w:rsidR="00BA2ECE" w:rsidTr="29EC7756" w14:paraId="3D396B93" w14:textId="77777777">
        <w:trPr>
          <w:tblCellSpacing w:w="15" w:type="dxa"/>
        </w:trPr>
        <w:tc>
          <w:tcPr>
            <w:tcW w:w="0" w:type="auto"/>
            <w:tcMar/>
            <w:vAlign w:val="center"/>
            <w:hideMark/>
          </w:tcPr>
          <w:p w:rsidRPr="00BA2ECE" w:rsidR="00BA2ECE" w:rsidP="00BA2ECE" w:rsidRDefault="00BA2ECE" w14:paraId="5DC2283F" w14:textId="77777777">
            <w:pPr>
              <w:jc w:val="both"/>
              <w:rPr>
                <w:sz w:val="22"/>
                <w:szCs w:val="22"/>
                <w:lang w:eastAsia="en-US"/>
              </w:rPr>
            </w:pPr>
            <w:r w:rsidRPr="00BA2ECE">
              <w:rPr>
                <w:sz w:val="22"/>
                <w:szCs w:val="22"/>
                <w:lang w:eastAsia="en-US"/>
              </w:rPr>
              <w:t>Water (non-potable)</w:t>
            </w:r>
          </w:p>
        </w:tc>
        <w:tc>
          <w:tcPr>
            <w:tcW w:w="0" w:type="auto"/>
            <w:tcMar/>
            <w:vAlign w:val="center"/>
            <w:hideMark/>
          </w:tcPr>
          <w:p w:rsidRPr="00BA2ECE" w:rsidR="00BA2ECE" w:rsidP="00BA2ECE" w:rsidRDefault="00BA2ECE" w14:paraId="7C8ECF80" w14:textId="77777777">
            <w:pPr>
              <w:jc w:val="both"/>
              <w:rPr>
                <w:sz w:val="22"/>
                <w:szCs w:val="22"/>
                <w:lang w:eastAsia="en-US"/>
              </w:rPr>
            </w:pPr>
            <w:r w:rsidRPr="00BA2ECE">
              <w:rPr>
                <w:sz w:val="22"/>
                <w:szCs w:val="22"/>
                <w:lang w:eastAsia="en-US"/>
              </w:rPr>
              <w:t>Compost moisture correction</w:t>
            </w:r>
          </w:p>
        </w:tc>
        <w:tc>
          <w:tcPr>
            <w:tcW w:w="0" w:type="auto"/>
            <w:tcMar/>
            <w:vAlign w:val="center"/>
            <w:hideMark/>
          </w:tcPr>
          <w:p w:rsidRPr="00BA2ECE" w:rsidR="00BA2ECE" w:rsidP="00BA2ECE" w:rsidRDefault="00BA2ECE" w14:paraId="0DBB60CE" w14:textId="77777777">
            <w:pPr>
              <w:jc w:val="both"/>
              <w:rPr>
                <w:sz w:val="22"/>
                <w:szCs w:val="22"/>
                <w:lang w:eastAsia="en-US"/>
              </w:rPr>
            </w:pPr>
            <w:r w:rsidRPr="00BA2ECE">
              <w:rPr>
                <w:sz w:val="22"/>
                <w:szCs w:val="22"/>
                <w:lang w:eastAsia="en-US"/>
              </w:rPr>
              <w:t>4,600,000 litres</w:t>
            </w:r>
          </w:p>
        </w:tc>
        <w:tc>
          <w:tcPr>
            <w:tcW w:w="0" w:type="auto"/>
            <w:tcMar/>
            <w:vAlign w:val="center"/>
            <w:hideMark/>
          </w:tcPr>
          <w:p w:rsidRPr="00BA2ECE" w:rsidR="00BA2ECE" w:rsidP="00BA2ECE" w:rsidRDefault="00BA2ECE" w14:paraId="687D89B0" w14:textId="77777777">
            <w:pPr>
              <w:jc w:val="both"/>
              <w:rPr>
                <w:sz w:val="22"/>
                <w:szCs w:val="22"/>
                <w:lang w:eastAsia="en-US"/>
              </w:rPr>
            </w:pPr>
            <w:r w:rsidRPr="00BA2ECE">
              <w:rPr>
                <w:sz w:val="22"/>
                <w:szCs w:val="22"/>
                <w:lang w:eastAsia="en-US"/>
              </w:rPr>
              <w:t>46 litres</w:t>
            </w:r>
          </w:p>
        </w:tc>
        <w:tc>
          <w:tcPr>
            <w:tcW w:w="0" w:type="auto"/>
            <w:tcMar/>
            <w:vAlign w:val="center"/>
            <w:hideMark/>
          </w:tcPr>
          <w:p w:rsidRPr="00BA2ECE" w:rsidR="00BA2ECE" w:rsidP="00BA2ECE" w:rsidRDefault="00BA2ECE" w14:paraId="33181063" w14:textId="77777777">
            <w:pPr>
              <w:jc w:val="both"/>
              <w:rPr>
                <w:sz w:val="22"/>
                <w:szCs w:val="22"/>
                <w:lang w:eastAsia="en-US"/>
              </w:rPr>
            </w:pPr>
            <w:r w:rsidRPr="00BA2ECE">
              <w:rPr>
                <w:sz w:val="22"/>
                <w:szCs w:val="22"/>
                <w:lang w:eastAsia="en-US"/>
              </w:rPr>
              <w:t>100% rainwater or leachate reuse</w:t>
            </w:r>
          </w:p>
        </w:tc>
      </w:tr>
      <w:tr w:rsidRPr="00BA2ECE" w:rsidR="00BA2ECE" w:rsidTr="29EC7756" w14:paraId="78FAED62" w14:textId="77777777">
        <w:trPr>
          <w:tblCellSpacing w:w="15" w:type="dxa"/>
        </w:trPr>
        <w:tc>
          <w:tcPr>
            <w:tcW w:w="0" w:type="auto"/>
            <w:tcMar/>
            <w:vAlign w:val="center"/>
            <w:hideMark/>
          </w:tcPr>
          <w:p w:rsidRPr="00BA2ECE" w:rsidR="00BA2ECE" w:rsidP="00BA2ECE" w:rsidRDefault="00BA2ECE" w14:paraId="5EE0B66D" w14:textId="77777777">
            <w:pPr>
              <w:jc w:val="both"/>
              <w:rPr>
                <w:sz w:val="22"/>
                <w:szCs w:val="22"/>
                <w:lang w:eastAsia="en-US"/>
              </w:rPr>
            </w:pPr>
            <w:r w:rsidRPr="00BA2ECE">
              <w:rPr>
                <w:sz w:val="22"/>
                <w:szCs w:val="22"/>
                <w:lang w:eastAsia="en-US"/>
              </w:rPr>
              <w:t>Potable Water</w:t>
            </w:r>
          </w:p>
        </w:tc>
        <w:tc>
          <w:tcPr>
            <w:tcW w:w="0" w:type="auto"/>
            <w:tcMar/>
            <w:vAlign w:val="center"/>
            <w:hideMark/>
          </w:tcPr>
          <w:p w:rsidRPr="00BA2ECE" w:rsidR="00BA2ECE" w:rsidP="00BA2ECE" w:rsidRDefault="00BA2ECE" w14:paraId="6DC34D22" w14:textId="77777777">
            <w:pPr>
              <w:jc w:val="both"/>
              <w:rPr>
                <w:sz w:val="22"/>
                <w:szCs w:val="22"/>
                <w:lang w:eastAsia="en-US"/>
              </w:rPr>
            </w:pPr>
            <w:r w:rsidRPr="00BA2ECE">
              <w:rPr>
                <w:sz w:val="22"/>
                <w:szCs w:val="22"/>
                <w:lang w:eastAsia="en-US"/>
              </w:rPr>
              <w:t>Emergency only (not used in practice)</w:t>
            </w:r>
          </w:p>
        </w:tc>
        <w:tc>
          <w:tcPr>
            <w:tcW w:w="0" w:type="auto"/>
            <w:tcMar/>
            <w:vAlign w:val="center"/>
            <w:hideMark/>
          </w:tcPr>
          <w:p w:rsidRPr="00BA2ECE" w:rsidR="00BA2ECE" w:rsidP="00BA2ECE" w:rsidRDefault="00BA2ECE" w14:paraId="787313E0" w14:textId="77777777">
            <w:pPr>
              <w:jc w:val="both"/>
              <w:rPr>
                <w:sz w:val="22"/>
                <w:szCs w:val="22"/>
                <w:lang w:eastAsia="en-US"/>
              </w:rPr>
            </w:pPr>
            <w:r w:rsidRPr="00BA2ECE">
              <w:rPr>
                <w:sz w:val="22"/>
                <w:szCs w:val="22"/>
                <w:lang w:eastAsia="en-US"/>
              </w:rPr>
              <w:t>0 litres</w:t>
            </w:r>
          </w:p>
        </w:tc>
        <w:tc>
          <w:tcPr>
            <w:tcW w:w="0" w:type="auto"/>
            <w:tcMar/>
            <w:vAlign w:val="center"/>
            <w:hideMark/>
          </w:tcPr>
          <w:p w:rsidRPr="00BA2ECE" w:rsidR="00BA2ECE" w:rsidP="00BA2ECE" w:rsidRDefault="00BA2ECE" w14:paraId="71CE6265" w14:textId="77777777">
            <w:pPr>
              <w:jc w:val="both"/>
              <w:rPr>
                <w:sz w:val="22"/>
                <w:szCs w:val="22"/>
                <w:lang w:eastAsia="en-US"/>
              </w:rPr>
            </w:pPr>
            <w:r w:rsidRPr="00BA2ECE">
              <w:rPr>
                <w:sz w:val="22"/>
                <w:szCs w:val="22"/>
                <w:lang w:eastAsia="en-US"/>
              </w:rPr>
              <w:t>0 litres</w:t>
            </w:r>
          </w:p>
        </w:tc>
        <w:tc>
          <w:tcPr>
            <w:tcW w:w="0" w:type="auto"/>
            <w:tcMar/>
            <w:vAlign w:val="center"/>
            <w:hideMark/>
          </w:tcPr>
          <w:p w:rsidRPr="00BA2ECE" w:rsidR="00BA2ECE" w:rsidP="00BA2ECE" w:rsidRDefault="00BA2ECE" w14:paraId="15A1BDCC" w14:textId="54ED9622">
            <w:pPr>
              <w:jc w:val="both"/>
              <w:rPr>
                <w:sz w:val="22"/>
                <w:szCs w:val="22"/>
                <w:lang w:eastAsia="en-US"/>
              </w:rPr>
            </w:pPr>
            <w:r w:rsidRPr="00BA2ECE">
              <w:rPr>
                <w:sz w:val="22"/>
                <w:szCs w:val="22"/>
                <w:lang w:eastAsia="en-US"/>
              </w:rPr>
              <w:t>Potential fallback: up to 46L/ton if needed</w:t>
            </w:r>
            <w:r>
              <w:rPr>
                <w:sz w:val="22"/>
                <w:szCs w:val="22"/>
                <w:lang w:eastAsia="en-US"/>
              </w:rPr>
              <w:t xml:space="preserve"> potable should harvest run out</w:t>
            </w:r>
          </w:p>
        </w:tc>
      </w:tr>
      <w:tr w:rsidRPr="00BA2ECE" w:rsidR="00BA2ECE" w:rsidTr="29EC7756" w14:paraId="3611E129" w14:textId="77777777">
        <w:trPr>
          <w:tblCellSpacing w:w="15" w:type="dxa"/>
        </w:trPr>
        <w:tc>
          <w:tcPr>
            <w:tcW w:w="0" w:type="auto"/>
            <w:tcMar/>
            <w:vAlign w:val="center"/>
            <w:hideMark/>
          </w:tcPr>
          <w:p w:rsidRPr="00BA2ECE" w:rsidR="00BA2ECE" w:rsidP="00BA2ECE" w:rsidRDefault="00BA2ECE" w14:paraId="4D71C43C" w14:textId="77777777">
            <w:pPr>
              <w:jc w:val="both"/>
              <w:rPr>
                <w:sz w:val="22"/>
                <w:szCs w:val="22"/>
                <w:lang w:eastAsia="en-US"/>
              </w:rPr>
            </w:pPr>
            <w:r w:rsidRPr="00BA2ECE">
              <w:rPr>
                <w:sz w:val="22"/>
                <w:szCs w:val="22"/>
                <w:lang w:eastAsia="en-US"/>
              </w:rPr>
              <w:t>Hydraulic/Gear Oils</w:t>
            </w:r>
          </w:p>
        </w:tc>
        <w:tc>
          <w:tcPr>
            <w:tcW w:w="0" w:type="auto"/>
            <w:tcMar/>
            <w:vAlign w:val="center"/>
            <w:hideMark/>
          </w:tcPr>
          <w:p w:rsidRPr="00BA2ECE" w:rsidR="00BA2ECE" w:rsidP="00BA2ECE" w:rsidRDefault="00BA2ECE" w14:paraId="2082008C" w14:textId="77777777">
            <w:pPr>
              <w:jc w:val="both"/>
              <w:rPr>
                <w:sz w:val="22"/>
                <w:szCs w:val="22"/>
                <w:lang w:eastAsia="en-US"/>
              </w:rPr>
            </w:pPr>
            <w:r w:rsidRPr="00BA2ECE">
              <w:rPr>
                <w:sz w:val="22"/>
                <w:szCs w:val="22"/>
                <w:lang w:eastAsia="en-US"/>
              </w:rPr>
              <w:t>Machinery lubrication</w:t>
            </w:r>
          </w:p>
        </w:tc>
        <w:tc>
          <w:tcPr>
            <w:tcW w:w="0" w:type="auto"/>
            <w:tcMar/>
            <w:vAlign w:val="center"/>
            <w:hideMark/>
          </w:tcPr>
          <w:p w:rsidRPr="00BA2ECE" w:rsidR="00BA2ECE" w:rsidP="00BA2ECE" w:rsidRDefault="00BA2ECE" w14:paraId="365BD107" w14:textId="7197955D">
            <w:pPr>
              <w:jc w:val="both"/>
              <w:rPr>
                <w:sz w:val="22"/>
                <w:szCs w:val="22"/>
                <w:lang w:eastAsia="en-US"/>
              </w:rPr>
            </w:pPr>
            <w:r w:rsidRPr="29EC7756" w:rsidR="1C91ED28">
              <w:rPr>
                <w:sz w:val="22"/>
                <w:szCs w:val="22"/>
                <w:lang w:eastAsia="en-US"/>
              </w:rPr>
              <w:t>10</w:t>
            </w:r>
            <w:r w:rsidRPr="29EC7756" w:rsidR="00BA2ECE">
              <w:rPr>
                <w:sz w:val="22"/>
                <w:szCs w:val="22"/>
                <w:lang w:eastAsia="en-US"/>
              </w:rPr>
              <w:t>00 litres</w:t>
            </w:r>
          </w:p>
        </w:tc>
        <w:tc>
          <w:tcPr>
            <w:tcW w:w="0" w:type="auto"/>
            <w:tcMar/>
            <w:vAlign w:val="center"/>
            <w:hideMark/>
          </w:tcPr>
          <w:p w:rsidRPr="00BA2ECE" w:rsidR="00BA2ECE" w:rsidP="00BA2ECE" w:rsidRDefault="00BA2ECE" w14:paraId="7B6ECF08" w14:textId="56349A04">
            <w:pPr>
              <w:jc w:val="both"/>
              <w:rPr>
                <w:sz w:val="22"/>
                <w:szCs w:val="22"/>
                <w:lang w:eastAsia="en-US"/>
              </w:rPr>
            </w:pPr>
            <w:r w:rsidRPr="29EC7756" w:rsidR="00BA2ECE">
              <w:rPr>
                <w:sz w:val="22"/>
                <w:szCs w:val="22"/>
                <w:lang w:eastAsia="en-US"/>
              </w:rPr>
              <w:t>0.0</w:t>
            </w:r>
            <w:r w:rsidRPr="29EC7756" w:rsidR="2FE69CAE">
              <w:rPr>
                <w:sz w:val="22"/>
                <w:szCs w:val="22"/>
                <w:lang w:eastAsia="en-US"/>
              </w:rPr>
              <w:t>1</w:t>
            </w:r>
            <w:r w:rsidRPr="29EC7756" w:rsidR="00BA2ECE">
              <w:rPr>
                <w:sz w:val="22"/>
                <w:szCs w:val="22"/>
                <w:lang w:eastAsia="en-US"/>
              </w:rPr>
              <w:t xml:space="preserve"> litres</w:t>
            </w:r>
          </w:p>
        </w:tc>
        <w:tc>
          <w:tcPr>
            <w:tcW w:w="0" w:type="auto"/>
            <w:tcMar/>
            <w:vAlign w:val="center"/>
            <w:hideMark/>
          </w:tcPr>
          <w:p w:rsidRPr="00BA2ECE" w:rsidR="00BA2ECE" w:rsidP="00BA2ECE" w:rsidRDefault="00BA2ECE" w14:paraId="65096FC6" w14:textId="59B7F072">
            <w:pPr>
              <w:jc w:val="both"/>
              <w:rPr>
                <w:sz w:val="22"/>
                <w:szCs w:val="22"/>
                <w:lang w:eastAsia="en-US"/>
              </w:rPr>
            </w:pPr>
            <w:r w:rsidRPr="29EC7756" w:rsidR="00BA2ECE">
              <w:rPr>
                <w:sz w:val="22"/>
                <w:szCs w:val="22"/>
                <w:lang w:eastAsia="en-US"/>
              </w:rPr>
              <w:t>Managed via scheduled maintenance</w:t>
            </w:r>
            <w:r w:rsidRPr="29EC7756" w:rsidR="4F796EC4">
              <w:rPr>
                <w:sz w:val="22"/>
                <w:szCs w:val="22"/>
                <w:lang w:eastAsia="en-US"/>
              </w:rPr>
              <w:t xml:space="preserve"> systems, </w:t>
            </w:r>
            <w:r w:rsidRPr="29EC7756" w:rsidR="4F796EC4">
              <w:rPr>
                <w:sz w:val="22"/>
                <w:szCs w:val="22"/>
                <w:lang w:eastAsia="en-US"/>
              </w:rPr>
              <w:t>appropriate service</w:t>
            </w:r>
            <w:r w:rsidRPr="29EC7756" w:rsidR="4F796EC4">
              <w:rPr>
                <w:sz w:val="22"/>
                <w:szCs w:val="22"/>
                <w:lang w:eastAsia="en-US"/>
              </w:rPr>
              <w:t xml:space="preserve"> and maintenance at </w:t>
            </w:r>
            <w:r w:rsidRPr="29EC7756" w:rsidR="4F796EC4">
              <w:rPr>
                <w:sz w:val="22"/>
                <w:szCs w:val="22"/>
                <w:lang w:eastAsia="en-US"/>
              </w:rPr>
              <w:t>required</w:t>
            </w:r>
            <w:r w:rsidRPr="29EC7756" w:rsidR="4F796EC4">
              <w:rPr>
                <w:sz w:val="22"/>
                <w:szCs w:val="22"/>
                <w:lang w:eastAsia="en-US"/>
              </w:rPr>
              <w:t xml:space="preserve"> timescales including recycling of used oils</w:t>
            </w:r>
          </w:p>
        </w:tc>
      </w:tr>
      <w:tr w:rsidRPr="00BA2ECE" w:rsidR="00BA2ECE" w:rsidTr="29EC7756" w14:paraId="671E54C8" w14:textId="77777777">
        <w:trPr>
          <w:tblCellSpacing w:w="15" w:type="dxa"/>
        </w:trPr>
        <w:tc>
          <w:tcPr>
            <w:tcW w:w="0" w:type="auto"/>
            <w:tcMar/>
            <w:vAlign w:val="center"/>
            <w:hideMark/>
          </w:tcPr>
          <w:p w:rsidRPr="00BA2ECE" w:rsidR="00BA2ECE" w:rsidP="00BA2ECE" w:rsidRDefault="00BA2ECE" w14:paraId="66F7C0C0" w14:textId="77777777">
            <w:pPr>
              <w:jc w:val="both"/>
              <w:rPr>
                <w:sz w:val="22"/>
                <w:szCs w:val="22"/>
                <w:lang w:eastAsia="en-US"/>
              </w:rPr>
            </w:pPr>
            <w:r w:rsidRPr="00BA2ECE">
              <w:rPr>
                <w:sz w:val="22"/>
                <w:szCs w:val="22"/>
                <w:lang w:eastAsia="en-US"/>
              </w:rPr>
              <w:t>AdBlue</w:t>
            </w:r>
          </w:p>
        </w:tc>
        <w:tc>
          <w:tcPr>
            <w:tcW w:w="0" w:type="auto"/>
            <w:tcMar/>
            <w:vAlign w:val="center"/>
            <w:hideMark/>
          </w:tcPr>
          <w:p w:rsidRPr="00BA2ECE" w:rsidR="00BA2ECE" w:rsidP="00BA2ECE" w:rsidRDefault="00BA2ECE" w14:paraId="49AA844E" w14:textId="77777777">
            <w:pPr>
              <w:jc w:val="both"/>
              <w:rPr>
                <w:sz w:val="22"/>
                <w:szCs w:val="22"/>
                <w:lang w:eastAsia="en-US"/>
              </w:rPr>
            </w:pPr>
            <w:r w:rsidRPr="00BA2ECE">
              <w:rPr>
                <w:sz w:val="22"/>
                <w:szCs w:val="22"/>
                <w:lang w:eastAsia="en-US"/>
              </w:rPr>
              <w:t>Diesel emissions reduction</w:t>
            </w:r>
          </w:p>
        </w:tc>
        <w:tc>
          <w:tcPr>
            <w:tcW w:w="0" w:type="auto"/>
            <w:tcMar/>
            <w:vAlign w:val="center"/>
            <w:hideMark/>
          </w:tcPr>
          <w:p w:rsidRPr="00BA2ECE" w:rsidR="00BA2ECE" w:rsidP="00BA2ECE" w:rsidRDefault="00343A9B" w14:paraId="2DA27629" w14:textId="0E7AE13C">
            <w:pPr>
              <w:jc w:val="both"/>
              <w:rPr>
                <w:sz w:val="22"/>
                <w:szCs w:val="22"/>
                <w:lang w:eastAsia="en-US"/>
              </w:rPr>
            </w:pPr>
            <w:r>
              <w:rPr>
                <w:sz w:val="22"/>
                <w:szCs w:val="22"/>
                <w:lang w:eastAsia="en-US"/>
              </w:rPr>
              <w:t>2160</w:t>
            </w:r>
          </w:p>
        </w:tc>
        <w:tc>
          <w:tcPr>
            <w:tcW w:w="0" w:type="auto"/>
            <w:tcMar/>
            <w:vAlign w:val="center"/>
            <w:hideMark/>
          </w:tcPr>
          <w:p w:rsidRPr="00BA2ECE" w:rsidR="00BA2ECE" w:rsidP="00BA2ECE" w:rsidRDefault="002D09C9" w14:paraId="4C9BC3DB" w14:textId="015ED3F4">
            <w:pPr>
              <w:jc w:val="both"/>
              <w:rPr>
                <w:sz w:val="22"/>
                <w:szCs w:val="22"/>
                <w:lang w:eastAsia="en-US"/>
              </w:rPr>
            </w:pPr>
            <w:r>
              <w:rPr>
                <w:sz w:val="22"/>
                <w:szCs w:val="22"/>
                <w:lang w:eastAsia="en-US"/>
              </w:rPr>
              <w:t>0.0216 litres</w:t>
            </w:r>
          </w:p>
        </w:tc>
        <w:tc>
          <w:tcPr>
            <w:tcW w:w="0" w:type="auto"/>
            <w:tcMar/>
            <w:vAlign w:val="center"/>
            <w:hideMark/>
          </w:tcPr>
          <w:p w:rsidRPr="00BA2ECE" w:rsidR="00BA2ECE" w:rsidP="00BA2ECE" w:rsidRDefault="00BA2ECE" w14:paraId="0EB594E9" w14:textId="77777777">
            <w:pPr>
              <w:jc w:val="both"/>
              <w:rPr>
                <w:sz w:val="22"/>
                <w:szCs w:val="22"/>
                <w:lang w:eastAsia="en-US"/>
              </w:rPr>
            </w:pPr>
            <w:r w:rsidRPr="00BA2ECE">
              <w:rPr>
                <w:sz w:val="22"/>
                <w:szCs w:val="22"/>
                <w:lang w:eastAsia="en-US"/>
              </w:rPr>
              <w:t>Supports NOx reduction</w:t>
            </w:r>
          </w:p>
        </w:tc>
      </w:tr>
    </w:tbl>
    <w:p w:rsidRPr="00BA2ECE" w:rsidR="00BA2ECE" w:rsidP="00BA2ECE" w:rsidRDefault="00BA2ECE" w14:paraId="11A767F5" w14:textId="77777777">
      <w:pPr>
        <w:jc w:val="both"/>
        <w:rPr>
          <w:sz w:val="22"/>
          <w:szCs w:val="22"/>
          <w:lang w:eastAsia="en-US"/>
        </w:rPr>
      </w:pPr>
      <w:r w:rsidRPr="29EC7756" w:rsidR="00BA2ECE">
        <w:rPr>
          <w:sz w:val="22"/>
          <w:szCs w:val="22"/>
          <w:lang w:eastAsia="en-US"/>
        </w:rPr>
        <w:t>No hazardous substances are used in the composting process. All materials are stored and managed in compliance with relevant CIRIA guidance and industry standards.</w:t>
      </w:r>
    </w:p>
    <w:p w:rsidR="29EC7756" w:rsidP="29EC7756" w:rsidRDefault="29EC7756" w14:paraId="41834667" w14:textId="63B91E08">
      <w:pPr>
        <w:jc w:val="both"/>
        <w:rPr>
          <w:sz w:val="22"/>
          <w:szCs w:val="22"/>
          <w:lang w:eastAsia="en-US"/>
        </w:rPr>
      </w:pPr>
    </w:p>
    <w:p w:rsidR="1640D5BF" w:rsidP="29EC7756" w:rsidRDefault="1640D5BF" w14:paraId="6576A1A7" w14:textId="77C9636F">
      <w:pPr>
        <w:jc w:val="both"/>
        <w:rPr>
          <w:b w:val="1"/>
          <w:bCs w:val="1"/>
          <w:sz w:val="22"/>
          <w:szCs w:val="22"/>
          <w:lang w:eastAsia="en-US"/>
        </w:rPr>
      </w:pPr>
      <w:r w:rsidRPr="29EC7756" w:rsidR="1640D5BF">
        <w:rPr>
          <w:b w:val="1"/>
          <w:bCs w:val="1"/>
          <w:sz w:val="22"/>
          <w:szCs w:val="22"/>
          <w:lang w:eastAsia="en-US"/>
        </w:rPr>
        <w:t>Material Hazards</w:t>
      </w:r>
    </w:p>
    <w:p w:rsidR="29EC7756" w:rsidP="29EC7756" w:rsidRDefault="29EC7756" w14:paraId="5165F166" w14:textId="5E319B46">
      <w:pPr>
        <w:jc w:val="both"/>
        <w:rPr>
          <w:b w:val="1"/>
          <w:bCs w:val="1"/>
          <w:sz w:val="22"/>
          <w:szCs w:val="22"/>
          <w:lang w:eastAsia="en-US"/>
        </w:rPr>
      </w:pPr>
    </w:p>
    <w:p w:rsidR="1640D5BF" w:rsidP="29EC7756" w:rsidRDefault="1640D5BF" w14:paraId="4CC48A23" w14:textId="5A7EB269">
      <w:pPr>
        <w:jc w:val="both"/>
        <w:rPr>
          <w:b w:val="0"/>
          <w:bCs w:val="0"/>
          <w:sz w:val="22"/>
          <w:szCs w:val="22"/>
          <w:lang w:eastAsia="en-US"/>
        </w:rPr>
      </w:pPr>
      <w:r w:rsidRPr="29EC7756" w:rsidR="1640D5BF">
        <w:rPr>
          <w:b w:val="0"/>
          <w:bCs w:val="0"/>
          <w:sz w:val="22"/>
          <w:szCs w:val="22"/>
          <w:lang w:eastAsia="en-US"/>
        </w:rPr>
        <w:t xml:space="preserve">Diesel, Oil, </w:t>
      </w:r>
      <w:r w:rsidRPr="29EC7756" w:rsidR="1640D5BF">
        <w:rPr>
          <w:b w:val="0"/>
          <w:bCs w:val="0"/>
          <w:sz w:val="22"/>
          <w:szCs w:val="22"/>
          <w:lang w:eastAsia="en-US"/>
        </w:rPr>
        <w:t>Adblue</w:t>
      </w:r>
      <w:r w:rsidRPr="29EC7756" w:rsidR="1640D5BF">
        <w:rPr>
          <w:b w:val="0"/>
          <w:bCs w:val="0"/>
          <w:sz w:val="22"/>
          <w:szCs w:val="22"/>
          <w:lang w:eastAsia="en-US"/>
        </w:rPr>
        <w:t xml:space="preserve"> SDS attached. </w:t>
      </w:r>
      <w:r w:rsidRPr="29EC7756" w:rsidR="1640D5BF">
        <w:rPr>
          <w:b w:val="0"/>
          <w:bCs w:val="0"/>
          <w:sz w:val="22"/>
          <w:szCs w:val="22"/>
          <w:lang w:eastAsia="en-US"/>
        </w:rPr>
        <w:t>All of</w:t>
      </w:r>
      <w:r w:rsidRPr="29EC7756" w:rsidR="1640D5BF">
        <w:rPr>
          <w:b w:val="0"/>
          <w:bCs w:val="0"/>
          <w:sz w:val="22"/>
          <w:szCs w:val="22"/>
          <w:lang w:eastAsia="en-US"/>
        </w:rPr>
        <w:t xml:space="preserve"> these materials are stored in oil regulations compliant containers and tanks which are fully internally bunded with </w:t>
      </w:r>
      <w:r w:rsidRPr="29EC7756" w:rsidR="1640D5BF">
        <w:rPr>
          <w:b w:val="0"/>
          <w:bCs w:val="0"/>
          <w:sz w:val="22"/>
          <w:szCs w:val="22"/>
          <w:lang w:eastAsia="en-US"/>
        </w:rPr>
        <w:t>appropriate spill</w:t>
      </w:r>
      <w:r w:rsidRPr="29EC7756" w:rsidR="1640D5BF">
        <w:rPr>
          <w:b w:val="0"/>
          <w:bCs w:val="0"/>
          <w:sz w:val="22"/>
          <w:szCs w:val="22"/>
          <w:lang w:eastAsia="en-US"/>
        </w:rPr>
        <w:t xml:space="preserve"> procedure in place and spill kits available with drain covers on a fully sealed </w:t>
      </w:r>
      <w:r w:rsidRPr="29EC7756" w:rsidR="47779732">
        <w:rPr>
          <w:b w:val="0"/>
          <w:bCs w:val="0"/>
          <w:sz w:val="22"/>
          <w:szCs w:val="22"/>
          <w:lang w:eastAsia="en-US"/>
        </w:rPr>
        <w:t>surface</w:t>
      </w:r>
      <w:r w:rsidRPr="29EC7756" w:rsidR="1640D5BF">
        <w:rPr>
          <w:b w:val="0"/>
          <w:bCs w:val="0"/>
          <w:sz w:val="22"/>
          <w:szCs w:val="22"/>
          <w:lang w:eastAsia="en-US"/>
        </w:rPr>
        <w:t>.</w:t>
      </w:r>
    </w:p>
    <w:p w:rsidR="29EC7756" w:rsidP="29EC7756" w:rsidRDefault="29EC7756" w14:paraId="148CD939" w14:textId="728D24C8">
      <w:pPr>
        <w:jc w:val="both"/>
        <w:rPr>
          <w:b w:val="0"/>
          <w:bCs w:val="0"/>
          <w:sz w:val="22"/>
          <w:szCs w:val="22"/>
          <w:lang w:eastAsia="en-US"/>
        </w:rPr>
      </w:pPr>
    </w:p>
    <w:p w:rsidR="4CDB96D6" w:rsidP="29EC7756" w:rsidRDefault="4CDB96D6" w14:paraId="3733EBAC" w14:textId="0760EF31">
      <w:pPr>
        <w:jc w:val="both"/>
        <w:rPr>
          <w:b w:val="1"/>
          <w:bCs w:val="1"/>
          <w:sz w:val="22"/>
          <w:szCs w:val="22"/>
          <w:lang w:eastAsia="en-US"/>
        </w:rPr>
      </w:pPr>
      <w:r w:rsidRPr="29EC7756" w:rsidR="4CDB96D6">
        <w:rPr>
          <w:b w:val="1"/>
          <w:bCs w:val="1"/>
          <w:sz w:val="22"/>
          <w:szCs w:val="22"/>
          <w:lang w:eastAsia="en-US"/>
        </w:rPr>
        <w:t>Justification</w:t>
      </w:r>
    </w:p>
    <w:p w:rsidR="29EC7756" w:rsidP="29EC7756" w:rsidRDefault="29EC7756" w14:paraId="6439C476" w14:textId="4B574419">
      <w:pPr>
        <w:jc w:val="both"/>
        <w:rPr>
          <w:b w:val="1"/>
          <w:bCs w:val="1"/>
          <w:sz w:val="22"/>
          <w:szCs w:val="22"/>
          <w:lang w:eastAsia="en-US"/>
        </w:rPr>
      </w:pPr>
    </w:p>
    <w:p w:rsidR="4CDB96D6" w:rsidP="29EC7756" w:rsidRDefault="4CDB96D6" w14:paraId="278CB452" w14:textId="47704063">
      <w:pPr>
        <w:jc w:val="both"/>
        <w:rPr>
          <w:b w:val="0"/>
          <w:bCs w:val="0"/>
          <w:sz w:val="22"/>
          <w:szCs w:val="22"/>
          <w:lang w:eastAsia="en-US"/>
        </w:rPr>
      </w:pPr>
      <w:r w:rsidRPr="29EC7756" w:rsidR="4CDB96D6">
        <w:rPr>
          <w:b w:val="0"/>
          <w:bCs w:val="0"/>
          <w:sz w:val="22"/>
          <w:szCs w:val="22"/>
          <w:lang w:eastAsia="en-US"/>
        </w:rPr>
        <w:t xml:space="preserve">Diesel - </w:t>
      </w:r>
    </w:p>
    <w:p w:rsidR="4CDB96D6" w:rsidP="29EC7756" w:rsidRDefault="4CDB96D6" w14:paraId="68E4B9EB" w14:textId="4B55C757">
      <w:pPr>
        <w:jc w:val="both"/>
        <w:rPr>
          <w:b w:val="0"/>
          <w:bCs w:val="0"/>
          <w:sz w:val="22"/>
          <w:szCs w:val="22"/>
          <w:lang w:eastAsia="en-US"/>
        </w:rPr>
      </w:pPr>
      <w:r w:rsidRPr="29EC7756" w:rsidR="4CDB96D6">
        <w:rPr>
          <w:b w:val="0"/>
          <w:bCs w:val="0"/>
          <w:sz w:val="22"/>
          <w:szCs w:val="22"/>
          <w:lang w:eastAsia="en-US"/>
        </w:rPr>
        <w:t xml:space="preserve">Mobile plant machinery is specified to be the most efficient load carrying </w:t>
      </w:r>
      <w:r w:rsidRPr="29EC7756" w:rsidR="4CDB96D6">
        <w:rPr>
          <w:b w:val="0"/>
          <w:bCs w:val="0"/>
          <w:sz w:val="22"/>
          <w:szCs w:val="22"/>
          <w:lang w:eastAsia="en-US"/>
        </w:rPr>
        <w:t>capacity</w:t>
      </w:r>
      <w:r w:rsidRPr="29EC7756" w:rsidR="4CDB96D6">
        <w:rPr>
          <w:b w:val="0"/>
          <w:bCs w:val="0"/>
          <w:sz w:val="22"/>
          <w:szCs w:val="22"/>
          <w:lang w:eastAsia="en-US"/>
        </w:rPr>
        <w:t xml:space="preserve"> which we can safely use, unfortunately at the current time there is </w:t>
      </w:r>
      <w:r w:rsidRPr="29EC7756" w:rsidR="4CDB96D6">
        <w:rPr>
          <w:b w:val="0"/>
          <w:bCs w:val="0"/>
          <w:sz w:val="22"/>
          <w:szCs w:val="22"/>
          <w:lang w:eastAsia="en-US"/>
        </w:rPr>
        <w:t>no</w:t>
      </w:r>
      <w:r w:rsidRPr="29EC7756" w:rsidR="4CDB96D6">
        <w:rPr>
          <w:b w:val="0"/>
          <w:bCs w:val="0"/>
          <w:sz w:val="22"/>
          <w:szCs w:val="22"/>
          <w:lang w:eastAsia="en-US"/>
        </w:rPr>
        <w:t xml:space="preserve"> alternative for heavy plant</w:t>
      </w:r>
    </w:p>
    <w:p w:rsidR="4CDB96D6" w:rsidP="29EC7756" w:rsidRDefault="4CDB96D6" w14:paraId="73601B65" w14:textId="091AF552">
      <w:pPr>
        <w:jc w:val="both"/>
        <w:rPr>
          <w:b w:val="0"/>
          <w:bCs w:val="0"/>
          <w:sz w:val="22"/>
          <w:szCs w:val="22"/>
          <w:lang w:eastAsia="en-US"/>
        </w:rPr>
      </w:pPr>
      <w:r w:rsidRPr="29EC7756" w:rsidR="4CDB96D6">
        <w:rPr>
          <w:b w:val="0"/>
          <w:bCs w:val="0"/>
          <w:sz w:val="22"/>
          <w:szCs w:val="22"/>
          <w:lang w:eastAsia="en-US"/>
        </w:rPr>
        <w:t xml:space="preserve">Oil - </w:t>
      </w:r>
    </w:p>
    <w:p w:rsidR="4CDB96D6" w:rsidP="29EC7756" w:rsidRDefault="4CDB96D6" w14:paraId="01AFBD41" w14:textId="51FA767D">
      <w:pPr>
        <w:jc w:val="both"/>
        <w:rPr>
          <w:b w:val="0"/>
          <w:bCs w:val="0"/>
          <w:sz w:val="22"/>
          <w:szCs w:val="22"/>
          <w:lang w:eastAsia="en-US"/>
        </w:rPr>
      </w:pPr>
      <w:r w:rsidRPr="29EC7756" w:rsidR="4CDB96D6">
        <w:rPr>
          <w:b w:val="0"/>
          <w:bCs w:val="0"/>
          <w:sz w:val="22"/>
          <w:szCs w:val="22"/>
          <w:lang w:eastAsia="en-US"/>
        </w:rPr>
        <w:t xml:space="preserve">As above, use of </w:t>
      </w:r>
      <w:r w:rsidRPr="29EC7756" w:rsidR="4CDB96D6">
        <w:rPr>
          <w:b w:val="0"/>
          <w:bCs w:val="0"/>
          <w:sz w:val="22"/>
          <w:szCs w:val="22"/>
          <w:lang w:eastAsia="en-US"/>
        </w:rPr>
        <w:t>appropriate oil</w:t>
      </w:r>
      <w:r w:rsidRPr="29EC7756" w:rsidR="4CDB96D6">
        <w:rPr>
          <w:b w:val="0"/>
          <w:bCs w:val="0"/>
          <w:sz w:val="22"/>
          <w:szCs w:val="22"/>
          <w:lang w:eastAsia="en-US"/>
        </w:rPr>
        <w:t xml:space="preserve"> ensures longevity of the plant and is </w:t>
      </w:r>
      <w:r w:rsidRPr="29EC7756" w:rsidR="4CDB96D6">
        <w:rPr>
          <w:b w:val="0"/>
          <w:bCs w:val="0"/>
          <w:sz w:val="22"/>
          <w:szCs w:val="22"/>
          <w:lang w:eastAsia="en-US"/>
        </w:rPr>
        <w:t>required</w:t>
      </w:r>
      <w:r w:rsidRPr="29EC7756" w:rsidR="4CDB96D6">
        <w:rPr>
          <w:b w:val="0"/>
          <w:bCs w:val="0"/>
          <w:sz w:val="22"/>
          <w:szCs w:val="22"/>
          <w:lang w:eastAsia="en-US"/>
        </w:rPr>
        <w:t xml:space="preserve"> for efficient operation. All used oil is </w:t>
      </w:r>
      <w:r w:rsidRPr="29EC7756" w:rsidR="4CDB96D6">
        <w:rPr>
          <w:b w:val="0"/>
          <w:bCs w:val="0"/>
          <w:sz w:val="22"/>
          <w:szCs w:val="22"/>
          <w:lang w:eastAsia="en-US"/>
        </w:rPr>
        <w:t>recycled</w:t>
      </w:r>
      <w:r w:rsidRPr="29EC7756" w:rsidR="4CDB96D6">
        <w:rPr>
          <w:b w:val="0"/>
          <w:bCs w:val="0"/>
          <w:sz w:val="22"/>
          <w:szCs w:val="22"/>
          <w:lang w:eastAsia="en-US"/>
        </w:rPr>
        <w:t>.</w:t>
      </w:r>
    </w:p>
    <w:p w:rsidR="4CDB96D6" w:rsidP="29EC7756" w:rsidRDefault="4CDB96D6" w14:paraId="7CD7F4AD" w14:textId="6EA146F0">
      <w:pPr>
        <w:jc w:val="both"/>
        <w:rPr>
          <w:b w:val="0"/>
          <w:bCs w:val="0"/>
          <w:sz w:val="22"/>
          <w:szCs w:val="22"/>
          <w:lang w:eastAsia="en-US"/>
        </w:rPr>
      </w:pPr>
      <w:r w:rsidRPr="29EC7756" w:rsidR="4CDB96D6">
        <w:rPr>
          <w:b w:val="0"/>
          <w:bCs w:val="0"/>
          <w:sz w:val="22"/>
          <w:szCs w:val="22"/>
          <w:lang w:eastAsia="en-US"/>
        </w:rPr>
        <w:t>AdBlue</w:t>
      </w:r>
      <w:r w:rsidRPr="29EC7756" w:rsidR="4CDB96D6">
        <w:rPr>
          <w:b w:val="0"/>
          <w:bCs w:val="0"/>
          <w:sz w:val="22"/>
          <w:szCs w:val="22"/>
          <w:lang w:eastAsia="en-US"/>
        </w:rPr>
        <w:t xml:space="preserve"> - </w:t>
      </w:r>
    </w:p>
    <w:p w:rsidR="4CDB96D6" w:rsidP="29EC7756" w:rsidRDefault="4CDB96D6" w14:paraId="32555619" w14:textId="313584B6">
      <w:pPr>
        <w:jc w:val="both"/>
        <w:rPr>
          <w:b w:val="0"/>
          <w:bCs w:val="0"/>
          <w:sz w:val="22"/>
          <w:szCs w:val="22"/>
          <w:lang w:eastAsia="en-US"/>
        </w:rPr>
      </w:pPr>
      <w:r w:rsidRPr="29EC7756" w:rsidR="4CDB96D6">
        <w:rPr>
          <w:b w:val="0"/>
          <w:bCs w:val="0"/>
          <w:sz w:val="22"/>
          <w:szCs w:val="22"/>
          <w:lang w:eastAsia="en-US"/>
        </w:rPr>
        <w:t xml:space="preserve">Required to ensure emissions from mobile plant are reduced to </w:t>
      </w:r>
      <w:r w:rsidRPr="29EC7756" w:rsidR="4CDB96D6">
        <w:rPr>
          <w:b w:val="0"/>
          <w:bCs w:val="0"/>
          <w:sz w:val="22"/>
          <w:szCs w:val="22"/>
          <w:lang w:eastAsia="en-US"/>
        </w:rPr>
        <w:t>comply with</w:t>
      </w:r>
      <w:r w:rsidRPr="29EC7756" w:rsidR="4CDB96D6">
        <w:rPr>
          <w:b w:val="0"/>
          <w:bCs w:val="0"/>
          <w:sz w:val="22"/>
          <w:szCs w:val="22"/>
          <w:lang w:eastAsia="en-US"/>
        </w:rPr>
        <w:t xml:space="preserve"> engine emissions </w:t>
      </w:r>
      <w:r w:rsidRPr="29EC7756" w:rsidR="4CDB96D6">
        <w:rPr>
          <w:b w:val="0"/>
          <w:bCs w:val="0"/>
          <w:sz w:val="22"/>
          <w:szCs w:val="22"/>
          <w:lang w:eastAsia="en-US"/>
        </w:rPr>
        <w:t>standards</w:t>
      </w:r>
      <w:r w:rsidRPr="29EC7756" w:rsidR="4CDB96D6">
        <w:rPr>
          <w:b w:val="0"/>
          <w:bCs w:val="0"/>
          <w:sz w:val="22"/>
          <w:szCs w:val="22"/>
          <w:lang w:eastAsia="en-US"/>
        </w:rPr>
        <w:t>.</w:t>
      </w:r>
    </w:p>
    <w:p w:rsidR="4CDB96D6" w:rsidP="29EC7756" w:rsidRDefault="4CDB96D6" w14:paraId="6582BAB3" w14:textId="65FAFCC6">
      <w:pPr>
        <w:jc w:val="both"/>
        <w:rPr>
          <w:b w:val="0"/>
          <w:bCs w:val="0"/>
          <w:sz w:val="22"/>
          <w:szCs w:val="22"/>
          <w:lang w:eastAsia="en-US"/>
        </w:rPr>
      </w:pPr>
      <w:r w:rsidRPr="29EC7756" w:rsidR="4CDB96D6">
        <w:rPr>
          <w:b w:val="0"/>
          <w:bCs w:val="0"/>
          <w:sz w:val="22"/>
          <w:szCs w:val="22"/>
          <w:lang w:eastAsia="en-US"/>
        </w:rPr>
        <w:t xml:space="preserve">Water - </w:t>
      </w:r>
    </w:p>
    <w:p w:rsidR="4CDB96D6" w:rsidP="29EC7756" w:rsidRDefault="4CDB96D6" w14:paraId="452BB182" w14:textId="25243529">
      <w:pPr>
        <w:pStyle w:val="Normal"/>
        <w:jc w:val="both"/>
        <w:rPr>
          <w:b w:val="0"/>
          <w:bCs w:val="0"/>
          <w:sz w:val="22"/>
          <w:szCs w:val="22"/>
          <w:lang w:eastAsia="en-US"/>
        </w:rPr>
      </w:pPr>
      <w:r w:rsidRPr="29EC7756" w:rsidR="4CDB96D6">
        <w:rPr>
          <w:b w:val="0"/>
          <w:bCs w:val="0"/>
          <w:sz w:val="22"/>
          <w:szCs w:val="22"/>
          <w:lang w:eastAsia="en-US"/>
        </w:rPr>
        <w:t xml:space="preserve">Water is only used from a potable source when it is not possible to get from other sources or recycle harvested </w:t>
      </w:r>
      <w:r w:rsidRPr="29EC7756" w:rsidR="4CDB96D6">
        <w:rPr>
          <w:b w:val="0"/>
          <w:bCs w:val="0"/>
          <w:sz w:val="22"/>
          <w:szCs w:val="22"/>
          <w:lang w:eastAsia="en-US"/>
        </w:rPr>
        <w:t>rainwater</w:t>
      </w:r>
      <w:r w:rsidRPr="29EC7756" w:rsidR="4CDB96D6">
        <w:rPr>
          <w:b w:val="0"/>
          <w:bCs w:val="0"/>
          <w:sz w:val="22"/>
          <w:szCs w:val="22"/>
          <w:lang w:eastAsia="en-US"/>
        </w:rPr>
        <w:t xml:space="preserve">. It is </w:t>
      </w:r>
      <w:r w:rsidRPr="29EC7756" w:rsidR="4CDB96D6">
        <w:rPr>
          <w:b w:val="0"/>
          <w:bCs w:val="0"/>
          <w:sz w:val="22"/>
          <w:szCs w:val="22"/>
          <w:lang w:eastAsia="en-US"/>
        </w:rPr>
        <w:t>required</w:t>
      </w:r>
      <w:r w:rsidRPr="29EC7756" w:rsidR="4CDB96D6">
        <w:rPr>
          <w:b w:val="0"/>
          <w:bCs w:val="0"/>
          <w:sz w:val="22"/>
          <w:szCs w:val="22"/>
          <w:lang w:eastAsia="en-US"/>
        </w:rPr>
        <w:t xml:space="preserve"> to ensure the material biology can function to power the drying process.</w:t>
      </w:r>
    </w:p>
    <w:p w:rsidR="29EC7756" w:rsidP="29EC7756" w:rsidRDefault="29EC7756" w14:paraId="0A7430A1" w14:textId="3E316716">
      <w:pPr>
        <w:jc w:val="both"/>
        <w:rPr>
          <w:sz w:val="22"/>
          <w:szCs w:val="22"/>
          <w:lang w:eastAsia="en-US"/>
        </w:rPr>
      </w:pPr>
    </w:p>
    <w:p w:rsidRPr="00BA2ECE" w:rsidR="00BA2ECE" w:rsidP="00BF1F03" w:rsidRDefault="00BA2ECE" w14:paraId="5E4BD9AD" w14:textId="77777777">
      <w:pPr>
        <w:pStyle w:val="Heading2"/>
      </w:pPr>
      <w:bookmarkStart w:name="_Toc194842509" w:id="3"/>
      <w:r w:rsidRPr="00BA2ECE">
        <w:t>Efficiency Techniques and Monitoring</w:t>
      </w:r>
      <w:bookmarkEnd w:id="3"/>
    </w:p>
    <w:p w:rsidRPr="00BA2ECE" w:rsidR="00BA2ECE" w:rsidP="00BA2ECE" w:rsidRDefault="00BA2ECE" w14:paraId="1EEA9A1E" w14:textId="77777777">
      <w:pPr>
        <w:jc w:val="both"/>
        <w:rPr>
          <w:sz w:val="22"/>
          <w:szCs w:val="22"/>
          <w:lang w:eastAsia="en-US"/>
        </w:rPr>
      </w:pPr>
      <w:r w:rsidRPr="00BA2ECE">
        <w:rPr>
          <w:sz w:val="22"/>
          <w:szCs w:val="22"/>
          <w:lang w:eastAsia="en-US"/>
        </w:rPr>
        <w:t>Envar deploys a suite of operational techniques to minimise raw material use and environmental impact while maximising productivity. These include both strategic investments and day-to-day good practice measures.</w:t>
      </w:r>
    </w:p>
    <w:p w:rsidRPr="00BA2ECE" w:rsidR="00BA2ECE" w:rsidP="00BA2ECE" w:rsidRDefault="00BA2ECE" w14:paraId="29272354" w14:textId="77777777">
      <w:pPr>
        <w:jc w:val="both"/>
        <w:rPr>
          <w:sz w:val="22"/>
          <w:szCs w:val="22"/>
          <w:lang w:eastAsia="en-US"/>
        </w:rPr>
      </w:pPr>
      <w:r w:rsidRPr="00BA2ECE">
        <w:rPr>
          <w:sz w:val="22"/>
          <w:szCs w:val="22"/>
          <w:lang w:eastAsia="en-US"/>
        </w:rPr>
        <w:lastRenderedPageBreak/>
        <w:t>A major efficiency focus is on reducing the double handling of materials. Site layout and traffic flow are optimised to ensure that incoming feedstocks are delivered directly to the point of shredding or blending with minimal unnecessary movement. This not only cuts diesel consumption but also reduces equipment wear.</w:t>
      </w:r>
    </w:p>
    <w:p w:rsidRPr="00BA2ECE" w:rsidR="00BA2ECE" w:rsidP="00BA2ECE" w:rsidRDefault="00BA2ECE" w14:paraId="5D830A5B" w14:textId="77777777">
      <w:pPr>
        <w:jc w:val="both"/>
        <w:rPr>
          <w:sz w:val="22"/>
          <w:szCs w:val="22"/>
          <w:lang w:eastAsia="en-US"/>
        </w:rPr>
      </w:pPr>
      <w:r w:rsidRPr="00BA2ECE">
        <w:rPr>
          <w:sz w:val="22"/>
          <w:szCs w:val="22"/>
          <w:lang w:eastAsia="en-US"/>
        </w:rPr>
        <w:t>Machinery is selected and operated for maximum capacity and efficiency. Our screening, shredding, and handling equipment is sized to process full loads, and operators are trained in optimal usage to reduce idle time. Fuel use is further minimised by investing in newer, more efficient mobile plant, replacing outdated machines with lower-emission, lower-consumption alternatives.</w:t>
      </w:r>
    </w:p>
    <w:p w:rsidRPr="00BA2ECE" w:rsidR="00BA2ECE" w:rsidP="00BA2ECE" w:rsidRDefault="00BA2ECE" w14:paraId="073131C9" w14:textId="77777777">
      <w:pPr>
        <w:jc w:val="both"/>
        <w:rPr>
          <w:sz w:val="22"/>
          <w:szCs w:val="22"/>
          <w:lang w:eastAsia="en-US"/>
        </w:rPr>
      </w:pPr>
      <w:r w:rsidRPr="00BA2ECE">
        <w:rPr>
          <w:sz w:val="22"/>
          <w:szCs w:val="22"/>
          <w:lang w:eastAsia="en-US"/>
        </w:rPr>
        <w:t>To ensure machinery operates within peak efficiency parameters, we use an online asset tracker and maintenance scheduling platform. This system monitors run times, fuel burn, load factors, and service intervals. Alerts are issued for abnormal usage, and performance KPIs are regularly reviewed to identify areas for intervention.</w:t>
      </w:r>
    </w:p>
    <w:p w:rsidRPr="00BA2ECE" w:rsidR="00BA2ECE" w:rsidP="00BA2ECE" w:rsidRDefault="00BA2ECE" w14:paraId="054F8EA4" w14:textId="77777777">
      <w:pPr>
        <w:jc w:val="both"/>
        <w:rPr>
          <w:sz w:val="22"/>
          <w:szCs w:val="22"/>
          <w:lang w:eastAsia="en-US"/>
        </w:rPr>
      </w:pPr>
      <w:r w:rsidRPr="00BA2ECE">
        <w:rPr>
          <w:sz w:val="22"/>
          <w:szCs w:val="22"/>
          <w:lang w:eastAsia="en-US"/>
        </w:rPr>
        <w:t>Training is a cornerstone of our efficiency strategy. Staff are trained in:</w:t>
      </w:r>
    </w:p>
    <w:p w:rsidRPr="00BA2ECE" w:rsidR="00BA2ECE" w:rsidP="00BA2ECE" w:rsidRDefault="00BA2ECE" w14:paraId="581FD9E8" w14:textId="77777777">
      <w:pPr>
        <w:numPr>
          <w:ilvl w:val="0"/>
          <w:numId w:val="37"/>
        </w:numPr>
        <w:jc w:val="both"/>
        <w:rPr>
          <w:sz w:val="22"/>
          <w:szCs w:val="22"/>
          <w:lang w:eastAsia="en-US"/>
        </w:rPr>
      </w:pPr>
      <w:r w:rsidRPr="00BA2ECE">
        <w:rPr>
          <w:sz w:val="22"/>
          <w:szCs w:val="22"/>
          <w:lang w:eastAsia="en-US"/>
        </w:rPr>
        <w:t>Effective blending to ensure optimal airflow through composting windrows, reducing the load on blowers and minimising electrical consumption.</w:t>
      </w:r>
    </w:p>
    <w:p w:rsidRPr="00BA2ECE" w:rsidR="00BA2ECE" w:rsidP="00BA2ECE" w:rsidRDefault="00BA2ECE" w14:paraId="58F77930" w14:textId="711C6389">
      <w:pPr>
        <w:numPr>
          <w:ilvl w:val="0"/>
          <w:numId w:val="37"/>
        </w:numPr>
        <w:jc w:val="both"/>
        <w:rPr>
          <w:sz w:val="22"/>
          <w:szCs w:val="22"/>
          <w:lang w:eastAsia="en-US"/>
        </w:rPr>
      </w:pPr>
      <w:r w:rsidRPr="00BA2ECE">
        <w:rPr>
          <w:sz w:val="22"/>
          <w:szCs w:val="22"/>
          <w:lang w:eastAsia="en-US"/>
        </w:rPr>
        <w:t xml:space="preserve">Recognising overuse of plant, improper </w:t>
      </w:r>
      <w:r w:rsidR="00BF1F03">
        <w:rPr>
          <w:sz w:val="22"/>
          <w:szCs w:val="22"/>
          <w:lang w:eastAsia="en-US"/>
        </w:rPr>
        <w:t>movement</w:t>
      </w:r>
      <w:r w:rsidRPr="00BA2ECE">
        <w:rPr>
          <w:sz w:val="22"/>
          <w:szCs w:val="22"/>
          <w:lang w:eastAsia="en-US"/>
        </w:rPr>
        <w:t xml:space="preserve"> techniques, and inefficient material movements.</w:t>
      </w:r>
    </w:p>
    <w:p w:rsidRPr="00BA2ECE" w:rsidR="00BA2ECE" w:rsidP="00BA2ECE" w:rsidRDefault="00BA2ECE" w14:paraId="28F11376" w14:textId="77777777">
      <w:pPr>
        <w:numPr>
          <w:ilvl w:val="0"/>
          <w:numId w:val="37"/>
        </w:numPr>
        <w:jc w:val="both"/>
        <w:rPr>
          <w:sz w:val="22"/>
          <w:szCs w:val="22"/>
          <w:lang w:eastAsia="en-US"/>
        </w:rPr>
      </w:pPr>
      <w:r w:rsidRPr="00BA2ECE">
        <w:rPr>
          <w:sz w:val="22"/>
          <w:szCs w:val="22"/>
          <w:lang w:eastAsia="en-US"/>
        </w:rPr>
        <w:t>The environmental impact of each operational activity, building a culture of resource stewardship.</w:t>
      </w:r>
    </w:p>
    <w:p w:rsidRPr="00BA2ECE" w:rsidR="00BA2ECE" w:rsidP="00BA2ECE" w:rsidRDefault="00BA2ECE" w14:paraId="4384545C" w14:textId="34E3E9DE">
      <w:pPr>
        <w:jc w:val="both"/>
        <w:rPr>
          <w:sz w:val="22"/>
          <w:szCs w:val="22"/>
          <w:lang w:eastAsia="en-US"/>
        </w:rPr>
      </w:pPr>
      <w:r w:rsidRPr="00BA2ECE">
        <w:rPr>
          <w:sz w:val="22"/>
          <w:szCs w:val="22"/>
          <w:lang w:eastAsia="en-US"/>
        </w:rPr>
        <w:t xml:space="preserve">Energy use is significantly offset by our on-site 364 kW peak solar array, which feeds power to composting systems and site buildings. This array, along with a </w:t>
      </w:r>
      <w:r w:rsidR="00BF1F03">
        <w:rPr>
          <w:sz w:val="22"/>
          <w:szCs w:val="22"/>
          <w:lang w:eastAsia="en-US"/>
        </w:rPr>
        <w:t>9.4</w:t>
      </w:r>
      <w:r w:rsidRPr="00BA2ECE">
        <w:rPr>
          <w:sz w:val="22"/>
          <w:szCs w:val="22"/>
          <w:lang w:eastAsia="en-US"/>
        </w:rPr>
        <w:t xml:space="preserve"> kW system on the office roof, reduces our demand from the grid and exports excess renewable electricity when possible.</w:t>
      </w:r>
    </w:p>
    <w:p w:rsidRPr="00BA2ECE" w:rsidR="00BA2ECE" w:rsidP="00BA2ECE" w:rsidRDefault="00BA2ECE" w14:paraId="46A513A1" w14:textId="77777777">
      <w:pPr>
        <w:jc w:val="both"/>
        <w:rPr>
          <w:sz w:val="22"/>
          <w:szCs w:val="22"/>
          <w:lang w:eastAsia="en-US"/>
        </w:rPr>
      </w:pPr>
      <w:r w:rsidRPr="00BA2ECE">
        <w:rPr>
          <w:sz w:val="22"/>
          <w:szCs w:val="22"/>
          <w:lang w:eastAsia="en-US"/>
        </w:rPr>
        <w:t>We exclusively purchase electricity from certified renewable sources. As a result, our Scope 2 emissions are effectively zero, and Scope 1 emissions (linked to diesel use) are actively managed through the above efficiency initiatives.</w:t>
      </w:r>
    </w:p>
    <w:p w:rsidRPr="00BA2ECE" w:rsidR="00BA2ECE" w:rsidP="00BA2ECE" w:rsidRDefault="00BA2ECE" w14:paraId="45EEE8E5" w14:textId="3412E712">
      <w:pPr>
        <w:jc w:val="both"/>
        <w:rPr>
          <w:sz w:val="22"/>
          <w:szCs w:val="22"/>
          <w:lang w:eastAsia="en-US"/>
        </w:rPr>
      </w:pPr>
      <w:r w:rsidRPr="00BA2ECE">
        <w:rPr>
          <w:sz w:val="22"/>
          <w:szCs w:val="22"/>
          <w:lang w:eastAsia="en-US"/>
        </w:rPr>
        <w:t>Water efficiency is also paramount. Our composting process uses zero potable water</w:t>
      </w:r>
      <w:r w:rsidR="002058C2">
        <w:rPr>
          <w:sz w:val="22"/>
          <w:szCs w:val="22"/>
          <w:lang w:eastAsia="en-US"/>
        </w:rPr>
        <w:t xml:space="preserve"> when possible</w:t>
      </w:r>
      <w:r w:rsidRPr="00BA2ECE">
        <w:rPr>
          <w:sz w:val="22"/>
          <w:szCs w:val="22"/>
          <w:lang w:eastAsia="en-US"/>
        </w:rPr>
        <w:t>. All moisture correction is achieved using harvested rainwater and internally captured leachate, stored in lagoons and applied in line with composting moisture needs. If potable water were required, up to 46 litres per tonne might be used, but in practice, this is fully substituted by harvested sources</w:t>
      </w:r>
      <w:r w:rsidR="002058C2">
        <w:rPr>
          <w:sz w:val="22"/>
          <w:szCs w:val="22"/>
          <w:lang w:eastAsia="en-US"/>
        </w:rPr>
        <w:t xml:space="preserve"> unless there is a significant dry period</w:t>
      </w:r>
      <w:r w:rsidRPr="00BA2ECE">
        <w:rPr>
          <w:sz w:val="22"/>
          <w:szCs w:val="22"/>
          <w:lang w:eastAsia="en-US"/>
        </w:rPr>
        <w:t>.</w:t>
      </w:r>
      <w:r w:rsidR="002058C2">
        <w:rPr>
          <w:sz w:val="22"/>
          <w:szCs w:val="22"/>
          <w:lang w:eastAsia="en-US"/>
        </w:rPr>
        <w:t xml:space="preserve"> Envar have applied for planning to increase storage.</w:t>
      </w:r>
    </w:p>
    <w:p w:rsidRPr="00BA2ECE" w:rsidR="00BA2ECE" w:rsidP="00BA2ECE" w:rsidRDefault="00BA2ECE" w14:paraId="7969781F" w14:textId="77777777">
      <w:pPr>
        <w:jc w:val="both"/>
        <w:rPr>
          <w:sz w:val="22"/>
          <w:szCs w:val="22"/>
          <w:lang w:eastAsia="en-US"/>
        </w:rPr>
      </w:pPr>
      <w:r w:rsidRPr="00BA2ECE">
        <w:rPr>
          <w:sz w:val="22"/>
          <w:szCs w:val="22"/>
          <w:lang w:eastAsia="en-US"/>
        </w:rPr>
        <w:t>Our performance is tracked annually through our verified Planet Mark Carbon Reduction Plan, which includes emissions per tonne treated, allowing us to benchmark progress. In the last reporting period, normalised emissions dropped by 10%, reflecting the positive impact of our operational efficiency programme.</w:t>
      </w:r>
    </w:p>
    <w:p w:rsidR="00B52A0E" w:rsidP="00BA2ECE" w:rsidRDefault="00BA2ECE" w14:paraId="5199E7C7" w14:textId="32676FF6">
      <w:pPr>
        <w:jc w:val="both"/>
        <w:rPr>
          <w:sz w:val="22"/>
          <w:szCs w:val="22"/>
          <w:lang w:eastAsia="en-US"/>
        </w:rPr>
      </w:pPr>
      <w:r w:rsidRPr="00BA2ECE">
        <w:rPr>
          <w:sz w:val="22"/>
          <w:szCs w:val="22"/>
          <w:lang w:eastAsia="en-US"/>
        </w:rPr>
        <w:t>Through integration of technology, operator behaviour, renewable energy investment, and best-practice infrastructure design, Envar ensures that raw material use is efficient, sustainable, and fully aligned with our commitment to continuous improvement.</w:t>
      </w:r>
    </w:p>
    <w:p w:rsidR="00057159" w:rsidP="00BA2ECE" w:rsidRDefault="00057159" w14:paraId="1839DA8B" w14:textId="556FCF60">
      <w:pPr>
        <w:jc w:val="both"/>
        <w:rPr>
          <w:sz w:val="22"/>
          <w:szCs w:val="22"/>
          <w:lang w:eastAsia="en-US"/>
        </w:rPr>
      </w:pPr>
      <w:r>
        <w:rPr>
          <w:sz w:val="22"/>
          <w:szCs w:val="22"/>
          <w:lang w:eastAsia="en-US"/>
        </w:rPr>
        <w:lastRenderedPageBreak/>
        <w:t xml:space="preserve">The table below outlines how Envar comply to the </w:t>
      </w:r>
      <w:r w:rsidRPr="00057159">
        <w:rPr>
          <w:sz w:val="22"/>
          <w:szCs w:val="22"/>
          <w:lang w:eastAsia="en-US"/>
        </w:rPr>
        <w:t>EA-Recognised Raw Material Efficiency Techniques</w:t>
      </w:r>
      <w:r>
        <w:rPr>
          <w:sz w:val="22"/>
          <w:szCs w:val="22"/>
          <w:lang w:eastAsia="en-US"/>
        </w:rPr>
        <w:t xml:space="preserve"> which are</w:t>
      </w:r>
      <w:r w:rsidRPr="00057159">
        <w:rPr>
          <w:sz w:val="22"/>
          <w:szCs w:val="22"/>
          <w:lang w:eastAsia="en-US"/>
        </w:rPr>
        <w:t xml:space="preserve"> Already in Use at Envar</w:t>
      </w:r>
      <w:r>
        <w:rPr>
          <w:sz w:val="22"/>
          <w:szCs w:val="22"/>
          <w:lang w:eastAsia="en-US"/>
        </w:rPr>
        <w:t xml:space="preserve">. These </w:t>
      </w:r>
      <w:r w:rsidR="008A03E9">
        <w:rPr>
          <w:sz w:val="22"/>
          <w:szCs w:val="22"/>
          <w:lang w:eastAsia="en-US"/>
        </w:rPr>
        <w:t>references are derived from BAT and Appropriate Measures.</w:t>
      </w:r>
    </w:p>
    <w:p w:rsidR="008A03E9" w:rsidP="00BA2ECE" w:rsidRDefault="008A03E9" w14:paraId="14B9214E" w14:textId="77777777">
      <w:pPr>
        <w:jc w:val="both"/>
        <w:rPr>
          <w:sz w:val="22"/>
          <w:szCs w:val="22"/>
          <w:lang w:eastAsia="en-US"/>
        </w:rPr>
      </w:pPr>
    </w:p>
    <w:p w:rsidR="008A03E9" w:rsidP="008A03E9" w:rsidRDefault="008A03E9" w14:paraId="24D64D33" w14:textId="2BE5A63A">
      <w:pPr>
        <w:pStyle w:val="Heading2"/>
      </w:pPr>
      <w:bookmarkStart w:name="_Toc194842510" w:id="4"/>
      <w:r>
        <w:t>BAT and Appropriate Measures</w:t>
      </w:r>
      <w:bookmarkEnd w:id="4"/>
      <w:r>
        <w:t xml:space="preserve"> </w:t>
      </w:r>
    </w:p>
    <w:p w:rsidR="005F2885" w:rsidP="005F2885" w:rsidRDefault="005F2885" w14:paraId="013359FB" w14:textId="77777777">
      <w:pPr>
        <w:rPr>
          <w:lang w:eastAsia="en-US"/>
        </w:rPr>
      </w:pPr>
    </w:p>
    <w:p w:rsidR="00303241" w:rsidP="00303241" w:rsidRDefault="00303241" w14:paraId="25A08EAA" w14:textId="77777777">
      <w:pPr>
        <w:pStyle w:val="Heading3"/>
      </w:pPr>
      <w:bookmarkStart w:name="_Toc194842511" w:id="5"/>
      <w:r w:rsidRPr="00303241">
        <w:t>Alignment with Environment Agency Raw Material Efficiency Techniques</w:t>
      </w:r>
      <w:bookmarkEnd w:id="5"/>
    </w:p>
    <w:p w:rsidRPr="00303241" w:rsidR="00303241" w:rsidP="00303241" w:rsidRDefault="00303241" w14:paraId="358AFEFE" w14:textId="77777777">
      <w:pPr>
        <w:rPr>
          <w:lang w:eastAsia="en-US"/>
        </w:rPr>
      </w:pPr>
    </w:p>
    <w:p w:rsidRPr="00303241" w:rsidR="00303241" w:rsidP="00303241" w:rsidRDefault="00303241" w14:paraId="1B8DE3FB" w14:textId="77777777">
      <w:pPr>
        <w:rPr>
          <w:sz w:val="22"/>
          <w:szCs w:val="22"/>
          <w:lang w:eastAsia="en-US"/>
        </w:rPr>
      </w:pPr>
      <w:r w:rsidRPr="00303241">
        <w:rPr>
          <w:sz w:val="22"/>
          <w:szCs w:val="22"/>
          <w:lang w:eastAsia="en-US"/>
        </w:rPr>
        <w:t>Envar Composting has adopted a wide range of operational and strategic practices that align closely with the Environment Agency's Appropriate Measures for Biological Waste Treatment and the Best Available Techniques (BAT) for Waste Treatment. These practices ensure that raw materials such as energy, water, diesel, and operational inputs are used in a responsible, efficient, and environmentally sustainable manner.</w:t>
      </w:r>
    </w:p>
    <w:p w:rsidR="00303241" w:rsidP="00303241" w:rsidRDefault="00303241" w14:paraId="2D6FCDF4" w14:textId="77777777">
      <w:pPr>
        <w:rPr>
          <w:sz w:val="22"/>
          <w:szCs w:val="22"/>
          <w:lang w:eastAsia="en-US"/>
        </w:rPr>
      </w:pPr>
      <w:r w:rsidRPr="00303241">
        <w:rPr>
          <w:sz w:val="22"/>
          <w:szCs w:val="22"/>
          <w:lang w:eastAsia="en-US"/>
        </w:rPr>
        <w:t>The table below summarises key raw material efficiency techniques identified by the Environment Agency and demonstrates how Envar is implementing each one in practice:</w:t>
      </w:r>
    </w:p>
    <w:p w:rsidRPr="00303241" w:rsidR="00303241" w:rsidP="00303241" w:rsidRDefault="00303241" w14:paraId="3355ACD5" w14:textId="77777777">
      <w:pPr>
        <w:rPr>
          <w:sz w:val="22"/>
          <w:szCs w:val="22"/>
          <w:lang w:eastAsia="en-US"/>
        </w:rPr>
      </w:pP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3425"/>
        <w:gridCol w:w="1309"/>
        <w:gridCol w:w="4282"/>
      </w:tblGrid>
      <w:tr w:rsidRPr="00303241" w:rsidR="00303241" w:rsidTr="00303241" w14:paraId="0051F9AC" w14:textId="77777777">
        <w:trPr>
          <w:tblHeader/>
          <w:tblCellSpacing w:w="15" w:type="dxa"/>
        </w:trPr>
        <w:tc>
          <w:tcPr>
            <w:tcW w:w="0" w:type="auto"/>
            <w:vAlign w:val="center"/>
            <w:hideMark/>
          </w:tcPr>
          <w:p w:rsidRPr="00303241" w:rsidR="00303241" w:rsidP="00303241" w:rsidRDefault="00303241" w14:paraId="353CE534" w14:textId="77777777">
            <w:pPr>
              <w:rPr>
                <w:b/>
                <w:bCs/>
                <w:sz w:val="22"/>
                <w:szCs w:val="22"/>
                <w:lang w:eastAsia="en-US"/>
              </w:rPr>
            </w:pPr>
            <w:r w:rsidRPr="00303241">
              <w:rPr>
                <w:b/>
                <w:bCs/>
                <w:sz w:val="22"/>
                <w:szCs w:val="22"/>
                <w:lang w:eastAsia="en-US"/>
              </w:rPr>
              <w:t>Technique</w:t>
            </w:r>
          </w:p>
        </w:tc>
        <w:tc>
          <w:tcPr>
            <w:tcW w:w="0" w:type="auto"/>
            <w:vAlign w:val="center"/>
            <w:hideMark/>
          </w:tcPr>
          <w:p w:rsidRPr="00303241" w:rsidR="00303241" w:rsidP="00303241" w:rsidRDefault="00303241" w14:paraId="7C31D461" w14:textId="77777777">
            <w:pPr>
              <w:rPr>
                <w:b/>
                <w:bCs/>
                <w:sz w:val="22"/>
                <w:szCs w:val="22"/>
                <w:lang w:eastAsia="en-US"/>
              </w:rPr>
            </w:pPr>
            <w:r w:rsidRPr="00303241">
              <w:rPr>
                <w:b/>
                <w:bCs/>
                <w:sz w:val="22"/>
                <w:szCs w:val="22"/>
                <w:lang w:eastAsia="en-US"/>
              </w:rPr>
              <w:t>EA/BAT Reference</w:t>
            </w:r>
          </w:p>
        </w:tc>
        <w:tc>
          <w:tcPr>
            <w:tcW w:w="0" w:type="auto"/>
            <w:vAlign w:val="center"/>
            <w:hideMark/>
          </w:tcPr>
          <w:p w:rsidRPr="00303241" w:rsidR="00303241" w:rsidP="00303241" w:rsidRDefault="00303241" w14:paraId="1EAD7AF0" w14:textId="77777777">
            <w:pPr>
              <w:rPr>
                <w:b/>
                <w:bCs/>
                <w:sz w:val="22"/>
                <w:szCs w:val="22"/>
                <w:lang w:eastAsia="en-US"/>
              </w:rPr>
            </w:pPr>
            <w:r w:rsidRPr="00303241">
              <w:rPr>
                <w:b/>
                <w:bCs/>
                <w:sz w:val="22"/>
                <w:szCs w:val="22"/>
                <w:lang w:eastAsia="en-US"/>
              </w:rPr>
              <w:t>Envar Implementation</w:t>
            </w:r>
          </w:p>
        </w:tc>
      </w:tr>
      <w:tr w:rsidRPr="00303241" w:rsidR="00303241" w:rsidTr="00303241" w14:paraId="33323BE6" w14:textId="77777777">
        <w:trPr>
          <w:tblCellSpacing w:w="15" w:type="dxa"/>
        </w:trPr>
        <w:tc>
          <w:tcPr>
            <w:tcW w:w="0" w:type="auto"/>
            <w:vAlign w:val="center"/>
            <w:hideMark/>
          </w:tcPr>
          <w:p w:rsidRPr="00303241" w:rsidR="00303241" w:rsidP="00303241" w:rsidRDefault="00303241" w14:paraId="63E3DC9A" w14:textId="77777777">
            <w:pPr>
              <w:rPr>
                <w:sz w:val="22"/>
                <w:szCs w:val="22"/>
                <w:lang w:eastAsia="en-US"/>
              </w:rPr>
            </w:pPr>
            <w:r w:rsidRPr="00303241">
              <w:rPr>
                <w:sz w:val="22"/>
                <w:szCs w:val="22"/>
                <w:lang w:eastAsia="en-US"/>
              </w:rPr>
              <w:t>Substitution of raw materials with waste-derived alternatives</w:t>
            </w:r>
          </w:p>
        </w:tc>
        <w:tc>
          <w:tcPr>
            <w:tcW w:w="0" w:type="auto"/>
            <w:vAlign w:val="center"/>
            <w:hideMark/>
          </w:tcPr>
          <w:p w:rsidRPr="00303241" w:rsidR="00303241" w:rsidP="00303241" w:rsidRDefault="00303241" w14:paraId="3792E4BA" w14:textId="77777777">
            <w:pPr>
              <w:rPr>
                <w:sz w:val="22"/>
                <w:szCs w:val="22"/>
                <w:lang w:eastAsia="en-US"/>
              </w:rPr>
            </w:pPr>
            <w:r w:rsidRPr="00303241">
              <w:rPr>
                <w:sz w:val="22"/>
                <w:szCs w:val="22"/>
                <w:lang w:eastAsia="en-US"/>
              </w:rPr>
              <w:t>BAT 22</w:t>
            </w:r>
          </w:p>
        </w:tc>
        <w:tc>
          <w:tcPr>
            <w:tcW w:w="0" w:type="auto"/>
            <w:vAlign w:val="center"/>
            <w:hideMark/>
          </w:tcPr>
          <w:p w:rsidRPr="00303241" w:rsidR="00303241" w:rsidP="00303241" w:rsidRDefault="00303241" w14:paraId="195D8133" w14:textId="77777777">
            <w:pPr>
              <w:rPr>
                <w:sz w:val="22"/>
                <w:szCs w:val="22"/>
                <w:lang w:eastAsia="en-US"/>
              </w:rPr>
            </w:pPr>
            <w:r w:rsidRPr="00303241">
              <w:rPr>
                <w:sz w:val="22"/>
                <w:szCs w:val="22"/>
                <w:lang w:eastAsia="en-US"/>
              </w:rPr>
              <w:t>Envar uses leachate and harvested rainwater instead of potable water for composting process moisture control.</w:t>
            </w:r>
          </w:p>
        </w:tc>
      </w:tr>
      <w:tr w:rsidRPr="00303241" w:rsidR="00303241" w:rsidTr="00303241" w14:paraId="3A126176" w14:textId="77777777">
        <w:trPr>
          <w:tblCellSpacing w:w="15" w:type="dxa"/>
        </w:trPr>
        <w:tc>
          <w:tcPr>
            <w:tcW w:w="0" w:type="auto"/>
            <w:vAlign w:val="center"/>
            <w:hideMark/>
          </w:tcPr>
          <w:p w:rsidRPr="00303241" w:rsidR="00303241" w:rsidP="00303241" w:rsidRDefault="00303241" w14:paraId="2930AD24" w14:textId="77777777">
            <w:pPr>
              <w:rPr>
                <w:sz w:val="22"/>
                <w:szCs w:val="22"/>
                <w:lang w:eastAsia="en-US"/>
              </w:rPr>
            </w:pPr>
            <w:r w:rsidRPr="00303241">
              <w:rPr>
                <w:sz w:val="22"/>
                <w:szCs w:val="22"/>
                <w:lang w:eastAsia="en-US"/>
              </w:rPr>
              <w:t>Monitoring of raw material (diesel, electricity, water) use</w:t>
            </w:r>
          </w:p>
        </w:tc>
        <w:tc>
          <w:tcPr>
            <w:tcW w:w="0" w:type="auto"/>
            <w:vAlign w:val="center"/>
            <w:hideMark/>
          </w:tcPr>
          <w:p w:rsidRPr="00303241" w:rsidR="00303241" w:rsidP="00303241" w:rsidRDefault="00303241" w14:paraId="4B6EF59A" w14:textId="77777777">
            <w:pPr>
              <w:rPr>
                <w:sz w:val="22"/>
                <w:szCs w:val="22"/>
                <w:lang w:eastAsia="en-US"/>
              </w:rPr>
            </w:pPr>
            <w:r w:rsidRPr="00303241">
              <w:rPr>
                <w:sz w:val="22"/>
                <w:szCs w:val="22"/>
                <w:lang w:eastAsia="en-US"/>
              </w:rPr>
              <w:t>BAT 11</w:t>
            </w:r>
          </w:p>
        </w:tc>
        <w:tc>
          <w:tcPr>
            <w:tcW w:w="0" w:type="auto"/>
            <w:vAlign w:val="center"/>
            <w:hideMark/>
          </w:tcPr>
          <w:p w:rsidRPr="00303241" w:rsidR="00303241" w:rsidP="00303241" w:rsidRDefault="00303241" w14:paraId="7AD0DF45" w14:textId="77777777">
            <w:pPr>
              <w:rPr>
                <w:sz w:val="22"/>
                <w:szCs w:val="22"/>
                <w:lang w:eastAsia="en-US"/>
              </w:rPr>
            </w:pPr>
            <w:r w:rsidRPr="00303241">
              <w:rPr>
                <w:sz w:val="22"/>
                <w:szCs w:val="22"/>
                <w:lang w:eastAsia="en-US"/>
              </w:rPr>
              <w:t>Envar deploys a live asset tracking system and performance KPIs to monitor and evaluate diesel, electricity and water use.</w:t>
            </w:r>
          </w:p>
        </w:tc>
      </w:tr>
      <w:tr w:rsidRPr="00303241" w:rsidR="00303241" w:rsidTr="00303241" w14:paraId="4E649766" w14:textId="77777777">
        <w:trPr>
          <w:tblCellSpacing w:w="15" w:type="dxa"/>
        </w:trPr>
        <w:tc>
          <w:tcPr>
            <w:tcW w:w="0" w:type="auto"/>
            <w:vAlign w:val="center"/>
            <w:hideMark/>
          </w:tcPr>
          <w:p w:rsidRPr="00303241" w:rsidR="00303241" w:rsidP="00303241" w:rsidRDefault="00303241" w14:paraId="6E31CE65" w14:textId="77777777">
            <w:pPr>
              <w:rPr>
                <w:sz w:val="22"/>
                <w:szCs w:val="22"/>
                <w:lang w:eastAsia="en-US"/>
              </w:rPr>
            </w:pPr>
            <w:r w:rsidRPr="00303241">
              <w:rPr>
                <w:sz w:val="22"/>
                <w:szCs w:val="22"/>
                <w:lang w:eastAsia="en-US"/>
              </w:rPr>
              <w:t>Online tracking and proactive maintenance</w:t>
            </w:r>
          </w:p>
        </w:tc>
        <w:tc>
          <w:tcPr>
            <w:tcW w:w="0" w:type="auto"/>
            <w:vAlign w:val="center"/>
            <w:hideMark/>
          </w:tcPr>
          <w:p w:rsidRPr="00303241" w:rsidR="00303241" w:rsidP="00303241" w:rsidRDefault="00303241" w14:paraId="07C7F36D" w14:textId="77777777">
            <w:pPr>
              <w:rPr>
                <w:sz w:val="22"/>
                <w:szCs w:val="22"/>
                <w:lang w:eastAsia="en-US"/>
              </w:rPr>
            </w:pPr>
            <w:r w:rsidRPr="00303241">
              <w:rPr>
                <w:sz w:val="22"/>
                <w:szCs w:val="22"/>
                <w:lang w:eastAsia="en-US"/>
              </w:rPr>
              <w:t>BAT 11, 23</w:t>
            </w:r>
          </w:p>
        </w:tc>
        <w:tc>
          <w:tcPr>
            <w:tcW w:w="0" w:type="auto"/>
            <w:vAlign w:val="center"/>
            <w:hideMark/>
          </w:tcPr>
          <w:p w:rsidRPr="00303241" w:rsidR="00303241" w:rsidP="00303241" w:rsidRDefault="00303241" w14:paraId="1CD26475" w14:textId="77777777">
            <w:pPr>
              <w:rPr>
                <w:sz w:val="22"/>
                <w:szCs w:val="22"/>
                <w:lang w:eastAsia="en-US"/>
              </w:rPr>
            </w:pPr>
            <w:r w:rsidRPr="00303241">
              <w:rPr>
                <w:sz w:val="22"/>
                <w:szCs w:val="22"/>
                <w:lang w:eastAsia="en-US"/>
              </w:rPr>
              <w:t>An asset tracker is used alongside scheduled maintenance to ensure machinery runs efficiently and avoids unnecessary use.</w:t>
            </w:r>
          </w:p>
        </w:tc>
      </w:tr>
      <w:tr w:rsidRPr="00303241" w:rsidR="00303241" w:rsidTr="00303241" w14:paraId="2B6F2126" w14:textId="77777777">
        <w:trPr>
          <w:tblCellSpacing w:w="15" w:type="dxa"/>
        </w:trPr>
        <w:tc>
          <w:tcPr>
            <w:tcW w:w="0" w:type="auto"/>
            <w:vAlign w:val="center"/>
            <w:hideMark/>
          </w:tcPr>
          <w:p w:rsidRPr="00303241" w:rsidR="00303241" w:rsidP="00303241" w:rsidRDefault="00303241" w14:paraId="0410F50E" w14:textId="77777777">
            <w:pPr>
              <w:rPr>
                <w:sz w:val="22"/>
                <w:szCs w:val="22"/>
                <w:lang w:eastAsia="en-US"/>
              </w:rPr>
            </w:pPr>
            <w:r w:rsidRPr="00303241">
              <w:rPr>
                <w:sz w:val="22"/>
                <w:szCs w:val="22"/>
                <w:lang w:eastAsia="en-US"/>
              </w:rPr>
              <w:t>Reuse of water in the process (harvested/rainwater, leachate)</w:t>
            </w:r>
          </w:p>
        </w:tc>
        <w:tc>
          <w:tcPr>
            <w:tcW w:w="0" w:type="auto"/>
            <w:vAlign w:val="center"/>
            <w:hideMark/>
          </w:tcPr>
          <w:p w:rsidRPr="00303241" w:rsidR="00303241" w:rsidP="00303241" w:rsidRDefault="00303241" w14:paraId="1995DB20" w14:textId="77777777">
            <w:pPr>
              <w:rPr>
                <w:sz w:val="22"/>
                <w:szCs w:val="22"/>
                <w:lang w:eastAsia="en-US"/>
              </w:rPr>
            </w:pPr>
            <w:r w:rsidRPr="00303241">
              <w:rPr>
                <w:sz w:val="22"/>
                <w:szCs w:val="22"/>
                <w:lang w:eastAsia="en-US"/>
              </w:rPr>
              <w:t>BAT 19, 35</w:t>
            </w:r>
          </w:p>
        </w:tc>
        <w:tc>
          <w:tcPr>
            <w:tcW w:w="0" w:type="auto"/>
            <w:vAlign w:val="center"/>
            <w:hideMark/>
          </w:tcPr>
          <w:p w:rsidRPr="00303241" w:rsidR="00303241" w:rsidP="00303241" w:rsidRDefault="00303241" w14:paraId="25042794" w14:textId="77777777">
            <w:pPr>
              <w:rPr>
                <w:sz w:val="22"/>
                <w:szCs w:val="22"/>
                <w:lang w:eastAsia="en-US"/>
              </w:rPr>
            </w:pPr>
            <w:r w:rsidRPr="00303241">
              <w:rPr>
                <w:sz w:val="22"/>
                <w:szCs w:val="22"/>
                <w:lang w:eastAsia="en-US"/>
              </w:rPr>
              <w:t>Zero potable water is used in process operations; all water is supplied from reused or harvested sources.</w:t>
            </w:r>
          </w:p>
        </w:tc>
      </w:tr>
      <w:tr w:rsidRPr="00303241" w:rsidR="00303241" w:rsidTr="00303241" w14:paraId="73F4F756" w14:textId="77777777">
        <w:trPr>
          <w:tblCellSpacing w:w="15" w:type="dxa"/>
        </w:trPr>
        <w:tc>
          <w:tcPr>
            <w:tcW w:w="0" w:type="auto"/>
            <w:vAlign w:val="center"/>
            <w:hideMark/>
          </w:tcPr>
          <w:p w:rsidRPr="00303241" w:rsidR="00303241" w:rsidP="00303241" w:rsidRDefault="00303241" w14:paraId="6157741D" w14:textId="77777777">
            <w:pPr>
              <w:rPr>
                <w:sz w:val="22"/>
                <w:szCs w:val="22"/>
                <w:lang w:eastAsia="en-US"/>
              </w:rPr>
            </w:pPr>
            <w:r w:rsidRPr="00303241">
              <w:rPr>
                <w:sz w:val="22"/>
                <w:szCs w:val="22"/>
                <w:lang w:eastAsia="en-US"/>
              </w:rPr>
              <w:lastRenderedPageBreak/>
              <w:t>Use of renewable energy</w:t>
            </w:r>
          </w:p>
        </w:tc>
        <w:tc>
          <w:tcPr>
            <w:tcW w:w="0" w:type="auto"/>
            <w:vAlign w:val="center"/>
            <w:hideMark/>
          </w:tcPr>
          <w:p w:rsidRPr="00303241" w:rsidR="00303241" w:rsidP="00303241" w:rsidRDefault="00303241" w14:paraId="730E570C" w14:textId="77777777">
            <w:pPr>
              <w:rPr>
                <w:sz w:val="22"/>
                <w:szCs w:val="22"/>
                <w:lang w:eastAsia="en-US"/>
              </w:rPr>
            </w:pPr>
            <w:r w:rsidRPr="00303241">
              <w:rPr>
                <w:sz w:val="22"/>
                <w:szCs w:val="22"/>
                <w:lang w:eastAsia="en-US"/>
              </w:rPr>
              <w:t>BAT 23</w:t>
            </w:r>
          </w:p>
        </w:tc>
        <w:tc>
          <w:tcPr>
            <w:tcW w:w="0" w:type="auto"/>
            <w:vAlign w:val="center"/>
            <w:hideMark/>
          </w:tcPr>
          <w:p w:rsidRPr="00303241" w:rsidR="00303241" w:rsidP="00303241" w:rsidRDefault="00303241" w14:paraId="082E5163" w14:textId="77777777">
            <w:pPr>
              <w:rPr>
                <w:sz w:val="22"/>
                <w:szCs w:val="22"/>
                <w:lang w:eastAsia="en-US"/>
              </w:rPr>
            </w:pPr>
            <w:r w:rsidRPr="00303241">
              <w:rPr>
                <w:sz w:val="22"/>
                <w:szCs w:val="22"/>
                <w:lang w:eastAsia="en-US"/>
              </w:rPr>
              <w:t xml:space="preserve">A </w:t>
            </w:r>
            <w:proofErr w:type="gramStart"/>
            <w:r w:rsidRPr="00303241">
              <w:rPr>
                <w:sz w:val="22"/>
                <w:szCs w:val="22"/>
                <w:lang w:eastAsia="en-US"/>
              </w:rPr>
              <w:t>364 kW</w:t>
            </w:r>
            <w:proofErr w:type="gramEnd"/>
            <w:r w:rsidRPr="00303241">
              <w:rPr>
                <w:sz w:val="22"/>
                <w:szCs w:val="22"/>
                <w:lang w:eastAsia="en-US"/>
              </w:rPr>
              <w:t xml:space="preserve"> solar PV system on site provides clean electricity, supported by a 100% renewable electricity supply contract.</w:t>
            </w:r>
          </w:p>
        </w:tc>
      </w:tr>
      <w:tr w:rsidRPr="00303241" w:rsidR="00303241" w:rsidTr="00303241" w14:paraId="252FE450" w14:textId="77777777">
        <w:trPr>
          <w:tblCellSpacing w:w="15" w:type="dxa"/>
        </w:trPr>
        <w:tc>
          <w:tcPr>
            <w:tcW w:w="0" w:type="auto"/>
            <w:vAlign w:val="center"/>
            <w:hideMark/>
          </w:tcPr>
          <w:p w:rsidRPr="00303241" w:rsidR="00303241" w:rsidP="00303241" w:rsidRDefault="00303241" w14:paraId="17C19D2C" w14:textId="77777777">
            <w:pPr>
              <w:rPr>
                <w:sz w:val="22"/>
                <w:szCs w:val="22"/>
                <w:lang w:eastAsia="en-US"/>
              </w:rPr>
            </w:pPr>
            <w:r w:rsidRPr="00303241">
              <w:rPr>
                <w:sz w:val="22"/>
                <w:szCs w:val="22"/>
                <w:lang w:eastAsia="en-US"/>
              </w:rPr>
              <w:t>Energy and carbon efficiency planning</w:t>
            </w:r>
          </w:p>
        </w:tc>
        <w:tc>
          <w:tcPr>
            <w:tcW w:w="0" w:type="auto"/>
            <w:vAlign w:val="center"/>
            <w:hideMark/>
          </w:tcPr>
          <w:p w:rsidRPr="00303241" w:rsidR="00303241" w:rsidP="00303241" w:rsidRDefault="00303241" w14:paraId="79B76F6E" w14:textId="77777777">
            <w:pPr>
              <w:rPr>
                <w:sz w:val="22"/>
                <w:szCs w:val="22"/>
                <w:lang w:eastAsia="en-US"/>
              </w:rPr>
            </w:pPr>
            <w:r w:rsidRPr="00303241">
              <w:rPr>
                <w:sz w:val="22"/>
                <w:szCs w:val="22"/>
                <w:lang w:eastAsia="en-US"/>
              </w:rPr>
              <w:t>BAT 23</w:t>
            </w:r>
          </w:p>
        </w:tc>
        <w:tc>
          <w:tcPr>
            <w:tcW w:w="0" w:type="auto"/>
            <w:vAlign w:val="center"/>
            <w:hideMark/>
          </w:tcPr>
          <w:p w:rsidRPr="00303241" w:rsidR="00303241" w:rsidP="00303241" w:rsidRDefault="00303241" w14:paraId="0D3AD5FC" w14:textId="77777777">
            <w:pPr>
              <w:rPr>
                <w:sz w:val="22"/>
                <w:szCs w:val="22"/>
                <w:lang w:eastAsia="en-US"/>
              </w:rPr>
            </w:pPr>
            <w:r w:rsidRPr="00303241">
              <w:rPr>
                <w:sz w:val="22"/>
                <w:szCs w:val="22"/>
                <w:lang w:eastAsia="en-US"/>
              </w:rPr>
              <w:t>A verified Planet Mark Carbon Reduction Plan is used to review energy and emissions per tonne treated annually.</w:t>
            </w:r>
          </w:p>
        </w:tc>
      </w:tr>
      <w:tr w:rsidRPr="00303241" w:rsidR="00303241" w:rsidTr="00303241" w14:paraId="0F180E1D" w14:textId="77777777">
        <w:trPr>
          <w:tblCellSpacing w:w="15" w:type="dxa"/>
        </w:trPr>
        <w:tc>
          <w:tcPr>
            <w:tcW w:w="0" w:type="auto"/>
            <w:vAlign w:val="center"/>
            <w:hideMark/>
          </w:tcPr>
          <w:p w:rsidRPr="00303241" w:rsidR="00303241" w:rsidP="00303241" w:rsidRDefault="00303241" w14:paraId="39569AA5" w14:textId="77777777">
            <w:pPr>
              <w:rPr>
                <w:sz w:val="22"/>
                <w:szCs w:val="22"/>
                <w:lang w:eastAsia="en-US"/>
              </w:rPr>
            </w:pPr>
            <w:r w:rsidRPr="00303241">
              <w:rPr>
                <w:sz w:val="22"/>
                <w:szCs w:val="22"/>
                <w:lang w:eastAsia="en-US"/>
              </w:rPr>
              <w:t>Use of modern, fuel-efficient plant</w:t>
            </w:r>
          </w:p>
        </w:tc>
        <w:tc>
          <w:tcPr>
            <w:tcW w:w="0" w:type="auto"/>
            <w:vAlign w:val="center"/>
            <w:hideMark/>
          </w:tcPr>
          <w:p w:rsidRPr="00303241" w:rsidR="00303241" w:rsidP="00303241" w:rsidRDefault="00303241" w14:paraId="4A776DA7" w14:textId="77777777">
            <w:pPr>
              <w:rPr>
                <w:sz w:val="22"/>
                <w:szCs w:val="22"/>
                <w:lang w:eastAsia="en-US"/>
              </w:rPr>
            </w:pPr>
            <w:r w:rsidRPr="00303241">
              <w:rPr>
                <w:sz w:val="22"/>
                <w:szCs w:val="22"/>
                <w:lang w:eastAsia="en-US"/>
              </w:rPr>
              <w:t>BAT 23</w:t>
            </w:r>
          </w:p>
        </w:tc>
        <w:tc>
          <w:tcPr>
            <w:tcW w:w="0" w:type="auto"/>
            <w:vAlign w:val="center"/>
            <w:hideMark/>
          </w:tcPr>
          <w:p w:rsidRPr="00303241" w:rsidR="00303241" w:rsidP="00303241" w:rsidRDefault="00303241" w14:paraId="62B684F8" w14:textId="77777777">
            <w:pPr>
              <w:rPr>
                <w:sz w:val="22"/>
                <w:szCs w:val="22"/>
                <w:lang w:eastAsia="en-US"/>
              </w:rPr>
            </w:pPr>
            <w:r w:rsidRPr="00303241">
              <w:rPr>
                <w:sz w:val="22"/>
                <w:szCs w:val="22"/>
                <w:lang w:eastAsia="en-US"/>
              </w:rPr>
              <w:t>Older mobile plant has been replaced with more efficient alternatives to reduce diesel use and emissions.</w:t>
            </w:r>
          </w:p>
        </w:tc>
      </w:tr>
      <w:tr w:rsidRPr="00303241" w:rsidR="00303241" w:rsidTr="00303241" w14:paraId="1EFFE70B" w14:textId="77777777">
        <w:trPr>
          <w:tblCellSpacing w:w="15" w:type="dxa"/>
        </w:trPr>
        <w:tc>
          <w:tcPr>
            <w:tcW w:w="0" w:type="auto"/>
            <w:vAlign w:val="center"/>
            <w:hideMark/>
          </w:tcPr>
          <w:p w:rsidRPr="00303241" w:rsidR="00303241" w:rsidP="00303241" w:rsidRDefault="00303241" w14:paraId="28E23738" w14:textId="77777777">
            <w:pPr>
              <w:rPr>
                <w:sz w:val="22"/>
                <w:szCs w:val="22"/>
                <w:lang w:eastAsia="en-US"/>
              </w:rPr>
            </w:pPr>
            <w:r w:rsidRPr="00303241">
              <w:rPr>
                <w:sz w:val="22"/>
                <w:szCs w:val="22"/>
                <w:lang w:eastAsia="en-US"/>
              </w:rPr>
              <w:t>Staff training on environmental performance and efficient material handling</w:t>
            </w:r>
          </w:p>
        </w:tc>
        <w:tc>
          <w:tcPr>
            <w:tcW w:w="0" w:type="auto"/>
            <w:vAlign w:val="center"/>
            <w:hideMark/>
          </w:tcPr>
          <w:p w:rsidRPr="00303241" w:rsidR="00303241" w:rsidP="00303241" w:rsidRDefault="00303241" w14:paraId="096D1A2B" w14:textId="77777777">
            <w:pPr>
              <w:rPr>
                <w:sz w:val="22"/>
                <w:szCs w:val="22"/>
                <w:lang w:eastAsia="en-US"/>
              </w:rPr>
            </w:pPr>
            <w:r w:rsidRPr="00303241">
              <w:rPr>
                <w:sz w:val="22"/>
                <w:szCs w:val="22"/>
                <w:lang w:eastAsia="en-US"/>
              </w:rPr>
              <w:t>BAT 1, 5, 11</w:t>
            </w:r>
          </w:p>
        </w:tc>
        <w:tc>
          <w:tcPr>
            <w:tcW w:w="0" w:type="auto"/>
            <w:vAlign w:val="center"/>
            <w:hideMark/>
          </w:tcPr>
          <w:p w:rsidRPr="00303241" w:rsidR="00303241" w:rsidP="00303241" w:rsidRDefault="00303241" w14:paraId="3991874A" w14:textId="77777777">
            <w:pPr>
              <w:rPr>
                <w:sz w:val="22"/>
                <w:szCs w:val="22"/>
                <w:lang w:eastAsia="en-US"/>
              </w:rPr>
            </w:pPr>
            <w:r w:rsidRPr="00303241">
              <w:rPr>
                <w:sz w:val="22"/>
                <w:szCs w:val="22"/>
                <w:lang w:eastAsia="en-US"/>
              </w:rPr>
              <w:t>Site staff receive ongoing training on blending, efficient plant operation, and sustainable site practices.</w:t>
            </w:r>
          </w:p>
        </w:tc>
      </w:tr>
      <w:tr w:rsidRPr="00303241" w:rsidR="00303241" w:rsidTr="00303241" w14:paraId="73D00DE3" w14:textId="77777777">
        <w:trPr>
          <w:tblCellSpacing w:w="15" w:type="dxa"/>
        </w:trPr>
        <w:tc>
          <w:tcPr>
            <w:tcW w:w="0" w:type="auto"/>
            <w:vAlign w:val="center"/>
            <w:hideMark/>
          </w:tcPr>
          <w:p w:rsidRPr="00303241" w:rsidR="00303241" w:rsidP="00303241" w:rsidRDefault="00303241" w14:paraId="5A4F5D92" w14:textId="77777777">
            <w:pPr>
              <w:rPr>
                <w:sz w:val="22"/>
                <w:szCs w:val="22"/>
                <w:lang w:eastAsia="en-US"/>
              </w:rPr>
            </w:pPr>
            <w:r w:rsidRPr="00303241">
              <w:rPr>
                <w:sz w:val="22"/>
                <w:szCs w:val="22"/>
                <w:lang w:eastAsia="en-US"/>
              </w:rPr>
              <w:t>Site layout to reduce unnecessary movements</w:t>
            </w:r>
          </w:p>
        </w:tc>
        <w:tc>
          <w:tcPr>
            <w:tcW w:w="0" w:type="auto"/>
            <w:vAlign w:val="center"/>
            <w:hideMark/>
          </w:tcPr>
          <w:p w:rsidRPr="00303241" w:rsidR="00303241" w:rsidP="00303241" w:rsidRDefault="00303241" w14:paraId="31C59C4E" w14:textId="77777777">
            <w:pPr>
              <w:rPr>
                <w:sz w:val="22"/>
                <w:szCs w:val="22"/>
                <w:lang w:eastAsia="en-US"/>
              </w:rPr>
            </w:pPr>
            <w:r w:rsidRPr="00303241">
              <w:rPr>
                <w:sz w:val="22"/>
                <w:szCs w:val="22"/>
                <w:lang w:eastAsia="en-US"/>
              </w:rPr>
              <w:t>BAT 4</w:t>
            </w:r>
          </w:p>
        </w:tc>
        <w:tc>
          <w:tcPr>
            <w:tcW w:w="0" w:type="auto"/>
            <w:vAlign w:val="center"/>
            <w:hideMark/>
          </w:tcPr>
          <w:p w:rsidRPr="00303241" w:rsidR="00303241" w:rsidP="00303241" w:rsidRDefault="00303241" w14:paraId="050A3641" w14:textId="77777777">
            <w:pPr>
              <w:rPr>
                <w:sz w:val="22"/>
                <w:szCs w:val="22"/>
                <w:lang w:eastAsia="en-US"/>
              </w:rPr>
            </w:pPr>
            <w:r w:rsidRPr="00303241">
              <w:rPr>
                <w:sz w:val="22"/>
                <w:szCs w:val="22"/>
                <w:lang w:eastAsia="en-US"/>
              </w:rPr>
              <w:t>The site layout is optimised to minimise double handling and reduce diesel consumption.</w:t>
            </w:r>
          </w:p>
        </w:tc>
      </w:tr>
    </w:tbl>
    <w:p w:rsidR="00303241" w:rsidP="00303241" w:rsidRDefault="00303241" w14:paraId="7EB7B6F7" w14:textId="77777777">
      <w:pPr>
        <w:rPr>
          <w:b/>
          <w:bCs/>
          <w:sz w:val="22"/>
          <w:szCs w:val="22"/>
          <w:lang w:eastAsia="en-US"/>
        </w:rPr>
      </w:pPr>
    </w:p>
    <w:p w:rsidR="00303241" w:rsidP="00303241" w:rsidRDefault="00303241" w14:paraId="0FB1B91A" w14:textId="78D42C62">
      <w:pPr>
        <w:pStyle w:val="Heading3"/>
      </w:pPr>
      <w:bookmarkStart w:name="_Toc194842512" w:id="6"/>
      <w:r w:rsidRPr="00303241">
        <w:t>Conclusion</w:t>
      </w:r>
      <w:bookmarkEnd w:id="6"/>
    </w:p>
    <w:p w:rsidRPr="00303241" w:rsidR="00303241" w:rsidP="00303241" w:rsidRDefault="00303241" w14:paraId="7D2CD486" w14:textId="77777777">
      <w:pPr>
        <w:rPr>
          <w:lang w:eastAsia="en-US"/>
        </w:rPr>
      </w:pPr>
    </w:p>
    <w:p w:rsidRPr="00303241" w:rsidR="00303241" w:rsidP="00303241" w:rsidRDefault="00303241" w14:paraId="3016C2D5" w14:textId="77777777">
      <w:pPr>
        <w:rPr>
          <w:sz w:val="22"/>
          <w:szCs w:val="22"/>
          <w:lang w:eastAsia="en-US"/>
        </w:rPr>
      </w:pPr>
      <w:r w:rsidRPr="00303241">
        <w:rPr>
          <w:sz w:val="22"/>
          <w:szCs w:val="22"/>
          <w:lang w:eastAsia="en-US"/>
        </w:rPr>
        <w:t>Through proactive monitoring, staff training, and integration of renewable technologies, Envar Composting is fully aligned with the Environment Agency's expectations for raw material efficiency. These measures not only reduce environmental impact and operational cost but also ensure that the facility operates at the highest standards of sustainability and compliance. Envar’s approach reflects a deep commitment to continuous improvement and demonstrates how industry best practice can be embedded into day-to-day operations.</w:t>
      </w:r>
    </w:p>
    <w:p w:rsidRPr="005F2885" w:rsidR="005F2885" w:rsidP="005F2885" w:rsidRDefault="005F2885" w14:paraId="509BD3EA" w14:textId="77777777">
      <w:pPr>
        <w:rPr>
          <w:sz w:val="22"/>
          <w:szCs w:val="22"/>
          <w:lang w:eastAsia="en-US"/>
        </w:rPr>
      </w:pPr>
    </w:p>
    <w:sectPr w:rsidRPr="005F2885" w:rsidR="005F288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5FE7" w:rsidP="007A4AF0" w:rsidRDefault="00525FE7" w14:paraId="0D6A1053" w14:textId="77777777">
      <w:pPr>
        <w:spacing w:after="0" w:line="240" w:lineRule="auto"/>
      </w:pPr>
      <w:r>
        <w:separator/>
      </w:r>
    </w:p>
  </w:endnote>
  <w:endnote w:type="continuationSeparator" w:id="0">
    <w:p w:rsidR="00525FE7" w:rsidP="007A4AF0" w:rsidRDefault="00525FE7" w14:paraId="751EF2B1" w14:textId="77777777">
      <w:pPr>
        <w:spacing w:after="0" w:line="240" w:lineRule="auto"/>
      </w:pPr>
      <w:r>
        <w:continuationSeparator/>
      </w:r>
    </w:p>
  </w:endnote>
  <w:endnote w:type="continuationNotice" w:id="1">
    <w:p w:rsidR="00525FE7" w:rsidRDefault="00525FE7" w14:paraId="30226F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195414"/>
      <w:docPartObj>
        <w:docPartGallery w:val="Page Numbers (Bottom of Page)"/>
        <w:docPartUnique/>
      </w:docPartObj>
    </w:sdtPr>
    <w:sdtEndPr/>
    <w:sdtContent>
      <w:p w:rsidR="007A4AF0" w:rsidRDefault="007A4AF0" w14:paraId="1FEB98D6" w14:textId="08D7275A">
        <w:pPr>
          <w:pStyle w:val="Footer"/>
          <w:jc w:val="right"/>
        </w:pPr>
        <w:r>
          <w:fldChar w:fldCharType="begin"/>
        </w:r>
        <w:r>
          <w:instrText>PAGE   \* MERGEFORMAT</w:instrText>
        </w:r>
        <w:r>
          <w:fldChar w:fldCharType="separate"/>
        </w:r>
        <w:r>
          <w:t>2</w:t>
        </w:r>
        <w:r>
          <w:fldChar w:fldCharType="end"/>
        </w:r>
      </w:p>
    </w:sdtContent>
  </w:sdt>
  <w:p w:rsidR="007A4AF0" w:rsidRDefault="007A4AF0" w14:paraId="783FE0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5FE7" w:rsidP="007A4AF0" w:rsidRDefault="00525FE7" w14:paraId="6851F22A" w14:textId="77777777">
      <w:pPr>
        <w:spacing w:after="0" w:line="240" w:lineRule="auto"/>
      </w:pPr>
      <w:r>
        <w:separator/>
      </w:r>
    </w:p>
  </w:footnote>
  <w:footnote w:type="continuationSeparator" w:id="0">
    <w:p w:rsidR="00525FE7" w:rsidP="007A4AF0" w:rsidRDefault="00525FE7" w14:paraId="41416433" w14:textId="77777777">
      <w:pPr>
        <w:spacing w:after="0" w:line="240" w:lineRule="auto"/>
      </w:pPr>
      <w:r>
        <w:continuationSeparator/>
      </w:r>
    </w:p>
  </w:footnote>
  <w:footnote w:type="continuationNotice" w:id="1">
    <w:p w:rsidR="00525FE7" w:rsidRDefault="00525FE7" w14:paraId="1A24809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17B"/>
    <w:multiLevelType w:val="hybridMultilevel"/>
    <w:tmpl w:val="48A2FA74"/>
    <w:lvl w:ilvl="0" w:tplc="77488024">
      <w:numFmt w:val="bullet"/>
      <w:lvlText w:val="-"/>
      <w:lvlJc w:val="left"/>
      <w:pPr>
        <w:ind w:left="720" w:hanging="360"/>
      </w:pPr>
      <w:rPr>
        <w:rFonts w:hint="default" w:ascii="Aptos" w:hAnsi="Aptos"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B62C2A"/>
    <w:multiLevelType w:val="multilevel"/>
    <w:tmpl w:val="F58A7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B8D5344"/>
    <w:multiLevelType w:val="hybridMultilevel"/>
    <w:tmpl w:val="19C4E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DF56A2"/>
    <w:multiLevelType w:val="multilevel"/>
    <w:tmpl w:val="8CF413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ED7428"/>
    <w:multiLevelType w:val="multilevel"/>
    <w:tmpl w:val="D158A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0E7E13"/>
    <w:multiLevelType w:val="multilevel"/>
    <w:tmpl w:val="41BAF5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223E65"/>
    <w:multiLevelType w:val="multilevel"/>
    <w:tmpl w:val="B2EC9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BC5089C"/>
    <w:multiLevelType w:val="hybridMultilevel"/>
    <w:tmpl w:val="E44E3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21458E"/>
    <w:multiLevelType w:val="hybridMultilevel"/>
    <w:tmpl w:val="20C47758"/>
    <w:lvl w:ilvl="0" w:tplc="5EBE38C4">
      <w:numFmt w:val="bullet"/>
      <w:lvlText w:val="-"/>
      <w:lvlJc w:val="left"/>
      <w:pPr>
        <w:ind w:left="720" w:hanging="360"/>
      </w:pPr>
      <w:rPr>
        <w:rFonts w:hint="default" w:ascii="Aptos" w:hAnsi="Aptos"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B023F1"/>
    <w:multiLevelType w:val="multilevel"/>
    <w:tmpl w:val="29DE7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120D38"/>
    <w:multiLevelType w:val="multilevel"/>
    <w:tmpl w:val="82BCF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4416527"/>
    <w:multiLevelType w:val="multilevel"/>
    <w:tmpl w:val="9D625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58438E3"/>
    <w:multiLevelType w:val="hybridMultilevel"/>
    <w:tmpl w:val="B942A0D2"/>
    <w:lvl w:ilvl="0" w:tplc="FFFFFFFF">
      <w:numFmt w:val="bullet"/>
      <w:lvlText w:val="-"/>
      <w:lvlJc w:val="left"/>
      <w:pPr>
        <w:ind w:left="720" w:hanging="360"/>
      </w:pPr>
      <w:rPr>
        <w:rFonts w:hint="default" w:ascii="Aptos" w:hAnsi="Apto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7B79F7"/>
    <w:multiLevelType w:val="multilevel"/>
    <w:tmpl w:val="7FCE7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02CBF"/>
    <w:multiLevelType w:val="multilevel"/>
    <w:tmpl w:val="BD560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C147DD1"/>
    <w:multiLevelType w:val="multilevel"/>
    <w:tmpl w:val="1B38B7D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CFF53CB"/>
    <w:multiLevelType w:val="multilevel"/>
    <w:tmpl w:val="BD0E4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ECD74C5"/>
    <w:multiLevelType w:val="multilevel"/>
    <w:tmpl w:val="CF464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0EBC135"/>
    <w:multiLevelType w:val="multilevel"/>
    <w:tmpl w:val="C1D81C0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FF2840"/>
    <w:multiLevelType w:val="multilevel"/>
    <w:tmpl w:val="D1F2D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898312B"/>
    <w:multiLevelType w:val="hybridMultilevel"/>
    <w:tmpl w:val="D5023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D1184D"/>
    <w:multiLevelType w:val="hybridMultilevel"/>
    <w:tmpl w:val="CCEE5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3B197A"/>
    <w:multiLevelType w:val="multilevel"/>
    <w:tmpl w:val="3F285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05B498D"/>
    <w:multiLevelType w:val="multilevel"/>
    <w:tmpl w:val="C6B82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08F0C10"/>
    <w:multiLevelType w:val="multilevel"/>
    <w:tmpl w:val="C4349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4E4420C"/>
    <w:multiLevelType w:val="multilevel"/>
    <w:tmpl w:val="18B2D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3E72BD"/>
    <w:multiLevelType w:val="multilevel"/>
    <w:tmpl w:val="404AA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860085B"/>
    <w:multiLevelType w:val="multilevel"/>
    <w:tmpl w:val="98465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9E433A1"/>
    <w:multiLevelType w:val="hybridMultilevel"/>
    <w:tmpl w:val="8E50342C"/>
    <w:lvl w:ilvl="0" w:tplc="F79255DA">
      <w:numFmt w:val="bullet"/>
      <w:lvlText w:val="-"/>
      <w:lvlJc w:val="left"/>
      <w:pPr>
        <w:ind w:left="720" w:hanging="360"/>
      </w:pPr>
      <w:rPr>
        <w:rFonts w:hint="default" w:ascii="Aptos" w:hAnsi="Aptos"/>
      </w:rPr>
    </w:lvl>
    <w:lvl w:ilvl="1" w:tplc="E0CA617E">
      <w:start w:val="1"/>
      <w:numFmt w:val="bullet"/>
      <w:lvlText w:val="o"/>
      <w:lvlJc w:val="left"/>
      <w:pPr>
        <w:ind w:left="1440" w:hanging="360"/>
      </w:pPr>
      <w:rPr>
        <w:rFonts w:hint="default" w:ascii="Courier New" w:hAnsi="Courier New"/>
      </w:rPr>
    </w:lvl>
    <w:lvl w:ilvl="2" w:tplc="7E306BC8">
      <w:start w:val="1"/>
      <w:numFmt w:val="bullet"/>
      <w:lvlText w:val=""/>
      <w:lvlJc w:val="left"/>
      <w:pPr>
        <w:ind w:left="2160" w:hanging="360"/>
      </w:pPr>
      <w:rPr>
        <w:rFonts w:hint="default" w:ascii="Wingdings" w:hAnsi="Wingdings"/>
      </w:rPr>
    </w:lvl>
    <w:lvl w:ilvl="3" w:tplc="65EEF16C">
      <w:start w:val="1"/>
      <w:numFmt w:val="bullet"/>
      <w:lvlText w:val=""/>
      <w:lvlJc w:val="left"/>
      <w:pPr>
        <w:ind w:left="2880" w:hanging="360"/>
      </w:pPr>
      <w:rPr>
        <w:rFonts w:hint="default" w:ascii="Symbol" w:hAnsi="Symbol"/>
      </w:rPr>
    </w:lvl>
    <w:lvl w:ilvl="4" w:tplc="6EDC81EC">
      <w:start w:val="1"/>
      <w:numFmt w:val="bullet"/>
      <w:lvlText w:val="o"/>
      <w:lvlJc w:val="left"/>
      <w:pPr>
        <w:ind w:left="3600" w:hanging="360"/>
      </w:pPr>
      <w:rPr>
        <w:rFonts w:hint="default" w:ascii="Courier New" w:hAnsi="Courier New"/>
      </w:rPr>
    </w:lvl>
    <w:lvl w:ilvl="5" w:tplc="D946FD92">
      <w:start w:val="1"/>
      <w:numFmt w:val="bullet"/>
      <w:lvlText w:val=""/>
      <w:lvlJc w:val="left"/>
      <w:pPr>
        <w:ind w:left="4320" w:hanging="360"/>
      </w:pPr>
      <w:rPr>
        <w:rFonts w:hint="default" w:ascii="Wingdings" w:hAnsi="Wingdings"/>
      </w:rPr>
    </w:lvl>
    <w:lvl w:ilvl="6" w:tplc="732E12DE">
      <w:start w:val="1"/>
      <w:numFmt w:val="bullet"/>
      <w:lvlText w:val=""/>
      <w:lvlJc w:val="left"/>
      <w:pPr>
        <w:ind w:left="5040" w:hanging="360"/>
      </w:pPr>
      <w:rPr>
        <w:rFonts w:hint="default" w:ascii="Symbol" w:hAnsi="Symbol"/>
      </w:rPr>
    </w:lvl>
    <w:lvl w:ilvl="7" w:tplc="297617A2">
      <w:start w:val="1"/>
      <w:numFmt w:val="bullet"/>
      <w:lvlText w:val="o"/>
      <w:lvlJc w:val="left"/>
      <w:pPr>
        <w:ind w:left="5760" w:hanging="360"/>
      </w:pPr>
      <w:rPr>
        <w:rFonts w:hint="default" w:ascii="Courier New" w:hAnsi="Courier New"/>
      </w:rPr>
    </w:lvl>
    <w:lvl w:ilvl="8" w:tplc="14765978">
      <w:start w:val="1"/>
      <w:numFmt w:val="bullet"/>
      <w:lvlText w:val=""/>
      <w:lvlJc w:val="left"/>
      <w:pPr>
        <w:ind w:left="6480" w:hanging="360"/>
      </w:pPr>
      <w:rPr>
        <w:rFonts w:hint="default" w:ascii="Wingdings" w:hAnsi="Wingdings"/>
      </w:rPr>
    </w:lvl>
  </w:abstractNum>
  <w:abstractNum w:abstractNumId="29" w15:restartNumberingAfterBreak="0">
    <w:nsid w:val="6A9A5916"/>
    <w:multiLevelType w:val="multilevel"/>
    <w:tmpl w:val="F8AC7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F3648C3"/>
    <w:multiLevelType w:val="multilevel"/>
    <w:tmpl w:val="59FC7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1D53FE6"/>
    <w:multiLevelType w:val="hybridMultilevel"/>
    <w:tmpl w:val="503EE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AAF502E"/>
    <w:multiLevelType w:val="multilevel"/>
    <w:tmpl w:val="9BE2D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F5C392E"/>
    <w:multiLevelType w:val="multilevel"/>
    <w:tmpl w:val="AE70A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5324675">
    <w:abstractNumId w:val="5"/>
  </w:num>
  <w:num w:numId="2" w16cid:durableId="1970352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766021">
    <w:abstractNumId w:val="0"/>
  </w:num>
  <w:num w:numId="4" w16cid:durableId="590967288">
    <w:abstractNumId w:val="2"/>
  </w:num>
  <w:num w:numId="5" w16cid:durableId="186409441">
    <w:abstractNumId w:val="20"/>
  </w:num>
  <w:num w:numId="6" w16cid:durableId="914584221">
    <w:abstractNumId w:val="21"/>
  </w:num>
  <w:num w:numId="7" w16cid:durableId="252982431">
    <w:abstractNumId w:val="12"/>
  </w:num>
  <w:num w:numId="8" w16cid:durableId="269971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5062">
    <w:abstractNumId w:val="28"/>
  </w:num>
  <w:num w:numId="10" w16cid:durableId="1606305291">
    <w:abstractNumId w:val="18"/>
  </w:num>
  <w:num w:numId="11" w16cid:durableId="669992611">
    <w:abstractNumId w:val="8"/>
  </w:num>
  <w:num w:numId="12" w16cid:durableId="1079642356">
    <w:abstractNumId w:val="27"/>
  </w:num>
  <w:num w:numId="13" w16cid:durableId="1006664969">
    <w:abstractNumId w:val="7"/>
  </w:num>
  <w:num w:numId="14" w16cid:durableId="681006575">
    <w:abstractNumId w:val="13"/>
  </w:num>
  <w:num w:numId="15" w16cid:durableId="106388062">
    <w:abstractNumId w:val="32"/>
  </w:num>
  <w:num w:numId="16" w16cid:durableId="581522789">
    <w:abstractNumId w:val="6"/>
  </w:num>
  <w:num w:numId="17" w16cid:durableId="2084331118">
    <w:abstractNumId w:val="14"/>
  </w:num>
  <w:num w:numId="18" w16cid:durableId="443697980">
    <w:abstractNumId w:val="25"/>
  </w:num>
  <w:num w:numId="19" w16cid:durableId="75052598">
    <w:abstractNumId w:val="1"/>
  </w:num>
  <w:num w:numId="20" w16cid:durableId="693387185">
    <w:abstractNumId w:val="29"/>
  </w:num>
  <w:num w:numId="21" w16cid:durableId="1171523641">
    <w:abstractNumId w:val="16"/>
  </w:num>
  <w:num w:numId="22" w16cid:durableId="667900898">
    <w:abstractNumId w:val="11"/>
  </w:num>
  <w:num w:numId="23" w16cid:durableId="874269735">
    <w:abstractNumId w:val="10"/>
  </w:num>
  <w:num w:numId="24" w16cid:durableId="1257328768">
    <w:abstractNumId w:val="17"/>
  </w:num>
  <w:num w:numId="25" w16cid:durableId="2063753458">
    <w:abstractNumId w:val="4"/>
  </w:num>
  <w:num w:numId="26" w16cid:durableId="1334722136">
    <w:abstractNumId w:val="22"/>
  </w:num>
  <w:num w:numId="27" w16cid:durableId="1482313785">
    <w:abstractNumId w:val="26"/>
  </w:num>
  <w:num w:numId="28" w16cid:durableId="1771703897">
    <w:abstractNumId w:val="30"/>
  </w:num>
  <w:num w:numId="29" w16cid:durableId="15622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2457344">
    <w:abstractNumId w:val="31"/>
  </w:num>
  <w:num w:numId="31" w16cid:durableId="329675771">
    <w:abstractNumId w:val="33"/>
  </w:num>
  <w:num w:numId="32" w16cid:durableId="4289327">
    <w:abstractNumId w:val="19"/>
  </w:num>
  <w:num w:numId="33" w16cid:durableId="459423168">
    <w:abstractNumId w:val="3"/>
  </w:num>
  <w:num w:numId="34" w16cid:durableId="1586644505">
    <w:abstractNumId w:val="9"/>
  </w:num>
  <w:num w:numId="35" w16cid:durableId="1007513838">
    <w:abstractNumId w:val="24"/>
  </w:num>
  <w:num w:numId="36" w16cid:durableId="999041085">
    <w:abstractNumId w:val="15"/>
  </w:num>
  <w:num w:numId="37" w16cid:durableId="6650605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EE"/>
    <w:rsid w:val="00004B3F"/>
    <w:rsid w:val="00007AE7"/>
    <w:rsid w:val="00017066"/>
    <w:rsid w:val="00024E31"/>
    <w:rsid w:val="00033779"/>
    <w:rsid w:val="00041023"/>
    <w:rsid w:val="00043829"/>
    <w:rsid w:val="00050AB4"/>
    <w:rsid w:val="00056C29"/>
    <w:rsid w:val="00057159"/>
    <w:rsid w:val="0006154A"/>
    <w:rsid w:val="0006371A"/>
    <w:rsid w:val="00065E51"/>
    <w:rsid w:val="0006615A"/>
    <w:rsid w:val="00066D7D"/>
    <w:rsid w:val="0007000E"/>
    <w:rsid w:val="00071A0E"/>
    <w:rsid w:val="00077F28"/>
    <w:rsid w:val="0008013A"/>
    <w:rsid w:val="00081926"/>
    <w:rsid w:val="00082223"/>
    <w:rsid w:val="000829AC"/>
    <w:rsid w:val="00082BF5"/>
    <w:rsid w:val="000847D6"/>
    <w:rsid w:val="00084B86"/>
    <w:rsid w:val="00085C82"/>
    <w:rsid w:val="00090A8A"/>
    <w:rsid w:val="000A26A3"/>
    <w:rsid w:val="000A4D6C"/>
    <w:rsid w:val="000A605D"/>
    <w:rsid w:val="000A6C2C"/>
    <w:rsid w:val="000A7530"/>
    <w:rsid w:val="000B0B7D"/>
    <w:rsid w:val="000B2C41"/>
    <w:rsid w:val="000B7D86"/>
    <w:rsid w:val="000C45B2"/>
    <w:rsid w:val="000C7F5C"/>
    <w:rsid w:val="000D0B0D"/>
    <w:rsid w:val="000D32BE"/>
    <w:rsid w:val="000E009C"/>
    <w:rsid w:val="000E64E3"/>
    <w:rsid w:val="000F6AC0"/>
    <w:rsid w:val="000F6E6D"/>
    <w:rsid w:val="00102481"/>
    <w:rsid w:val="001066A0"/>
    <w:rsid w:val="00110CA5"/>
    <w:rsid w:val="00121E69"/>
    <w:rsid w:val="001251FF"/>
    <w:rsid w:val="0012762C"/>
    <w:rsid w:val="0013093C"/>
    <w:rsid w:val="00136D89"/>
    <w:rsid w:val="00137428"/>
    <w:rsid w:val="00147473"/>
    <w:rsid w:val="00147879"/>
    <w:rsid w:val="00156182"/>
    <w:rsid w:val="0015764A"/>
    <w:rsid w:val="00161F72"/>
    <w:rsid w:val="00164123"/>
    <w:rsid w:val="00171E20"/>
    <w:rsid w:val="0017287C"/>
    <w:rsid w:val="00176690"/>
    <w:rsid w:val="00182E40"/>
    <w:rsid w:val="0018346B"/>
    <w:rsid w:val="001902F4"/>
    <w:rsid w:val="001A0642"/>
    <w:rsid w:val="001A150D"/>
    <w:rsid w:val="001A5BA2"/>
    <w:rsid w:val="001A6FE6"/>
    <w:rsid w:val="001C6BB7"/>
    <w:rsid w:val="001C7FD3"/>
    <w:rsid w:val="001D013F"/>
    <w:rsid w:val="001D0D2C"/>
    <w:rsid w:val="001D2254"/>
    <w:rsid w:val="001D479B"/>
    <w:rsid w:val="001D6504"/>
    <w:rsid w:val="001D72A1"/>
    <w:rsid w:val="001D77AB"/>
    <w:rsid w:val="001F09BB"/>
    <w:rsid w:val="001F0D61"/>
    <w:rsid w:val="001F1BB1"/>
    <w:rsid w:val="001F41A6"/>
    <w:rsid w:val="001F6A20"/>
    <w:rsid w:val="001F718F"/>
    <w:rsid w:val="0020295B"/>
    <w:rsid w:val="002058C2"/>
    <w:rsid w:val="00207E53"/>
    <w:rsid w:val="00212D46"/>
    <w:rsid w:val="0022031E"/>
    <w:rsid w:val="00222C5E"/>
    <w:rsid w:val="002245D5"/>
    <w:rsid w:val="00236581"/>
    <w:rsid w:val="002375CF"/>
    <w:rsid w:val="00244C20"/>
    <w:rsid w:val="00251FC6"/>
    <w:rsid w:val="002627D8"/>
    <w:rsid w:val="002644B2"/>
    <w:rsid w:val="00270A3C"/>
    <w:rsid w:val="00271704"/>
    <w:rsid w:val="002734D9"/>
    <w:rsid w:val="00273D73"/>
    <w:rsid w:val="00285BDE"/>
    <w:rsid w:val="00292A7B"/>
    <w:rsid w:val="002A3254"/>
    <w:rsid w:val="002A4595"/>
    <w:rsid w:val="002B3036"/>
    <w:rsid w:val="002B5800"/>
    <w:rsid w:val="002C31E9"/>
    <w:rsid w:val="002C47D8"/>
    <w:rsid w:val="002C61E6"/>
    <w:rsid w:val="002D09C9"/>
    <w:rsid w:val="002D5B04"/>
    <w:rsid w:val="002D7637"/>
    <w:rsid w:val="002E1149"/>
    <w:rsid w:val="002E1237"/>
    <w:rsid w:val="002E568D"/>
    <w:rsid w:val="002E71F1"/>
    <w:rsid w:val="002F683D"/>
    <w:rsid w:val="0030147C"/>
    <w:rsid w:val="00303241"/>
    <w:rsid w:val="00313EB1"/>
    <w:rsid w:val="0032045D"/>
    <w:rsid w:val="003219A8"/>
    <w:rsid w:val="00324A47"/>
    <w:rsid w:val="00330634"/>
    <w:rsid w:val="00334DA1"/>
    <w:rsid w:val="00343A9B"/>
    <w:rsid w:val="003463EC"/>
    <w:rsid w:val="003511AD"/>
    <w:rsid w:val="00353903"/>
    <w:rsid w:val="00354E22"/>
    <w:rsid w:val="003557A1"/>
    <w:rsid w:val="003566F9"/>
    <w:rsid w:val="0036440E"/>
    <w:rsid w:val="003671F9"/>
    <w:rsid w:val="00375E5E"/>
    <w:rsid w:val="00380815"/>
    <w:rsid w:val="00382FDB"/>
    <w:rsid w:val="00387787"/>
    <w:rsid w:val="00391C80"/>
    <w:rsid w:val="00393E1A"/>
    <w:rsid w:val="003971AE"/>
    <w:rsid w:val="003A07B8"/>
    <w:rsid w:val="003B1FC1"/>
    <w:rsid w:val="003B6066"/>
    <w:rsid w:val="003B63A4"/>
    <w:rsid w:val="003C0CA5"/>
    <w:rsid w:val="003C3DF0"/>
    <w:rsid w:val="003C4AA0"/>
    <w:rsid w:val="003C7028"/>
    <w:rsid w:val="003C7531"/>
    <w:rsid w:val="003D05CE"/>
    <w:rsid w:val="003D532A"/>
    <w:rsid w:val="003E6D9D"/>
    <w:rsid w:val="003F0675"/>
    <w:rsid w:val="003F3CB4"/>
    <w:rsid w:val="003F4E14"/>
    <w:rsid w:val="003F6B95"/>
    <w:rsid w:val="003F6CCB"/>
    <w:rsid w:val="00407100"/>
    <w:rsid w:val="00412596"/>
    <w:rsid w:val="0041421A"/>
    <w:rsid w:val="00421CB7"/>
    <w:rsid w:val="0042497B"/>
    <w:rsid w:val="004265C5"/>
    <w:rsid w:val="00427992"/>
    <w:rsid w:val="00432A9F"/>
    <w:rsid w:val="00434159"/>
    <w:rsid w:val="004379AA"/>
    <w:rsid w:val="00446235"/>
    <w:rsid w:val="00456B4C"/>
    <w:rsid w:val="004616A3"/>
    <w:rsid w:val="004625A7"/>
    <w:rsid w:val="004635EE"/>
    <w:rsid w:val="00473BEB"/>
    <w:rsid w:val="00473CBB"/>
    <w:rsid w:val="004754DE"/>
    <w:rsid w:val="00476284"/>
    <w:rsid w:val="004814FC"/>
    <w:rsid w:val="00486A4A"/>
    <w:rsid w:val="00493CCD"/>
    <w:rsid w:val="00493D9C"/>
    <w:rsid w:val="004951AE"/>
    <w:rsid w:val="004A3839"/>
    <w:rsid w:val="004A581C"/>
    <w:rsid w:val="004A5F16"/>
    <w:rsid w:val="004B01CD"/>
    <w:rsid w:val="004B6F88"/>
    <w:rsid w:val="004C61B6"/>
    <w:rsid w:val="004D7168"/>
    <w:rsid w:val="004F2EE9"/>
    <w:rsid w:val="005068F0"/>
    <w:rsid w:val="00507365"/>
    <w:rsid w:val="00517177"/>
    <w:rsid w:val="00521605"/>
    <w:rsid w:val="0052557B"/>
    <w:rsid w:val="00525F1A"/>
    <w:rsid w:val="00525FE7"/>
    <w:rsid w:val="00526053"/>
    <w:rsid w:val="005270D9"/>
    <w:rsid w:val="0052732D"/>
    <w:rsid w:val="00530EFF"/>
    <w:rsid w:val="00536320"/>
    <w:rsid w:val="00536585"/>
    <w:rsid w:val="00537122"/>
    <w:rsid w:val="005439D3"/>
    <w:rsid w:val="00546981"/>
    <w:rsid w:val="005526DA"/>
    <w:rsid w:val="00555DD0"/>
    <w:rsid w:val="005709C9"/>
    <w:rsid w:val="00577C46"/>
    <w:rsid w:val="00580390"/>
    <w:rsid w:val="00584F3F"/>
    <w:rsid w:val="005945D4"/>
    <w:rsid w:val="00597A10"/>
    <w:rsid w:val="005A0F08"/>
    <w:rsid w:val="005A386A"/>
    <w:rsid w:val="005A70FC"/>
    <w:rsid w:val="005B5429"/>
    <w:rsid w:val="005B621F"/>
    <w:rsid w:val="005B6928"/>
    <w:rsid w:val="005C09E0"/>
    <w:rsid w:val="005C233E"/>
    <w:rsid w:val="005C364E"/>
    <w:rsid w:val="005C6AE9"/>
    <w:rsid w:val="005E1433"/>
    <w:rsid w:val="005E28DC"/>
    <w:rsid w:val="005E2D87"/>
    <w:rsid w:val="005E7D8B"/>
    <w:rsid w:val="005F25B6"/>
    <w:rsid w:val="005F2885"/>
    <w:rsid w:val="005F6FEA"/>
    <w:rsid w:val="00602559"/>
    <w:rsid w:val="00603EF8"/>
    <w:rsid w:val="0060419D"/>
    <w:rsid w:val="00612877"/>
    <w:rsid w:val="006243DF"/>
    <w:rsid w:val="00634E72"/>
    <w:rsid w:val="006450F3"/>
    <w:rsid w:val="00645948"/>
    <w:rsid w:val="00647929"/>
    <w:rsid w:val="0065582B"/>
    <w:rsid w:val="00656323"/>
    <w:rsid w:val="00667BBE"/>
    <w:rsid w:val="00667E18"/>
    <w:rsid w:val="00671126"/>
    <w:rsid w:val="00672022"/>
    <w:rsid w:val="006736B5"/>
    <w:rsid w:val="00673DF3"/>
    <w:rsid w:val="00674ABA"/>
    <w:rsid w:val="0067532A"/>
    <w:rsid w:val="006850E8"/>
    <w:rsid w:val="0069346B"/>
    <w:rsid w:val="00696C3A"/>
    <w:rsid w:val="006A1F14"/>
    <w:rsid w:val="006A54FF"/>
    <w:rsid w:val="006A6B62"/>
    <w:rsid w:val="006C0F6F"/>
    <w:rsid w:val="006C3362"/>
    <w:rsid w:val="006C513F"/>
    <w:rsid w:val="006D0C76"/>
    <w:rsid w:val="006D7EF5"/>
    <w:rsid w:val="006E21E7"/>
    <w:rsid w:val="006E2DFA"/>
    <w:rsid w:val="00701746"/>
    <w:rsid w:val="00705F15"/>
    <w:rsid w:val="00706040"/>
    <w:rsid w:val="00711C3F"/>
    <w:rsid w:val="00711D62"/>
    <w:rsid w:val="0071774F"/>
    <w:rsid w:val="00730E43"/>
    <w:rsid w:val="007349EB"/>
    <w:rsid w:val="00734C73"/>
    <w:rsid w:val="00746A6A"/>
    <w:rsid w:val="00747F28"/>
    <w:rsid w:val="007503DF"/>
    <w:rsid w:val="00755EF0"/>
    <w:rsid w:val="007561EF"/>
    <w:rsid w:val="007723B5"/>
    <w:rsid w:val="00773601"/>
    <w:rsid w:val="0077693D"/>
    <w:rsid w:val="00793CB0"/>
    <w:rsid w:val="00794214"/>
    <w:rsid w:val="0079687B"/>
    <w:rsid w:val="007A4AF0"/>
    <w:rsid w:val="007B2A27"/>
    <w:rsid w:val="007C1132"/>
    <w:rsid w:val="007C73F0"/>
    <w:rsid w:val="007C795E"/>
    <w:rsid w:val="007D0DBF"/>
    <w:rsid w:val="007D5601"/>
    <w:rsid w:val="007D5C3E"/>
    <w:rsid w:val="007E5C3C"/>
    <w:rsid w:val="007F0373"/>
    <w:rsid w:val="007F417F"/>
    <w:rsid w:val="008102FB"/>
    <w:rsid w:val="008202D0"/>
    <w:rsid w:val="00823A09"/>
    <w:rsid w:val="00834A32"/>
    <w:rsid w:val="00835EB5"/>
    <w:rsid w:val="008366F5"/>
    <w:rsid w:val="008547FE"/>
    <w:rsid w:val="00856F83"/>
    <w:rsid w:val="00863904"/>
    <w:rsid w:val="00865499"/>
    <w:rsid w:val="008669D6"/>
    <w:rsid w:val="008707F0"/>
    <w:rsid w:val="00874A22"/>
    <w:rsid w:val="0088055E"/>
    <w:rsid w:val="0089422B"/>
    <w:rsid w:val="0089708C"/>
    <w:rsid w:val="008A03E9"/>
    <w:rsid w:val="008A4301"/>
    <w:rsid w:val="008A6030"/>
    <w:rsid w:val="008A7C37"/>
    <w:rsid w:val="008B06EC"/>
    <w:rsid w:val="008B0BC9"/>
    <w:rsid w:val="008B3D6C"/>
    <w:rsid w:val="008B484E"/>
    <w:rsid w:val="008B7867"/>
    <w:rsid w:val="008B7E9B"/>
    <w:rsid w:val="008B7EC7"/>
    <w:rsid w:val="008C27B4"/>
    <w:rsid w:val="008C7143"/>
    <w:rsid w:val="008E1088"/>
    <w:rsid w:val="008E3599"/>
    <w:rsid w:val="00900164"/>
    <w:rsid w:val="00901E0C"/>
    <w:rsid w:val="00905387"/>
    <w:rsid w:val="00905AC3"/>
    <w:rsid w:val="00915FCC"/>
    <w:rsid w:val="0092291E"/>
    <w:rsid w:val="0092346E"/>
    <w:rsid w:val="00930731"/>
    <w:rsid w:val="009340C4"/>
    <w:rsid w:val="00936277"/>
    <w:rsid w:val="00937E72"/>
    <w:rsid w:val="00941778"/>
    <w:rsid w:val="00946716"/>
    <w:rsid w:val="00946D36"/>
    <w:rsid w:val="009568FB"/>
    <w:rsid w:val="009576E2"/>
    <w:rsid w:val="009608F9"/>
    <w:rsid w:val="00967751"/>
    <w:rsid w:val="0097493D"/>
    <w:rsid w:val="00976907"/>
    <w:rsid w:val="009779F6"/>
    <w:rsid w:val="00980246"/>
    <w:rsid w:val="00981B2A"/>
    <w:rsid w:val="00990FC9"/>
    <w:rsid w:val="009927E1"/>
    <w:rsid w:val="009A0655"/>
    <w:rsid w:val="009A4628"/>
    <w:rsid w:val="009A5B09"/>
    <w:rsid w:val="009A653F"/>
    <w:rsid w:val="009B27CE"/>
    <w:rsid w:val="009C04EA"/>
    <w:rsid w:val="009C707E"/>
    <w:rsid w:val="009D6C6B"/>
    <w:rsid w:val="009E0026"/>
    <w:rsid w:val="009F4258"/>
    <w:rsid w:val="00A00AE2"/>
    <w:rsid w:val="00A01EC1"/>
    <w:rsid w:val="00A021D5"/>
    <w:rsid w:val="00A22BBD"/>
    <w:rsid w:val="00A23598"/>
    <w:rsid w:val="00A26BEE"/>
    <w:rsid w:val="00A36639"/>
    <w:rsid w:val="00A377BA"/>
    <w:rsid w:val="00A37962"/>
    <w:rsid w:val="00A44DAC"/>
    <w:rsid w:val="00A5175A"/>
    <w:rsid w:val="00A5237E"/>
    <w:rsid w:val="00A56E4B"/>
    <w:rsid w:val="00A6112B"/>
    <w:rsid w:val="00A62946"/>
    <w:rsid w:val="00A6333E"/>
    <w:rsid w:val="00A77B0B"/>
    <w:rsid w:val="00A80C9D"/>
    <w:rsid w:val="00A87F79"/>
    <w:rsid w:val="00A96D6E"/>
    <w:rsid w:val="00A9790D"/>
    <w:rsid w:val="00AA22BA"/>
    <w:rsid w:val="00AA524E"/>
    <w:rsid w:val="00AA5AA9"/>
    <w:rsid w:val="00AA60CF"/>
    <w:rsid w:val="00AB6470"/>
    <w:rsid w:val="00AC0066"/>
    <w:rsid w:val="00AC177C"/>
    <w:rsid w:val="00AC1AAC"/>
    <w:rsid w:val="00AC525A"/>
    <w:rsid w:val="00AD5D3F"/>
    <w:rsid w:val="00AE29EC"/>
    <w:rsid w:val="00AE475C"/>
    <w:rsid w:val="00AE5E9D"/>
    <w:rsid w:val="00AF55A2"/>
    <w:rsid w:val="00B07068"/>
    <w:rsid w:val="00B12A4B"/>
    <w:rsid w:val="00B152F3"/>
    <w:rsid w:val="00B170E2"/>
    <w:rsid w:val="00B20CE7"/>
    <w:rsid w:val="00B2489D"/>
    <w:rsid w:val="00B26AB1"/>
    <w:rsid w:val="00B315AE"/>
    <w:rsid w:val="00B31759"/>
    <w:rsid w:val="00B42B3F"/>
    <w:rsid w:val="00B43760"/>
    <w:rsid w:val="00B446B4"/>
    <w:rsid w:val="00B455B3"/>
    <w:rsid w:val="00B46DFD"/>
    <w:rsid w:val="00B52A0E"/>
    <w:rsid w:val="00B549B9"/>
    <w:rsid w:val="00B6023C"/>
    <w:rsid w:val="00B66470"/>
    <w:rsid w:val="00B6775C"/>
    <w:rsid w:val="00B74FC2"/>
    <w:rsid w:val="00B87015"/>
    <w:rsid w:val="00B90431"/>
    <w:rsid w:val="00B96A4D"/>
    <w:rsid w:val="00BA2D4A"/>
    <w:rsid w:val="00BA2ECE"/>
    <w:rsid w:val="00BA591D"/>
    <w:rsid w:val="00BB7578"/>
    <w:rsid w:val="00BC3F57"/>
    <w:rsid w:val="00BC7198"/>
    <w:rsid w:val="00BD01E0"/>
    <w:rsid w:val="00BD31F4"/>
    <w:rsid w:val="00BD6EA1"/>
    <w:rsid w:val="00BE7700"/>
    <w:rsid w:val="00BF00E9"/>
    <w:rsid w:val="00BF1F03"/>
    <w:rsid w:val="00BF29E8"/>
    <w:rsid w:val="00BF40B8"/>
    <w:rsid w:val="00BF7600"/>
    <w:rsid w:val="00C0033F"/>
    <w:rsid w:val="00C02E97"/>
    <w:rsid w:val="00C101E5"/>
    <w:rsid w:val="00C110FF"/>
    <w:rsid w:val="00C135F8"/>
    <w:rsid w:val="00C167A7"/>
    <w:rsid w:val="00C20489"/>
    <w:rsid w:val="00C328D8"/>
    <w:rsid w:val="00C32C88"/>
    <w:rsid w:val="00C3372D"/>
    <w:rsid w:val="00C33F7D"/>
    <w:rsid w:val="00C357EE"/>
    <w:rsid w:val="00C3644B"/>
    <w:rsid w:val="00C41352"/>
    <w:rsid w:val="00C4288F"/>
    <w:rsid w:val="00C43966"/>
    <w:rsid w:val="00C44A88"/>
    <w:rsid w:val="00C51437"/>
    <w:rsid w:val="00C55660"/>
    <w:rsid w:val="00C6751A"/>
    <w:rsid w:val="00C74877"/>
    <w:rsid w:val="00C770F7"/>
    <w:rsid w:val="00C81442"/>
    <w:rsid w:val="00C835BF"/>
    <w:rsid w:val="00C8608F"/>
    <w:rsid w:val="00C920AE"/>
    <w:rsid w:val="00C927A1"/>
    <w:rsid w:val="00C928CC"/>
    <w:rsid w:val="00C934EB"/>
    <w:rsid w:val="00C94A72"/>
    <w:rsid w:val="00C9502F"/>
    <w:rsid w:val="00C9789E"/>
    <w:rsid w:val="00CB4FF4"/>
    <w:rsid w:val="00CB690F"/>
    <w:rsid w:val="00CC1863"/>
    <w:rsid w:val="00CC3CA7"/>
    <w:rsid w:val="00CC4092"/>
    <w:rsid w:val="00CD5D7D"/>
    <w:rsid w:val="00CD60D6"/>
    <w:rsid w:val="00CD6912"/>
    <w:rsid w:val="00CD766C"/>
    <w:rsid w:val="00CE4916"/>
    <w:rsid w:val="00CF66CD"/>
    <w:rsid w:val="00D16384"/>
    <w:rsid w:val="00D166D9"/>
    <w:rsid w:val="00D2673F"/>
    <w:rsid w:val="00D31554"/>
    <w:rsid w:val="00D34499"/>
    <w:rsid w:val="00D36F73"/>
    <w:rsid w:val="00D415A1"/>
    <w:rsid w:val="00D4465C"/>
    <w:rsid w:val="00D45E82"/>
    <w:rsid w:val="00D45F02"/>
    <w:rsid w:val="00D5014F"/>
    <w:rsid w:val="00D538F6"/>
    <w:rsid w:val="00D572AD"/>
    <w:rsid w:val="00D574B0"/>
    <w:rsid w:val="00D6191B"/>
    <w:rsid w:val="00D62E7A"/>
    <w:rsid w:val="00D64A1F"/>
    <w:rsid w:val="00D65A47"/>
    <w:rsid w:val="00D66FE0"/>
    <w:rsid w:val="00D71865"/>
    <w:rsid w:val="00D813BC"/>
    <w:rsid w:val="00D84170"/>
    <w:rsid w:val="00D93A5C"/>
    <w:rsid w:val="00D93B16"/>
    <w:rsid w:val="00DA3CF3"/>
    <w:rsid w:val="00DB1271"/>
    <w:rsid w:val="00DC2217"/>
    <w:rsid w:val="00DC3F96"/>
    <w:rsid w:val="00DD75DE"/>
    <w:rsid w:val="00DE2D13"/>
    <w:rsid w:val="00DE49CE"/>
    <w:rsid w:val="00DE759A"/>
    <w:rsid w:val="00DE7D02"/>
    <w:rsid w:val="00DF29B3"/>
    <w:rsid w:val="00E04FEA"/>
    <w:rsid w:val="00E072F2"/>
    <w:rsid w:val="00E07690"/>
    <w:rsid w:val="00E13A0C"/>
    <w:rsid w:val="00E161AA"/>
    <w:rsid w:val="00E24F0A"/>
    <w:rsid w:val="00E26EC1"/>
    <w:rsid w:val="00E31F26"/>
    <w:rsid w:val="00E323DC"/>
    <w:rsid w:val="00E34A59"/>
    <w:rsid w:val="00E367C1"/>
    <w:rsid w:val="00E40DAF"/>
    <w:rsid w:val="00E429B0"/>
    <w:rsid w:val="00E44DBA"/>
    <w:rsid w:val="00E611C0"/>
    <w:rsid w:val="00E61AAA"/>
    <w:rsid w:val="00E62C15"/>
    <w:rsid w:val="00E63237"/>
    <w:rsid w:val="00E64519"/>
    <w:rsid w:val="00E849F9"/>
    <w:rsid w:val="00E84C74"/>
    <w:rsid w:val="00E92DDD"/>
    <w:rsid w:val="00E9302B"/>
    <w:rsid w:val="00E94A5E"/>
    <w:rsid w:val="00EA49BA"/>
    <w:rsid w:val="00EA6D33"/>
    <w:rsid w:val="00EB62B6"/>
    <w:rsid w:val="00EB7A81"/>
    <w:rsid w:val="00EC5AEA"/>
    <w:rsid w:val="00EC74C8"/>
    <w:rsid w:val="00ED2072"/>
    <w:rsid w:val="00ED456A"/>
    <w:rsid w:val="00ED73D9"/>
    <w:rsid w:val="00EF0A8C"/>
    <w:rsid w:val="00EF205E"/>
    <w:rsid w:val="00EF3175"/>
    <w:rsid w:val="00EF3762"/>
    <w:rsid w:val="00EF45DA"/>
    <w:rsid w:val="00EF5F47"/>
    <w:rsid w:val="00EF605E"/>
    <w:rsid w:val="00F02CD7"/>
    <w:rsid w:val="00F04D71"/>
    <w:rsid w:val="00F120BF"/>
    <w:rsid w:val="00F14062"/>
    <w:rsid w:val="00F14F8C"/>
    <w:rsid w:val="00F23FF1"/>
    <w:rsid w:val="00F2743B"/>
    <w:rsid w:val="00F36687"/>
    <w:rsid w:val="00F36CA9"/>
    <w:rsid w:val="00F36F2A"/>
    <w:rsid w:val="00F370D8"/>
    <w:rsid w:val="00F374DA"/>
    <w:rsid w:val="00F428AB"/>
    <w:rsid w:val="00F43080"/>
    <w:rsid w:val="00F432BD"/>
    <w:rsid w:val="00F5197A"/>
    <w:rsid w:val="00F55223"/>
    <w:rsid w:val="00F658F2"/>
    <w:rsid w:val="00F715E6"/>
    <w:rsid w:val="00F728CA"/>
    <w:rsid w:val="00F762C2"/>
    <w:rsid w:val="00F76962"/>
    <w:rsid w:val="00F85A33"/>
    <w:rsid w:val="00F92D00"/>
    <w:rsid w:val="00F93712"/>
    <w:rsid w:val="00FA032E"/>
    <w:rsid w:val="00FA0DAF"/>
    <w:rsid w:val="00FA3B02"/>
    <w:rsid w:val="00FA6B2A"/>
    <w:rsid w:val="00FB3ADB"/>
    <w:rsid w:val="00FB45CF"/>
    <w:rsid w:val="00FB4D1B"/>
    <w:rsid w:val="00FC6317"/>
    <w:rsid w:val="00FD58F7"/>
    <w:rsid w:val="00FE11D0"/>
    <w:rsid w:val="00FE1A99"/>
    <w:rsid w:val="00FE3745"/>
    <w:rsid w:val="00FE6B6D"/>
    <w:rsid w:val="00FF2CE9"/>
    <w:rsid w:val="00FF4077"/>
    <w:rsid w:val="00FF4A79"/>
    <w:rsid w:val="00FF6482"/>
    <w:rsid w:val="0D0124B9"/>
    <w:rsid w:val="1640D5BF"/>
    <w:rsid w:val="1C1455A1"/>
    <w:rsid w:val="1C91ED28"/>
    <w:rsid w:val="257CB56C"/>
    <w:rsid w:val="29EC7756"/>
    <w:rsid w:val="2FE69CAE"/>
    <w:rsid w:val="34BEBCC6"/>
    <w:rsid w:val="40A379D9"/>
    <w:rsid w:val="43A96BBF"/>
    <w:rsid w:val="43C0C1FD"/>
    <w:rsid w:val="47779732"/>
    <w:rsid w:val="4CDB96D6"/>
    <w:rsid w:val="4F796EC4"/>
    <w:rsid w:val="541654B4"/>
    <w:rsid w:val="5D1014A6"/>
    <w:rsid w:val="5F7E1027"/>
    <w:rsid w:val="6C3984B8"/>
    <w:rsid w:val="7548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380D"/>
  <w15:chartTrackingRefBased/>
  <w15:docId w15:val="{C173CB2A-A486-4136-924F-3F574006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6A4D"/>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A26BEE"/>
    <w:pPr>
      <w:keepNext/>
      <w:keepLines/>
      <w:numPr>
        <w:numId w:val="1"/>
      </w:numPr>
      <w:spacing w:before="360" w:after="80" w:line="259" w:lineRule="auto"/>
      <w:outlineLvl w:val="0"/>
    </w:pPr>
    <w:rPr>
      <w:rFonts w:asciiTheme="majorHAnsi" w:hAnsiTheme="majorHAnsi" w:eastAsiaTheme="majorEastAsia" w:cstheme="majorBidi"/>
      <w:color w:val="0F4761" w:themeColor="accent1" w:themeShade="BF"/>
      <w:kern w:val="2"/>
      <w:sz w:val="40"/>
      <w:szCs w:val="40"/>
      <w:lang w:eastAsia="en-US"/>
      <w14:ligatures w14:val="standardContextual"/>
    </w:rPr>
  </w:style>
  <w:style w:type="paragraph" w:styleId="Heading2">
    <w:name w:val="heading 2"/>
    <w:aliases w:val="Numbered Subheading"/>
    <w:basedOn w:val="Normal"/>
    <w:next w:val="Normal"/>
    <w:link w:val="Heading2Char"/>
    <w:uiPriority w:val="9"/>
    <w:unhideWhenUsed/>
    <w:qFormat/>
    <w:rsid w:val="00A26BEE"/>
    <w:pPr>
      <w:keepNext/>
      <w:keepLines/>
      <w:numPr>
        <w:ilvl w:val="1"/>
        <w:numId w:val="1"/>
      </w:numPr>
      <w:spacing w:before="160" w:after="80" w:line="259" w:lineRule="auto"/>
      <w:outlineLvl w:val="1"/>
    </w:pPr>
    <w:rPr>
      <w:rFonts w:asciiTheme="majorHAnsi" w:hAnsiTheme="majorHAnsi" w:eastAsiaTheme="majorEastAsia"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A26BEE"/>
    <w:pPr>
      <w:keepNext/>
      <w:keepLines/>
      <w:numPr>
        <w:ilvl w:val="2"/>
        <w:numId w:val="1"/>
      </w:numPr>
      <w:spacing w:before="160" w:after="80" w:line="259" w:lineRule="auto"/>
      <w:ind w:left="72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A26BEE"/>
    <w:pPr>
      <w:keepNext/>
      <w:keepLines/>
      <w:numPr>
        <w:ilvl w:val="3"/>
        <w:numId w:val="1"/>
      </w:numPr>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A26BEE"/>
    <w:pPr>
      <w:keepNext/>
      <w:keepLines/>
      <w:numPr>
        <w:ilvl w:val="4"/>
        <w:numId w:val="1"/>
      </w:numPr>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26BEE"/>
    <w:pPr>
      <w:keepNext/>
      <w:keepLines/>
      <w:numPr>
        <w:ilvl w:val="5"/>
        <w:numId w:val="1"/>
      </w:numPr>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26BEE"/>
    <w:pPr>
      <w:keepNext/>
      <w:keepLines/>
      <w:numPr>
        <w:ilvl w:val="6"/>
        <w:numId w:val="1"/>
      </w:numPr>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A26BEE"/>
    <w:pPr>
      <w:keepNext/>
      <w:keepLines/>
      <w:numPr>
        <w:ilvl w:val="7"/>
        <w:numId w:val="1"/>
      </w:numPr>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A26BEE"/>
    <w:pPr>
      <w:keepNext/>
      <w:keepLines/>
      <w:numPr>
        <w:ilvl w:val="8"/>
        <w:numId w:val="1"/>
      </w:numPr>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6BEE"/>
    <w:rPr>
      <w:rFonts w:asciiTheme="majorHAnsi" w:hAnsiTheme="majorHAnsi" w:eastAsiaTheme="majorEastAsia" w:cstheme="majorBidi"/>
      <w:color w:val="0F4761" w:themeColor="accent1" w:themeShade="BF"/>
      <w:sz w:val="40"/>
      <w:szCs w:val="40"/>
    </w:rPr>
  </w:style>
  <w:style w:type="character" w:styleId="Heading2Char" w:customStyle="1">
    <w:name w:val="Heading 2 Char"/>
    <w:aliases w:val="Numbered Subheading Char"/>
    <w:basedOn w:val="DefaultParagraphFont"/>
    <w:link w:val="Heading2"/>
    <w:uiPriority w:val="9"/>
    <w:rsid w:val="00A26BE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26BE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26BE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26BE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26B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26B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26B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26BEE"/>
    <w:rPr>
      <w:rFonts w:eastAsiaTheme="majorEastAsia" w:cstheme="majorBidi"/>
      <w:color w:val="272727" w:themeColor="text1" w:themeTint="D8"/>
    </w:rPr>
  </w:style>
  <w:style w:type="paragraph" w:styleId="Title">
    <w:name w:val="Title"/>
    <w:basedOn w:val="Normal"/>
    <w:next w:val="Normal"/>
    <w:link w:val="TitleChar"/>
    <w:uiPriority w:val="10"/>
    <w:qFormat/>
    <w:rsid w:val="00A26BEE"/>
    <w:pPr>
      <w:spacing w:after="8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itleChar" w:customStyle="1">
    <w:name w:val="Title Char"/>
    <w:basedOn w:val="DefaultParagraphFont"/>
    <w:link w:val="Title"/>
    <w:uiPriority w:val="10"/>
    <w:rsid w:val="00A26B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26BEE"/>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styleId="SubtitleChar" w:customStyle="1">
    <w:name w:val="Subtitle Char"/>
    <w:basedOn w:val="DefaultParagraphFont"/>
    <w:link w:val="Subtitle"/>
    <w:uiPriority w:val="11"/>
    <w:rsid w:val="00A26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BEE"/>
    <w:pPr>
      <w:spacing w:before="160" w:line="259" w:lineRule="auto"/>
      <w:jc w:val="center"/>
    </w:pPr>
    <w:rPr>
      <w:rFonts w:eastAsiaTheme="minorHAnsi"/>
      <w:i/>
      <w:iCs/>
      <w:color w:val="404040" w:themeColor="text1" w:themeTint="BF"/>
      <w:kern w:val="2"/>
      <w:sz w:val="22"/>
      <w:szCs w:val="22"/>
      <w:lang w:eastAsia="en-US"/>
      <w14:ligatures w14:val="standardContextual"/>
    </w:rPr>
  </w:style>
  <w:style w:type="character" w:styleId="QuoteChar" w:customStyle="1">
    <w:name w:val="Quote Char"/>
    <w:basedOn w:val="DefaultParagraphFont"/>
    <w:link w:val="Quote"/>
    <w:uiPriority w:val="29"/>
    <w:rsid w:val="00A26BEE"/>
    <w:rPr>
      <w:i/>
      <w:iCs/>
      <w:color w:val="404040" w:themeColor="text1" w:themeTint="BF"/>
    </w:rPr>
  </w:style>
  <w:style w:type="paragraph" w:styleId="ListParagraph">
    <w:name w:val="List Paragraph"/>
    <w:basedOn w:val="Normal"/>
    <w:uiPriority w:val="34"/>
    <w:qFormat/>
    <w:rsid w:val="00A26BEE"/>
    <w:pPr>
      <w:spacing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A26BEE"/>
    <w:rPr>
      <w:i/>
      <w:iCs/>
      <w:color w:val="0F4761" w:themeColor="accent1" w:themeShade="BF"/>
    </w:rPr>
  </w:style>
  <w:style w:type="paragraph" w:styleId="IntenseQuote">
    <w:name w:val="Intense Quote"/>
    <w:basedOn w:val="Normal"/>
    <w:next w:val="Normal"/>
    <w:link w:val="IntenseQuoteChar"/>
    <w:uiPriority w:val="30"/>
    <w:qFormat/>
    <w:rsid w:val="00A26BEE"/>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styleId="IntenseQuoteChar" w:customStyle="1">
    <w:name w:val="Intense Quote Char"/>
    <w:basedOn w:val="DefaultParagraphFont"/>
    <w:link w:val="IntenseQuote"/>
    <w:uiPriority w:val="30"/>
    <w:rsid w:val="00A26BEE"/>
    <w:rPr>
      <w:i/>
      <w:iCs/>
      <w:color w:val="0F4761" w:themeColor="accent1" w:themeShade="BF"/>
    </w:rPr>
  </w:style>
  <w:style w:type="character" w:styleId="IntenseReference">
    <w:name w:val="Intense Reference"/>
    <w:basedOn w:val="DefaultParagraphFont"/>
    <w:uiPriority w:val="32"/>
    <w:qFormat/>
    <w:rsid w:val="00A26BEE"/>
    <w:rPr>
      <w:b/>
      <w:bCs/>
      <w:smallCaps/>
      <w:color w:val="0F4761" w:themeColor="accent1" w:themeShade="BF"/>
      <w:spacing w:val="5"/>
    </w:rPr>
  </w:style>
  <w:style w:type="table" w:styleId="TableGrid">
    <w:name w:val="Table Grid"/>
    <w:basedOn w:val="TableNormal"/>
    <w:uiPriority w:val="39"/>
    <w:rsid w:val="00A26BEE"/>
    <w:pPr>
      <w:spacing w:after="0" w:line="240" w:lineRule="auto"/>
    </w:pPr>
    <w:rPr>
      <w:rFonts w:eastAsiaTheme="minorEastAsia"/>
      <w:kern w:val="0"/>
      <w:sz w:val="24"/>
      <w:szCs w:val="24"/>
      <w:lang w:eastAsia="ja-JP"/>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A26BEE"/>
    <w:pPr>
      <w:spacing w:after="0" w:line="240" w:lineRule="auto"/>
    </w:pPr>
    <w:rPr>
      <w:rFonts w:eastAsiaTheme="minorEastAsia"/>
      <w:kern w:val="0"/>
      <w:lang w:eastAsia="en-GB"/>
      <w14:ligatures w14:val="none"/>
    </w:rPr>
  </w:style>
  <w:style w:type="character" w:styleId="NoSpacingChar" w:customStyle="1">
    <w:name w:val="No Spacing Char"/>
    <w:basedOn w:val="DefaultParagraphFont"/>
    <w:link w:val="NoSpacing"/>
    <w:uiPriority w:val="1"/>
    <w:rsid w:val="00A26BEE"/>
    <w:rPr>
      <w:rFonts w:eastAsiaTheme="minorEastAsia"/>
      <w:kern w:val="0"/>
      <w:lang w:eastAsia="en-GB"/>
      <w14:ligatures w14:val="none"/>
    </w:rPr>
  </w:style>
  <w:style w:type="paragraph" w:styleId="TOCHeading">
    <w:name w:val="TOC Heading"/>
    <w:basedOn w:val="Heading1"/>
    <w:next w:val="Normal"/>
    <w:uiPriority w:val="39"/>
    <w:unhideWhenUsed/>
    <w:qFormat/>
    <w:rsid w:val="007A4AF0"/>
    <w:pPr>
      <w:spacing w:before="240" w:after="0"/>
      <w:outlineLvl w:val="9"/>
    </w:pPr>
    <w:rPr>
      <w:kern w:val="0"/>
      <w:sz w:val="32"/>
      <w:szCs w:val="32"/>
      <w:lang w:eastAsia="en-GB"/>
      <w14:ligatures w14:val="none"/>
    </w:rPr>
  </w:style>
  <w:style w:type="paragraph" w:styleId="Header">
    <w:name w:val="header"/>
    <w:basedOn w:val="Normal"/>
    <w:link w:val="HeaderChar"/>
    <w:uiPriority w:val="99"/>
    <w:unhideWhenUsed/>
    <w:rsid w:val="007A4A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4AF0"/>
    <w:rPr>
      <w:rFonts w:eastAsiaTheme="minorEastAsia"/>
      <w:kern w:val="0"/>
      <w:sz w:val="24"/>
      <w:szCs w:val="24"/>
      <w:lang w:eastAsia="ja-JP"/>
      <w14:ligatures w14:val="none"/>
    </w:rPr>
  </w:style>
  <w:style w:type="paragraph" w:styleId="Footer">
    <w:name w:val="footer"/>
    <w:basedOn w:val="Normal"/>
    <w:link w:val="FooterChar"/>
    <w:uiPriority w:val="99"/>
    <w:unhideWhenUsed/>
    <w:rsid w:val="007A4A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4AF0"/>
    <w:rPr>
      <w:rFonts w:eastAsiaTheme="minorEastAsia"/>
      <w:kern w:val="0"/>
      <w:sz w:val="24"/>
      <w:szCs w:val="24"/>
      <w:lang w:eastAsia="ja-JP"/>
      <w14:ligatures w14:val="none"/>
    </w:rPr>
  </w:style>
  <w:style w:type="character" w:styleId="Hyperlink">
    <w:name w:val="Hyperlink"/>
    <w:basedOn w:val="DefaultParagraphFont"/>
    <w:uiPriority w:val="99"/>
    <w:unhideWhenUsed/>
    <w:rsid w:val="00856F83"/>
    <w:rPr>
      <w:color w:val="467886" w:themeColor="hyperlink"/>
      <w:u w:val="single"/>
    </w:rPr>
  </w:style>
  <w:style w:type="character" w:styleId="UnresolvedMention">
    <w:name w:val="Unresolved Mention"/>
    <w:basedOn w:val="DefaultParagraphFont"/>
    <w:uiPriority w:val="99"/>
    <w:semiHidden/>
    <w:unhideWhenUsed/>
    <w:rsid w:val="00856F83"/>
    <w:rPr>
      <w:color w:val="605E5C"/>
      <w:shd w:val="clear" w:color="auto" w:fill="E1DFDD"/>
    </w:rPr>
  </w:style>
  <w:style w:type="character" w:styleId="TableHeadingChar" w:customStyle="1">
    <w:name w:val="Table Heading Char"/>
    <w:basedOn w:val="DefaultParagraphFont"/>
    <w:link w:val="TableHeading"/>
    <w:locked/>
    <w:rsid w:val="002D7637"/>
    <w:rPr>
      <w:rFonts w:ascii="Arial" w:hAnsi="Arial" w:eastAsia="Calibri" w:cs="Arial"/>
      <w:b/>
      <w:lang w:val="en-AU"/>
    </w:rPr>
  </w:style>
  <w:style w:type="paragraph" w:styleId="TableHeading" w:customStyle="1">
    <w:name w:val="Table Heading"/>
    <w:basedOn w:val="BodyText"/>
    <w:link w:val="TableHeadingChar"/>
    <w:qFormat/>
    <w:rsid w:val="002D7637"/>
    <w:pPr>
      <w:keepNext/>
      <w:spacing w:before="60" w:after="60" w:line="240" w:lineRule="auto"/>
      <w:jc w:val="center"/>
    </w:pPr>
    <w:rPr>
      <w:rFonts w:ascii="Arial" w:hAnsi="Arial" w:eastAsia="Calibri" w:cs="Arial"/>
      <w:b/>
      <w:kern w:val="2"/>
      <w:sz w:val="22"/>
      <w:szCs w:val="22"/>
      <w:lang w:val="en-AU" w:eastAsia="en-US"/>
      <w14:ligatures w14:val="standardContextual"/>
    </w:rPr>
  </w:style>
  <w:style w:type="paragraph" w:styleId="BodyText">
    <w:name w:val="Body Text"/>
    <w:basedOn w:val="Normal"/>
    <w:link w:val="BodyTextChar"/>
    <w:uiPriority w:val="99"/>
    <w:semiHidden/>
    <w:unhideWhenUsed/>
    <w:rsid w:val="002D7637"/>
    <w:pPr>
      <w:spacing w:after="120"/>
    </w:pPr>
  </w:style>
  <w:style w:type="character" w:styleId="BodyTextChar" w:customStyle="1">
    <w:name w:val="Body Text Char"/>
    <w:basedOn w:val="DefaultParagraphFont"/>
    <w:link w:val="BodyText"/>
    <w:uiPriority w:val="99"/>
    <w:semiHidden/>
    <w:rsid w:val="002D7637"/>
    <w:rPr>
      <w:rFonts w:eastAsiaTheme="minorEastAsia"/>
      <w:kern w:val="0"/>
      <w:sz w:val="24"/>
      <w:szCs w:val="24"/>
      <w:lang w:eastAsia="ja-JP"/>
      <w14:ligatures w14:val="none"/>
    </w:rPr>
  </w:style>
  <w:style w:type="paragraph" w:styleId="Caption">
    <w:name w:val="caption"/>
    <w:basedOn w:val="Normal"/>
    <w:next w:val="Normal"/>
    <w:uiPriority w:val="35"/>
    <w:unhideWhenUsed/>
    <w:qFormat/>
    <w:rsid w:val="00AE475C"/>
    <w:pPr>
      <w:spacing w:after="200" w:line="240" w:lineRule="auto"/>
    </w:pPr>
    <w:rPr>
      <w:i/>
      <w:iCs/>
      <w:color w:val="0E2841" w:themeColor="text2"/>
      <w:sz w:val="18"/>
      <w:szCs w:val="18"/>
    </w:rPr>
  </w:style>
  <w:style w:type="paragraph" w:styleId="TOC1">
    <w:name w:val="toc 1"/>
    <w:basedOn w:val="Normal"/>
    <w:next w:val="Normal"/>
    <w:autoRedefine/>
    <w:uiPriority w:val="39"/>
    <w:unhideWhenUsed/>
    <w:rsid w:val="00671126"/>
    <w:pPr>
      <w:spacing w:after="100"/>
    </w:pPr>
  </w:style>
  <w:style w:type="paragraph" w:styleId="TOC2">
    <w:name w:val="toc 2"/>
    <w:basedOn w:val="Normal"/>
    <w:next w:val="Normal"/>
    <w:autoRedefine/>
    <w:uiPriority w:val="39"/>
    <w:unhideWhenUsed/>
    <w:rsid w:val="00671126"/>
    <w:pPr>
      <w:spacing w:after="100"/>
      <w:ind w:left="240"/>
    </w:pPr>
  </w:style>
  <w:style w:type="paragraph" w:styleId="TOC3">
    <w:name w:val="toc 3"/>
    <w:basedOn w:val="Normal"/>
    <w:next w:val="Normal"/>
    <w:autoRedefine/>
    <w:uiPriority w:val="39"/>
    <w:unhideWhenUsed/>
    <w:rsid w:val="00AC1AAC"/>
    <w:pPr>
      <w:spacing w:after="100"/>
      <w:ind w:left="480"/>
    </w:pPr>
  </w:style>
  <w:style w:type="paragraph" w:styleId="NormalWeb">
    <w:name w:val="Normal (Web)"/>
    <w:basedOn w:val="Normal"/>
    <w:uiPriority w:val="99"/>
    <w:unhideWhenUsed/>
    <w:rsid w:val="00AD5D3F"/>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AD5D3F"/>
    <w:rPr>
      <w:b/>
      <w:bCs/>
    </w:rPr>
  </w:style>
  <w:style w:type="character" w:styleId="Emphasis">
    <w:name w:val="Emphasis"/>
    <w:basedOn w:val="DefaultParagraphFont"/>
    <w:uiPriority w:val="20"/>
    <w:qFormat/>
    <w:rsid w:val="00AD5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8929">
      <w:bodyDiv w:val="1"/>
      <w:marLeft w:val="0"/>
      <w:marRight w:val="0"/>
      <w:marTop w:val="0"/>
      <w:marBottom w:val="0"/>
      <w:divBdr>
        <w:top w:val="none" w:sz="0" w:space="0" w:color="auto"/>
        <w:left w:val="none" w:sz="0" w:space="0" w:color="auto"/>
        <w:bottom w:val="none" w:sz="0" w:space="0" w:color="auto"/>
        <w:right w:val="none" w:sz="0" w:space="0" w:color="auto"/>
      </w:divBdr>
    </w:div>
    <w:div w:id="112604023">
      <w:bodyDiv w:val="1"/>
      <w:marLeft w:val="0"/>
      <w:marRight w:val="0"/>
      <w:marTop w:val="0"/>
      <w:marBottom w:val="0"/>
      <w:divBdr>
        <w:top w:val="none" w:sz="0" w:space="0" w:color="auto"/>
        <w:left w:val="none" w:sz="0" w:space="0" w:color="auto"/>
        <w:bottom w:val="none" w:sz="0" w:space="0" w:color="auto"/>
        <w:right w:val="none" w:sz="0" w:space="0" w:color="auto"/>
      </w:divBdr>
      <w:divsChild>
        <w:div w:id="826291217">
          <w:marLeft w:val="0"/>
          <w:marRight w:val="0"/>
          <w:marTop w:val="0"/>
          <w:marBottom w:val="0"/>
          <w:divBdr>
            <w:top w:val="none" w:sz="0" w:space="0" w:color="auto"/>
            <w:left w:val="none" w:sz="0" w:space="0" w:color="auto"/>
            <w:bottom w:val="none" w:sz="0" w:space="0" w:color="auto"/>
            <w:right w:val="none" w:sz="0" w:space="0" w:color="auto"/>
          </w:divBdr>
        </w:div>
        <w:div w:id="1680810672">
          <w:marLeft w:val="0"/>
          <w:marRight w:val="0"/>
          <w:marTop w:val="0"/>
          <w:marBottom w:val="0"/>
          <w:divBdr>
            <w:top w:val="none" w:sz="0" w:space="0" w:color="auto"/>
            <w:left w:val="none" w:sz="0" w:space="0" w:color="auto"/>
            <w:bottom w:val="none" w:sz="0" w:space="0" w:color="auto"/>
            <w:right w:val="none" w:sz="0" w:space="0" w:color="auto"/>
          </w:divBdr>
        </w:div>
      </w:divsChild>
    </w:div>
    <w:div w:id="197818594">
      <w:bodyDiv w:val="1"/>
      <w:marLeft w:val="0"/>
      <w:marRight w:val="0"/>
      <w:marTop w:val="0"/>
      <w:marBottom w:val="0"/>
      <w:divBdr>
        <w:top w:val="none" w:sz="0" w:space="0" w:color="auto"/>
        <w:left w:val="none" w:sz="0" w:space="0" w:color="auto"/>
        <w:bottom w:val="none" w:sz="0" w:space="0" w:color="auto"/>
        <w:right w:val="none" w:sz="0" w:space="0" w:color="auto"/>
      </w:divBdr>
    </w:div>
    <w:div w:id="250089941">
      <w:bodyDiv w:val="1"/>
      <w:marLeft w:val="0"/>
      <w:marRight w:val="0"/>
      <w:marTop w:val="0"/>
      <w:marBottom w:val="0"/>
      <w:divBdr>
        <w:top w:val="none" w:sz="0" w:space="0" w:color="auto"/>
        <w:left w:val="none" w:sz="0" w:space="0" w:color="auto"/>
        <w:bottom w:val="none" w:sz="0" w:space="0" w:color="auto"/>
        <w:right w:val="none" w:sz="0" w:space="0" w:color="auto"/>
      </w:divBdr>
      <w:divsChild>
        <w:div w:id="1286614576">
          <w:marLeft w:val="0"/>
          <w:marRight w:val="0"/>
          <w:marTop w:val="0"/>
          <w:marBottom w:val="0"/>
          <w:divBdr>
            <w:top w:val="none" w:sz="0" w:space="0" w:color="auto"/>
            <w:left w:val="none" w:sz="0" w:space="0" w:color="auto"/>
            <w:bottom w:val="none" w:sz="0" w:space="0" w:color="auto"/>
            <w:right w:val="none" w:sz="0" w:space="0" w:color="auto"/>
          </w:divBdr>
          <w:divsChild>
            <w:div w:id="1964533005">
              <w:marLeft w:val="0"/>
              <w:marRight w:val="0"/>
              <w:marTop w:val="0"/>
              <w:marBottom w:val="0"/>
              <w:divBdr>
                <w:top w:val="none" w:sz="0" w:space="0" w:color="auto"/>
                <w:left w:val="none" w:sz="0" w:space="0" w:color="auto"/>
                <w:bottom w:val="none" w:sz="0" w:space="0" w:color="auto"/>
                <w:right w:val="none" w:sz="0" w:space="0" w:color="auto"/>
              </w:divBdr>
              <w:divsChild>
                <w:div w:id="1313751009">
                  <w:marLeft w:val="0"/>
                  <w:marRight w:val="0"/>
                  <w:marTop w:val="0"/>
                  <w:marBottom w:val="0"/>
                  <w:divBdr>
                    <w:top w:val="none" w:sz="0" w:space="0" w:color="auto"/>
                    <w:left w:val="none" w:sz="0" w:space="0" w:color="auto"/>
                    <w:bottom w:val="none" w:sz="0" w:space="0" w:color="auto"/>
                    <w:right w:val="none" w:sz="0" w:space="0" w:color="auto"/>
                  </w:divBdr>
                </w:div>
                <w:div w:id="1537081487">
                  <w:marLeft w:val="0"/>
                  <w:marRight w:val="0"/>
                  <w:marTop w:val="0"/>
                  <w:marBottom w:val="0"/>
                  <w:divBdr>
                    <w:top w:val="none" w:sz="0" w:space="0" w:color="auto"/>
                    <w:left w:val="none" w:sz="0" w:space="0" w:color="auto"/>
                    <w:bottom w:val="none" w:sz="0" w:space="0" w:color="auto"/>
                    <w:right w:val="none" w:sz="0" w:space="0" w:color="auto"/>
                  </w:divBdr>
                  <w:divsChild>
                    <w:div w:id="41904154">
                      <w:marLeft w:val="0"/>
                      <w:marRight w:val="0"/>
                      <w:marTop w:val="0"/>
                      <w:marBottom w:val="0"/>
                      <w:divBdr>
                        <w:top w:val="none" w:sz="0" w:space="0" w:color="auto"/>
                        <w:left w:val="none" w:sz="0" w:space="0" w:color="auto"/>
                        <w:bottom w:val="none" w:sz="0" w:space="0" w:color="auto"/>
                        <w:right w:val="none" w:sz="0" w:space="0" w:color="auto"/>
                      </w:divBdr>
                      <w:divsChild>
                        <w:div w:id="1603956070">
                          <w:marLeft w:val="0"/>
                          <w:marRight w:val="0"/>
                          <w:marTop w:val="0"/>
                          <w:marBottom w:val="0"/>
                          <w:divBdr>
                            <w:top w:val="none" w:sz="0" w:space="0" w:color="auto"/>
                            <w:left w:val="none" w:sz="0" w:space="0" w:color="auto"/>
                            <w:bottom w:val="none" w:sz="0" w:space="0" w:color="auto"/>
                            <w:right w:val="none" w:sz="0" w:space="0" w:color="auto"/>
                          </w:divBdr>
                          <w:divsChild>
                            <w:div w:id="20439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322720">
      <w:bodyDiv w:val="1"/>
      <w:marLeft w:val="0"/>
      <w:marRight w:val="0"/>
      <w:marTop w:val="0"/>
      <w:marBottom w:val="0"/>
      <w:divBdr>
        <w:top w:val="none" w:sz="0" w:space="0" w:color="auto"/>
        <w:left w:val="none" w:sz="0" w:space="0" w:color="auto"/>
        <w:bottom w:val="none" w:sz="0" w:space="0" w:color="auto"/>
        <w:right w:val="none" w:sz="0" w:space="0" w:color="auto"/>
      </w:divBdr>
    </w:div>
    <w:div w:id="598220048">
      <w:bodyDiv w:val="1"/>
      <w:marLeft w:val="0"/>
      <w:marRight w:val="0"/>
      <w:marTop w:val="0"/>
      <w:marBottom w:val="0"/>
      <w:divBdr>
        <w:top w:val="none" w:sz="0" w:space="0" w:color="auto"/>
        <w:left w:val="none" w:sz="0" w:space="0" w:color="auto"/>
        <w:bottom w:val="none" w:sz="0" w:space="0" w:color="auto"/>
        <w:right w:val="none" w:sz="0" w:space="0" w:color="auto"/>
      </w:divBdr>
    </w:div>
    <w:div w:id="1126511856">
      <w:bodyDiv w:val="1"/>
      <w:marLeft w:val="0"/>
      <w:marRight w:val="0"/>
      <w:marTop w:val="0"/>
      <w:marBottom w:val="0"/>
      <w:divBdr>
        <w:top w:val="none" w:sz="0" w:space="0" w:color="auto"/>
        <w:left w:val="none" w:sz="0" w:space="0" w:color="auto"/>
        <w:bottom w:val="none" w:sz="0" w:space="0" w:color="auto"/>
        <w:right w:val="none" w:sz="0" w:space="0" w:color="auto"/>
      </w:divBdr>
      <w:divsChild>
        <w:div w:id="222066555">
          <w:marLeft w:val="0"/>
          <w:marRight w:val="0"/>
          <w:marTop w:val="0"/>
          <w:marBottom w:val="0"/>
          <w:divBdr>
            <w:top w:val="none" w:sz="0" w:space="0" w:color="auto"/>
            <w:left w:val="none" w:sz="0" w:space="0" w:color="auto"/>
            <w:bottom w:val="none" w:sz="0" w:space="0" w:color="auto"/>
            <w:right w:val="none" w:sz="0" w:space="0" w:color="auto"/>
          </w:divBdr>
        </w:div>
        <w:div w:id="2055039295">
          <w:marLeft w:val="0"/>
          <w:marRight w:val="0"/>
          <w:marTop w:val="0"/>
          <w:marBottom w:val="0"/>
          <w:divBdr>
            <w:top w:val="none" w:sz="0" w:space="0" w:color="auto"/>
            <w:left w:val="none" w:sz="0" w:space="0" w:color="auto"/>
            <w:bottom w:val="none" w:sz="0" w:space="0" w:color="auto"/>
            <w:right w:val="none" w:sz="0" w:space="0" w:color="auto"/>
          </w:divBdr>
        </w:div>
      </w:divsChild>
    </w:div>
    <w:div w:id="1302464823">
      <w:bodyDiv w:val="1"/>
      <w:marLeft w:val="0"/>
      <w:marRight w:val="0"/>
      <w:marTop w:val="0"/>
      <w:marBottom w:val="0"/>
      <w:divBdr>
        <w:top w:val="none" w:sz="0" w:space="0" w:color="auto"/>
        <w:left w:val="none" w:sz="0" w:space="0" w:color="auto"/>
        <w:bottom w:val="none" w:sz="0" w:space="0" w:color="auto"/>
        <w:right w:val="none" w:sz="0" w:space="0" w:color="auto"/>
      </w:divBdr>
    </w:div>
    <w:div w:id="1570118697">
      <w:bodyDiv w:val="1"/>
      <w:marLeft w:val="0"/>
      <w:marRight w:val="0"/>
      <w:marTop w:val="0"/>
      <w:marBottom w:val="0"/>
      <w:divBdr>
        <w:top w:val="none" w:sz="0" w:space="0" w:color="auto"/>
        <w:left w:val="none" w:sz="0" w:space="0" w:color="auto"/>
        <w:bottom w:val="none" w:sz="0" w:space="0" w:color="auto"/>
        <w:right w:val="none" w:sz="0" w:space="0" w:color="auto"/>
      </w:divBdr>
      <w:divsChild>
        <w:div w:id="1215845728">
          <w:marLeft w:val="0"/>
          <w:marRight w:val="0"/>
          <w:marTop w:val="0"/>
          <w:marBottom w:val="0"/>
          <w:divBdr>
            <w:top w:val="none" w:sz="0" w:space="0" w:color="auto"/>
            <w:left w:val="none" w:sz="0" w:space="0" w:color="auto"/>
            <w:bottom w:val="none" w:sz="0" w:space="0" w:color="auto"/>
            <w:right w:val="none" w:sz="0" w:space="0" w:color="auto"/>
          </w:divBdr>
        </w:div>
        <w:div w:id="1483690745">
          <w:marLeft w:val="0"/>
          <w:marRight w:val="0"/>
          <w:marTop w:val="0"/>
          <w:marBottom w:val="0"/>
          <w:divBdr>
            <w:top w:val="none" w:sz="0" w:space="0" w:color="auto"/>
            <w:left w:val="none" w:sz="0" w:space="0" w:color="auto"/>
            <w:bottom w:val="none" w:sz="0" w:space="0" w:color="auto"/>
            <w:right w:val="none" w:sz="0" w:space="0" w:color="auto"/>
          </w:divBdr>
        </w:div>
      </w:divsChild>
    </w:div>
    <w:div w:id="1644657121">
      <w:bodyDiv w:val="1"/>
      <w:marLeft w:val="0"/>
      <w:marRight w:val="0"/>
      <w:marTop w:val="0"/>
      <w:marBottom w:val="0"/>
      <w:divBdr>
        <w:top w:val="none" w:sz="0" w:space="0" w:color="auto"/>
        <w:left w:val="none" w:sz="0" w:space="0" w:color="auto"/>
        <w:bottom w:val="none" w:sz="0" w:space="0" w:color="auto"/>
        <w:right w:val="none" w:sz="0" w:space="0" w:color="auto"/>
      </w:divBdr>
    </w:div>
    <w:div w:id="1675567477">
      <w:bodyDiv w:val="1"/>
      <w:marLeft w:val="0"/>
      <w:marRight w:val="0"/>
      <w:marTop w:val="0"/>
      <w:marBottom w:val="0"/>
      <w:divBdr>
        <w:top w:val="none" w:sz="0" w:space="0" w:color="auto"/>
        <w:left w:val="none" w:sz="0" w:space="0" w:color="auto"/>
        <w:bottom w:val="none" w:sz="0" w:space="0" w:color="auto"/>
        <w:right w:val="none" w:sz="0" w:space="0" w:color="auto"/>
      </w:divBdr>
      <w:divsChild>
        <w:div w:id="114644470">
          <w:marLeft w:val="0"/>
          <w:marRight w:val="0"/>
          <w:marTop w:val="0"/>
          <w:marBottom w:val="0"/>
          <w:divBdr>
            <w:top w:val="none" w:sz="0" w:space="0" w:color="auto"/>
            <w:left w:val="none" w:sz="0" w:space="0" w:color="auto"/>
            <w:bottom w:val="none" w:sz="0" w:space="0" w:color="auto"/>
            <w:right w:val="none" w:sz="0" w:space="0" w:color="auto"/>
          </w:divBdr>
          <w:divsChild>
            <w:div w:id="805704182">
              <w:marLeft w:val="0"/>
              <w:marRight w:val="0"/>
              <w:marTop w:val="0"/>
              <w:marBottom w:val="0"/>
              <w:divBdr>
                <w:top w:val="none" w:sz="0" w:space="0" w:color="auto"/>
                <w:left w:val="none" w:sz="0" w:space="0" w:color="auto"/>
                <w:bottom w:val="none" w:sz="0" w:space="0" w:color="auto"/>
                <w:right w:val="none" w:sz="0" w:space="0" w:color="auto"/>
              </w:divBdr>
              <w:divsChild>
                <w:div w:id="1678002482">
                  <w:marLeft w:val="0"/>
                  <w:marRight w:val="0"/>
                  <w:marTop w:val="0"/>
                  <w:marBottom w:val="0"/>
                  <w:divBdr>
                    <w:top w:val="none" w:sz="0" w:space="0" w:color="auto"/>
                    <w:left w:val="none" w:sz="0" w:space="0" w:color="auto"/>
                    <w:bottom w:val="none" w:sz="0" w:space="0" w:color="auto"/>
                    <w:right w:val="none" w:sz="0" w:space="0" w:color="auto"/>
                  </w:divBdr>
                  <w:divsChild>
                    <w:div w:id="34935024">
                      <w:marLeft w:val="0"/>
                      <w:marRight w:val="0"/>
                      <w:marTop w:val="0"/>
                      <w:marBottom w:val="0"/>
                      <w:divBdr>
                        <w:top w:val="none" w:sz="0" w:space="0" w:color="auto"/>
                        <w:left w:val="none" w:sz="0" w:space="0" w:color="auto"/>
                        <w:bottom w:val="none" w:sz="0" w:space="0" w:color="auto"/>
                        <w:right w:val="none" w:sz="0" w:space="0" w:color="auto"/>
                      </w:divBdr>
                      <w:divsChild>
                        <w:div w:id="450514082">
                          <w:marLeft w:val="0"/>
                          <w:marRight w:val="0"/>
                          <w:marTop w:val="0"/>
                          <w:marBottom w:val="0"/>
                          <w:divBdr>
                            <w:top w:val="none" w:sz="0" w:space="0" w:color="auto"/>
                            <w:left w:val="none" w:sz="0" w:space="0" w:color="auto"/>
                            <w:bottom w:val="none" w:sz="0" w:space="0" w:color="auto"/>
                            <w:right w:val="none" w:sz="0" w:space="0" w:color="auto"/>
                          </w:divBdr>
                          <w:divsChild>
                            <w:div w:id="2228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1961">
      <w:bodyDiv w:val="1"/>
      <w:marLeft w:val="0"/>
      <w:marRight w:val="0"/>
      <w:marTop w:val="0"/>
      <w:marBottom w:val="0"/>
      <w:divBdr>
        <w:top w:val="none" w:sz="0" w:space="0" w:color="auto"/>
        <w:left w:val="none" w:sz="0" w:space="0" w:color="auto"/>
        <w:bottom w:val="none" w:sz="0" w:space="0" w:color="auto"/>
        <w:right w:val="none" w:sz="0" w:space="0" w:color="auto"/>
      </w:divBdr>
    </w:div>
    <w:div w:id="1972206681">
      <w:bodyDiv w:val="1"/>
      <w:marLeft w:val="0"/>
      <w:marRight w:val="0"/>
      <w:marTop w:val="0"/>
      <w:marBottom w:val="0"/>
      <w:divBdr>
        <w:top w:val="none" w:sz="0" w:space="0" w:color="auto"/>
        <w:left w:val="none" w:sz="0" w:space="0" w:color="auto"/>
        <w:bottom w:val="none" w:sz="0" w:space="0" w:color="auto"/>
        <w:right w:val="none" w:sz="0" w:space="0" w:color="auto"/>
      </w:divBdr>
    </w:div>
    <w:div w:id="1985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78dbe001-c251-4e73-ac7d-a437e8f0ea50">
      <Terms xmlns="http://schemas.microsoft.com/office/infopath/2007/PartnerControls"/>
    </lcf76f155ced4ddcb4097134ff3c332f>
    <EAReceivedDate xmlns="eebef177-55b5-4448-a5fb-28ea454417ee">2025-04-08T23:00:00+00:00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epr-gp3930df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Envar Composting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2025-04-08T23:00:00+00:00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EPR/GP3930DF/V003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PE28 3BS</FacilityAddressPostcode>
    <ExternalAuthor xmlns="eebef177-55b5-4448-a5fb-28ea454417ee">James Cooper</ExternalAuthor>
    <SiteName xmlns="eebef177-55b5-4448-a5fb-28ea454417ee">Envar Composting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The Heath  Huntingdon  PE28 3BS</FacilityAddress>
  </documentManagement>
</p:properties>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81eeb04ebf55e5dc65fad5d88aef8ab8">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6e81fb7879845f4725c79e6bab270ede"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E62F3931-242E-4558-8C88-0C566FFA5C4E}">
  <ds:schemaRefs>
    <ds:schemaRef ds:uri="http://schemas.microsoft.com/office/2006/metadata/properties"/>
    <ds:schemaRef ds:uri="30c0a729-041b-4689-a745-4323f2baa04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fe9b51b-e3e1-4fe1-a23c-7ce296e81cf6"/>
    <ds:schemaRef ds:uri="http://www.w3.org/XML/1998/namespace"/>
  </ds:schemaRefs>
</ds:datastoreItem>
</file>

<file path=customXml/itemProps2.xml><?xml version="1.0" encoding="utf-8"?>
<ds:datastoreItem xmlns:ds="http://schemas.openxmlformats.org/officeDocument/2006/customXml" ds:itemID="{22B07C76-68F8-413E-B6CE-4759F72C925D}"/>
</file>

<file path=customXml/itemProps3.xml><?xml version="1.0" encoding="utf-8"?>
<ds:datastoreItem xmlns:ds="http://schemas.openxmlformats.org/officeDocument/2006/customXml" ds:itemID="{44F3DEA3-059E-4D8E-9064-E54BC3EC892C}">
  <ds:schemaRefs>
    <ds:schemaRef ds:uri="http://schemas.microsoft.com/sharepoint/v3/contenttype/forms"/>
  </ds:schemaRefs>
</ds:datastoreItem>
</file>

<file path=customXml/itemProps4.xml><?xml version="1.0" encoding="utf-8"?>
<ds:datastoreItem xmlns:ds="http://schemas.openxmlformats.org/officeDocument/2006/customXml" ds:itemID="{D5A794E9-9672-41B3-A550-61A7B52139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Inventory and Efficiency Techniques – Including Water</dc:title>
  <dc:subject/>
  <dc:creator>Katie Lees</dc:creator>
  <cp:keywords/>
  <dc:description/>
  <cp:lastModifiedBy>James Cooper</cp:lastModifiedBy>
  <cp:revision>16</cp:revision>
  <dcterms:created xsi:type="dcterms:W3CDTF">2025-04-04T12:45:00Z</dcterms:created>
  <dcterms:modified xsi:type="dcterms:W3CDTF">2025-04-09T09:46:06Z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MediaServiceImageTags">
    <vt:lpwstr/>
  </property>
  <property fmtid="{D5CDD505-2E9C-101B-9397-08002B2CF9AE}" pid="4" name="_ExtendedDescription">
    <vt:lpwstr/>
  </property>
  <property fmtid="{D5CDD505-2E9C-101B-9397-08002B2CF9AE}" pid="5" name="InformationType">
    <vt:lpwstr/>
  </property>
  <property fmtid="{D5CDD505-2E9C-101B-9397-08002B2CF9AE}" pid="6" name="Distribution">
    <vt:lpwstr>9;#Internal EA|b77da37e-7166-4741-8c12-4679faab22d9</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8;#EA|d5f78ddb-b1b6-4328-9877-d7e3ed06fdac</vt:lpwstr>
  </property>
  <property fmtid="{D5CDD505-2E9C-101B-9397-08002B2CF9AE}" pid="11" name="PermitDocumentType">
    <vt:lpwstr/>
  </property>
  <property fmtid="{D5CDD505-2E9C-101B-9397-08002B2CF9AE}" pid="12" name="TypeofPermit">
    <vt:lpwstr>9;#Type Of Permit|0430e4c2-ee0a-4b2d-9af6-df735aafbcb2</vt:lpwstr>
  </property>
  <property fmtid="{D5CDD505-2E9C-101B-9397-08002B2CF9AE}" pid="13" name="DisclosureStatus">
    <vt:lpwstr>181;#Public Register|f1fcf6a6-5d97-4f1d-964e-a2f916eb1f18</vt:lpwstr>
  </property>
  <property fmtid="{D5CDD505-2E9C-101B-9397-08002B2CF9AE}" pid="14" name="ActivityGrouping">
    <vt:lpwstr>12;#Application ＆ Associated Docs|5eadfd3c-6deb-44e1-b7e1-16accd427bec</vt:lpwstr>
  </property>
  <property fmtid="{D5CDD505-2E9C-101B-9397-08002B2CF9AE}" pid="15" name="RegulatedActivityClass">
    <vt:lpwstr>38;#Installations|645f1c9c-65df-490a-9ce3-4a2aa7c5ff7f</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10;#EPR|0e5af97d-1a8c-4d8f-a20b-528a11cab1f6</vt:lpwstr>
  </property>
  <property fmtid="{D5CDD505-2E9C-101B-9397-08002B2CF9AE}" pid="21" name="RegulatedActivitySub_x002d_Class">
    <vt:lpwstr/>
  </property>
  <property fmtid="{D5CDD505-2E9C-101B-9397-08002B2CF9AE}" pid="22" name="RegulatedActivitySub-Class">
    <vt:lpwstr/>
  </property>
  <property fmtid="{D5CDD505-2E9C-101B-9397-08002B2CF9AE}" pid="23" name="EventType1">
    <vt:lpwstr/>
  </property>
  <property fmtid="{D5CDD505-2E9C-101B-9397-08002B2CF9AE}" pid="24" name="SysUpdateNoER">
    <vt:lpwstr>No</vt:lpwstr>
  </property>
</Properties>
</file>