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EPR-UP3120LV</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UP3120LV</EPRNumber>
    <FacilityAddressPostcode xmlns="eebef177-55b5-4448-a5fb-28ea454417ee">PE26 2QD</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Longholme Road, Upwood, Ramsey, Huntingdon PE26 2QD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4C8E7E98-C7A7-4CE3-80AD-6B8654F32CF0}"/>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556;#To be confirmed|848d856d-b418-408d-977a-0b756acaad6b</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