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F096"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Main Schedule 1 Activity</w:t>
      </w:r>
    </w:p>
    <w:p w14:paraId="315D74AC"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Schedule 1 Reference: Section 6.8 Part A(1)(d)(iii)</w:t>
      </w:r>
    </w:p>
    <w:p w14:paraId="6951BD94"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 xml:space="preserve">Activity: Treatment and processing of animal and vegetable raw materials </w:t>
      </w:r>
      <w:proofErr w:type="gramStart"/>
      <w:r w:rsidRPr="0027243C">
        <w:rPr>
          <w:rFonts w:ascii="Arial" w:eastAsia="MS Mincho" w:hAnsi="Arial" w:cs="Arial"/>
          <w:sz w:val="22"/>
          <w:szCs w:val="22"/>
        </w:rPr>
        <w:t>for the production of</w:t>
      </w:r>
      <w:proofErr w:type="gramEnd"/>
      <w:r w:rsidRPr="0027243C">
        <w:rPr>
          <w:rFonts w:ascii="Arial" w:eastAsia="MS Mincho" w:hAnsi="Arial" w:cs="Arial"/>
          <w:sz w:val="22"/>
          <w:szCs w:val="22"/>
        </w:rPr>
        <w:t xml:space="preserve"> ready meals, soups and sauces.</w:t>
      </w:r>
    </w:p>
    <w:p w14:paraId="7FE2C176"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Role: Main activity.</w:t>
      </w:r>
    </w:p>
    <w:p w14:paraId="04CD7816"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Directly Associated Activities (DAAs)</w:t>
      </w:r>
    </w:p>
    <w:p w14:paraId="507F9393" w14:textId="06EE37EC" w:rsidR="0027243C" w:rsidRPr="0027243C" w:rsidRDefault="0027243C" w:rsidP="0027243C">
      <w:pPr>
        <w:pStyle w:val="ListParagraph"/>
        <w:numPr>
          <w:ilvl w:val="0"/>
          <w:numId w:val="40"/>
        </w:numPr>
        <w:spacing w:after="200" w:line="276" w:lineRule="auto"/>
        <w:rPr>
          <w:rFonts w:ascii="Arial" w:eastAsia="MS Mincho" w:hAnsi="Arial" w:cs="Arial"/>
          <w:sz w:val="22"/>
          <w:szCs w:val="22"/>
        </w:rPr>
      </w:pPr>
      <w:r w:rsidRPr="0027243C">
        <w:rPr>
          <w:rFonts w:ascii="Arial" w:eastAsia="MS Mincho" w:hAnsi="Arial" w:cs="Arial"/>
          <w:sz w:val="22"/>
          <w:szCs w:val="22"/>
        </w:rPr>
        <w:t>Steam Generation (Combustion Plant)</w:t>
      </w:r>
    </w:p>
    <w:p w14:paraId="052210E1" w14:textId="77777777" w:rsidR="0027243C" w:rsidRPr="0027243C" w:rsidRDefault="0027243C" w:rsidP="0027243C">
      <w:pPr>
        <w:spacing w:after="200" w:line="276" w:lineRule="auto"/>
        <w:ind w:left="360"/>
        <w:rPr>
          <w:rFonts w:ascii="Arial" w:eastAsia="MS Mincho" w:hAnsi="Arial" w:cs="Arial"/>
          <w:sz w:val="22"/>
          <w:szCs w:val="22"/>
        </w:rPr>
      </w:pPr>
    </w:p>
    <w:p w14:paraId="494D4099"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Activity: Combustion of natural gas in 2 × 10</w:t>
      </w:r>
      <w:r w:rsidRPr="0027243C">
        <w:rPr>
          <w:rFonts w:ascii="Cambria Math" w:eastAsia="MS Mincho" w:hAnsi="Cambria Math" w:cs="Cambria Math"/>
          <w:sz w:val="22"/>
          <w:szCs w:val="22"/>
        </w:rPr>
        <w:t>‑</w:t>
      </w:r>
      <w:r w:rsidRPr="0027243C">
        <w:rPr>
          <w:rFonts w:ascii="Arial" w:eastAsia="MS Mincho" w:hAnsi="Arial" w:cs="Arial"/>
          <w:sz w:val="22"/>
          <w:szCs w:val="22"/>
        </w:rPr>
        <w:t>ton steam boilers to generate steam for cooking, chilling and hygiene operations.</w:t>
      </w:r>
    </w:p>
    <w:p w14:paraId="33B41163" w14:textId="77777777" w:rsid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Schedule 1 Reference: DAA (below 50 MW aggregate thermal input).</w:t>
      </w:r>
    </w:p>
    <w:p w14:paraId="6149E727" w14:textId="77777777" w:rsidR="0027243C" w:rsidRPr="0027243C" w:rsidRDefault="0027243C" w:rsidP="0027243C">
      <w:pPr>
        <w:spacing w:after="200" w:line="276" w:lineRule="auto"/>
        <w:rPr>
          <w:rFonts w:ascii="Arial" w:eastAsia="MS Mincho" w:hAnsi="Arial" w:cs="Arial"/>
          <w:sz w:val="22"/>
          <w:szCs w:val="22"/>
        </w:rPr>
      </w:pPr>
    </w:p>
    <w:p w14:paraId="47D22021"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2. Storage of Raw Materials, Packaging and Finished Products</w:t>
      </w:r>
    </w:p>
    <w:p w14:paraId="63276BAD"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Activity: Receipt and storage of ingredients, packaging and finished goods in ambient, chilled and frozen areas.</w:t>
      </w:r>
    </w:p>
    <w:p w14:paraId="7A5AB5F1"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Schedule 1 Reference: DAA.</w:t>
      </w:r>
    </w:p>
    <w:p w14:paraId="0502E68D" w14:textId="77777777" w:rsidR="0027243C" w:rsidRPr="0027243C" w:rsidRDefault="0027243C" w:rsidP="0027243C">
      <w:pPr>
        <w:spacing w:after="200" w:line="276" w:lineRule="auto"/>
        <w:rPr>
          <w:rFonts w:ascii="Arial" w:eastAsia="MS Mincho" w:hAnsi="Arial" w:cs="Arial"/>
          <w:sz w:val="22"/>
          <w:szCs w:val="22"/>
        </w:rPr>
      </w:pPr>
    </w:p>
    <w:p w14:paraId="5B535669"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3. Treatment, Handling and Storage of Waste Materials</w:t>
      </w:r>
    </w:p>
    <w:p w14:paraId="2726D3E9"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Activity: Segregation, handling and temporary storage of non</w:t>
      </w:r>
      <w:r w:rsidRPr="0027243C">
        <w:rPr>
          <w:rFonts w:ascii="Cambria Math" w:eastAsia="MS Mincho" w:hAnsi="Cambria Math" w:cs="Cambria Math"/>
          <w:sz w:val="22"/>
          <w:szCs w:val="22"/>
        </w:rPr>
        <w:t>‑</w:t>
      </w:r>
      <w:r w:rsidRPr="0027243C">
        <w:rPr>
          <w:rFonts w:ascii="Arial" w:eastAsia="MS Mincho" w:hAnsi="Arial" w:cs="Arial"/>
          <w:sz w:val="22"/>
          <w:szCs w:val="22"/>
        </w:rPr>
        <w:t>hazardous food and packaging waste; loading to tankers/compactors; trade effluent balancing and discharge to sewer.</w:t>
      </w:r>
    </w:p>
    <w:p w14:paraId="179C5C5A"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Schedule 1 Reference: DAA.</w:t>
      </w:r>
    </w:p>
    <w:p w14:paraId="74F3EF51"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Overall Installation Description</w:t>
      </w:r>
    </w:p>
    <w:p w14:paraId="4D30EC10" w14:textId="77777777" w:rsidR="0027243C" w:rsidRPr="0027243C" w:rsidRDefault="0027243C" w:rsidP="0027243C">
      <w:pPr>
        <w:spacing w:after="200" w:line="276" w:lineRule="auto"/>
        <w:rPr>
          <w:rFonts w:ascii="Arial" w:eastAsia="MS Mincho" w:hAnsi="Arial" w:cs="Arial"/>
          <w:sz w:val="22"/>
          <w:szCs w:val="22"/>
        </w:rPr>
      </w:pPr>
      <w:r w:rsidRPr="0027243C">
        <w:rPr>
          <w:rFonts w:ascii="Arial" w:eastAsia="MS Mincho" w:hAnsi="Arial" w:cs="Arial"/>
          <w:sz w:val="22"/>
          <w:szCs w:val="22"/>
        </w:rPr>
        <w:t>An installation for the treatment and processing of animal and vegetable raw materials to manufacture frozen ready meals, soups and sauces (Section 6.8 Part A(1)(d)(iii)), including associated combustion plant (steam generation), the storage of raw materials, packaging and finished products, and the handling, storage and dispatch of non-hazardous process and packaging wastes as directly associated activities.</w:t>
      </w:r>
    </w:p>
    <w:p w14:paraId="68DD028B" w14:textId="77777777" w:rsidR="0027243C" w:rsidRPr="0027243C" w:rsidRDefault="0027243C" w:rsidP="0027243C">
      <w:pPr>
        <w:spacing w:after="200" w:line="276" w:lineRule="auto"/>
        <w:rPr>
          <w:rFonts w:ascii="Cambria" w:eastAsia="MS Mincho" w:hAnsi="Cambria"/>
          <w:sz w:val="22"/>
          <w:szCs w:val="22"/>
        </w:rPr>
      </w:pPr>
    </w:p>
    <w:p w14:paraId="2038EDB5" w14:textId="143416B3" w:rsidR="00C10830" w:rsidRPr="00CB7101" w:rsidRDefault="00C10830" w:rsidP="00233679">
      <w:pPr>
        <w:rPr>
          <w:rFonts w:ascii="Arial" w:hAnsi="Arial" w:cs="Arial"/>
          <w:b/>
          <w:bCs/>
          <w:sz w:val="24"/>
          <w:szCs w:val="24"/>
        </w:rPr>
      </w:pPr>
    </w:p>
    <w:sectPr w:rsidR="00C10830" w:rsidRPr="00CB7101"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70A2" w14:textId="77777777" w:rsidR="007B4C15" w:rsidRDefault="007B4C15">
      <w:r>
        <w:separator/>
      </w:r>
    </w:p>
  </w:endnote>
  <w:endnote w:type="continuationSeparator" w:id="0">
    <w:p w14:paraId="700DDA68" w14:textId="77777777" w:rsidR="007B4C15" w:rsidRDefault="007B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49BE" w14:textId="77777777" w:rsidR="007B4C15" w:rsidRDefault="007B4C15">
      <w:r>
        <w:separator/>
      </w:r>
    </w:p>
  </w:footnote>
  <w:footnote w:type="continuationSeparator" w:id="0">
    <w:p w14:paraId="4B99A328" w14:textId="77777777" w:rsidR="007B4C15" w:rsidRDefault="007B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696"/>
      <w:gridCol w:w="1560"/>
      <w:gridCol w:w="1559"/>
      <w:gridCol w:w="1559"/>
      <w:gridCol w:w="1139"/>
      <w:gridCol w:w="420"/>
      <w:gridCol w:w="1559"/>
      <w:gridCol w:w="1560"/>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54FDA1C7" w:rsidR="004776CB" w:rsidRPr="000D5EF6" w:rsidRDefault="0027243C"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SCHEDULE 1 ACTIVITY &amp; DIRECTLY ASSOCIATED ACTIVITIES</w:t>
          </w:r>
        </w:p>
      </w:tc>
    </w:tr>
    <w:tr w:rsidR="004776CB" w14:paraId="2BE34939" w14:textId="77777777" w:rsidTr="0027243C">
      <w:trPr>
        <w:trHeight w:val="336"/>
      </w:trPr>
      <w:tc>
        <w:tcPr>
          <w:tcW w:w="1696" w:type="dxa"/>
          <w:tcBorders>
            <w:top w:val="single" w:sz="4" w:space="0" w:color="000000"/>
            <w:left w:val="single" w:sz="4" w:space="0" w:color="000000"/>
            <w:bottom w:val="single" w:sz="4" w:space="0" w:color="000000"/>
            <w:right w:val="single" w:sz="4" w:space="0" w:color="000000"/>
          </w:tcBorders>
          <w:vAlign w:val="center"/>
        </w:tcPr>
        <w:p w14:paraId="4E8635CF" w14:textId="3A5B3EF9"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BD5489">
            <w:rPr>
              <w:rFonts w:ascii="Arial" w:hAnsi="Arial" w:cs="Arial"/>
              <w:b/>
              <w:bCs/>
              <w:sz w:val="16"/>
              <w:szCs w:val="16"/>
            </w:rPr>
            <w:t>f</w:t>
          </w:r>
        </w:p>
      </w:tc>
      <w:tc>
        <w:tcPr>
          <w:tcW w:w="1560" w:type="dxa"/>
          <w:tcBorders>
            <w:top w:val="single" w:sz="4" w:space="0" w:color="000000"/>
            <w:left w:val="single" w:sz="4" w:space="0" w:color="000000"/>
            <w:bottom w:val="single" w:sz="4" w:space="0" w:color="000000"/>
            <w:right w:val="single" w:sz="4" w:space="0" w:color="auto"/>
          </w:tcBorders>
          <w:vAlign w:val="center"/>
        </w:tcPr>
        <w:p w14:paraId="0DCB200B" w14:textId="07FF813C" w:rsidR="004776CB" w:rsidRPr="000D5EF6" w:rsidRDefault="0027243C" w:rsidP="0015143D">
          <w:pPr>
            <w:spacing w:line="259" w:lineRule="auto"/>
            <w:jc w:val="center"/>
            <w:rPr>
              <w:rFonts w:ascii="Arial" w:hAnsi="Arial" w:cs="Arial"/>
              <w:b/>
              <w:bCs/>
              <w:sz w:val="16"/>
              <w:szCs w:val="16"/>
            </w:rPr>
          </w:pPr>
          <w:r>
            <w:rPr>
              <w:rFonts w:ascii="Arial" w:hAnsi="Arial" w:cs="Arial"/>
              <w:b/>
              <w:bCs/>
              <w:sz w:val="16"/>
              <w:szCs w:val="16"/>
            </w:rPr>
            <w:t>Standard</w:t>
          </w:r>
        </w:p>
      </w:tc>
      <w:tc>
        <w:tcPr>
          <w:tcW w:w="155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559"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560"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27243C">
      <w:trPr>
        <w:trHeight w:val="336"/>
      </w:trPr>
      <w:tc>
        <w:tcPr>
          <w:tcW w:w="1696" w:type="dxa"/>
          <w:tcBorders>
            <w:top w:val="single" w:sz="4" w:space="0" w:color="000000"/>
            <w:left w:val="single" w:sz="4" w:space="0" w:color="000000"/>
            <w:bottom w:val="single" w:sz="4" w:space="0" w:color="000000"/>
            <w:right w:val="single" w:sz="4" w:space="0" w:color="000000"/>
          </w:tcBorders>
          <w:vAlign w:val="center"/>
        </w:tcPr>
        <w:p w14:paraId="497CE43A" w14:textId="46D68D5F"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27243C">
            <w:rPr>
              <w:rFonts w:ascii="Arial" w:hAnsi="Arial" w:cs="Arial"/>
              <w:sz w:val="16"/>
              <w:szCs w:val="16"/>
            </w:rPr>
            <w:t>AP 4.5.1.1</w:t>
          </w:r>
        </w:p>
      </w:tc>
      <w:tc>
        <w:tcPr>
          <w:tcW w:w="1560"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559" w:type="dxa"/>
          <w:tcBorders>
            <w:top w:val="single" w:sz="4" w:space="0" w:color="000000"/>
            <w:left w:val="single" w:sz="4" w:space="0" w:color="auto"/>
            <w:bottom w:val="single" w:sz="4" w:space="0" w:color="000000"/>
            <w:right w:val="single" w:sz="4" w:space="0" w:color="000000"/>
          </w:tcBorders>
          <w:vAlign w:val="center"/>
        </w:tcPr>
        <w:p w14:paraId="2740E98F" w14:textId="3487160F"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004CECF1" w14:textId="7DD0C664" w:rsidR="004776CB" w:rsidRPr="00E13795" w:rsidRDefault="00E2160F" w:rsidP="0015143D">
          <w:pPr>
            <w:spacing w:line="259" w:lineRule="auto"/>
            <w:jc w:val="center"/>
            <w:rPr>
              <w:rFonts w:ascii="Arial" w:hAnsi="Arial" w:cs="Arial"/>
              <w:sz w:val="16"/>
              <w:szCs w:val="16"/>
            </w:rPr>
          </w:pPr>
          <w:r>
            <w:rPr>
              <w:rFonts w:ascii="Arial" w:hAnsi="Arial" w:cs="Arial"/>
              <w:sz w:val="16"/>
              <w:szCs w:val="16"/>
            </w:rPr>
            <w:t>Matt Stott</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22A92CC" w14:textId="1DDDD6CD" w:rsidR="004776CB" w:rsidRPr="00E13795" w:rsidRDefault="00E2160F" w:rsidP="0015143D">
          <w:pPr>
            <w:spacing w:line="259" w:lineRule="auto"/>
            <w:ind w:left="5"/>
            <w:jc w:val="center"/>
            <w:rPr>
              <w:rFonts w:ascii="Arial" w:hAnsi="Arial" w:cs="Arial"/>
              <w:sz w:val="16"/>
              <w:szCs w:val="16"/>
            </w:rPr>
          </w:pPr>
          <w:r>
            <w:rPr>
              <w:rFonts w:ascii="Arial" w:hAnsi="Arial" w:cs="Arial"/>
              <w:sz w:val="16"/>
              <w:szCs w:val="16"/>
            </w:rPr>
            <w:t>Matt Parkes</w:t>
          </w:r>
        </w:p>
      </w:tc>
      <w:tc>
        <w:tcPr>
          <w:tcW w:w="1559" w:type="dxa"/>
          <w:tcBorders>
            <w:top w:val="single" w:sz="4" w:space="0" w:color="000000"/>
            <w:left w:val="single" w:sz="4" w:space="0" w:color="000000"/>
            <w:bottom w:val="single" w:sz="4" w:space="0" w:color="000000"/>
            <w:right w:val="single" w:sz="4" w:space="0" w:color="000000"/>
          </w:tcBorders>
          <w:vAlign w:val="center"/>
        </w:tcPr>
        <w:p w14:paraId="564E6D42" w14:textId="5CF952B7" w:rsidR="004776CB" w:rsidRPr="00E13795" w:rsidRDefault="00E2160F" w:rsidP="0015143D">
          <w:pPr>
            <w:tabs>
              <w:tab w:val="center" w:pos="819"/>
            </w:tabs>
            <w:spacing w:line="259" w:lineRule="auto"/>
            <w:jc w:val="center"/>
            <w:rPr>
              <w:rFonts w:ascii="Arial" w:hAnsi="Arial" w:cs="Arial"/>
              <w:sz w:val="16"/>
              <w:szCs w:val="16"/>
            </w:rPr>
          </w:pPr>
          <w:r>
            <w:rPr>
              <w:rFonts w:ascii="Arial" w:hAnsi="Arial" w:cs="Arial"/>
              <w:sz w:val="16"/>
              <w:szCs w:val="16"/>
            </w:rPr>
            <w:t>20.11.2025</w:t>
          </w:r>
        </w:p>
      </w:tc>
      <w:tc>
        <w:tcPr>
          <w:tcW w:w="1560"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284B"/>
    <w:multiLevelType w:val="hybridMultilevel"/>
    <w:tmpl w:val="1A5CC2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E1F90"/>
    <w:multiLevelType w:val="hybridMultilevel"/>
    <w:tmpl w:val="3E3E4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64E01"/>
    <w:multiLevelType w:val="hybridMultilevel"/>
    <w:tmpl w:val="77C6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A354E"/>
    <w:multiLevelType w:val="hybridMultilevel"/>
    <w:tmpl w:val="75327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FE13B6"/>
    <w:multiLevelType w:val="hybridMultilevel"/>
    <w:tmpl w:val="A2005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8435B"/>
    <w:multiLevelType w:val="hybridMultilevel"/>
    <w:tmpl w:val="9CEE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14596">
    <w:abstractNumId w:val="39"/>
  </w:num>
  <w:num w:numId="2" w16cid:durableId="123887507">
    <w:abstractNumId w:val="33"/>
  </w:num>
  <w:num w:numId="3" w16cid:durableId="1970161933">
    <w:abstractNumId w:val="11"/>
  </w:num>
  <w:num w:numId="4" w16cid:durableId="1140684090">
    <w:abstractNumId w:val="34"/>
  </w:num>
  <w:num w:numId="5" w16cid:durableId="691104415">
    <w:abstractNumId w:val="13"/>
  </w:num>
  <w:num w:numId="6" w16cid:durableId="1087068894">
    <w:abstractNumId w:val="18"/>
  </w:num>
  <w:num w:numId="7" w16cid:durableId="1639798307">
    <w:abstractNumId w:val="19"/>
  </w:num>
  <w:num w:numId="8" w16cid:durableId="345131595">
    <w:abstractNumId w:val="23"/>
  </w:num>
  <w:num w:numId="9" w16cid:durableId="1325824">
    <w:abstractNumId w:val="12"/>
  </w:num>
  <w:num w:numId="10" w16cid:durableId="487019794">
    <w:abstractNumId w:val="25"/>
  </w:num>
  <w:num w:numId="11" w16cid:durableId="235672649">
    <w:abstractNumId w:val="30"/>
  </w:num>
  <w:num w:numId="12" w16cid:durableId="1663387981">
    <w:abstractNumId w:val="21"/>
  </w:num>
  <w:num w:numId="13" w16cid:durableId="954216994">
    <w:abstractNumId w:val="29"/>
  </w:num>
  <w:num w:numId="14" w16cid:durableId="1419473943">
    <w:abstractNumId w:val="28"/>
  </w:num>
  <w:num w:numId="15" w16cid:durableId="1555579717">
    <w:abstractNumId w:val="32"/>
  </w:num>
  <w:num w:numId="16" w16cid:durableId="76827058">
    <w:abstractNumId w:val="24"/>
  </w:num>
  <w:num w:numId="17" w16cid:durableId="1536967976">
    <w:abstractNumId w:val="20"/>
  </w:num>
  <w:num w:numId="18" w16cid:durableId="15473301">
    <w:abstractNumId w:val="2"/>
  </w:num>
  <w:num w:numId="19" w16cid:durableId="848645412">
    <w:abstractNumId w:val="10"/>
  </w:num>
  <w:num w:numId="20" w16cid:durableId="45110095">
    <w:abstractNumId w:val="14"/>
  </w:num>
  <w:num w:numId="21" w16cid:durableId="2016420928">
    <w:abstractNumId w:val="37"/>
  </w:num>
  <w:num w:numId="22" w16cid:durableId="676468380">
    <w:abstractNumId w:val="7"/>
  </w:num>
  <w:num w:numId="23" w16cid:durableId="941844154">
    <w:abstractNumId w:val="16"/>
  </w:num>
  <w:num w:numId="24" w16cid:durableId="1567228774">
    <w:abstractNumId w:val="6"/>
  </w:num>
  <w:num w:numId="25" w16cid:durableId="71704094">
    <w:abstractNumId w:val="5"/>
  </w:num>
  <w:num w:numId="26" w16cid:durableId="796993135">
    <w:abstractNumId w:val="9"/>
  </w:num>
  <w:num w:numId="27" w16cid:durableId="707609101">
    <w:abstractNumId w:val="36"/>
  </w:num>
  <w:num w:numId="28" w16cid:durableId="34477127">
    <w:abstractNumId w:val="3"/>
  </w:num>
  <w:num w:numId="29" w16cid:durableId="1464272902">
    <w:abstractNumId w:val="0"/>
  </w:num>
  <w:num w:numId="30" w16cid:durableId="1044059936">
    <w:abstractNumId w:val="22"/>
  </w:num>
  <w:num w:numId="31" w16cid:durableId="788277792">
    <w:abstractNumId w:val="17"/>
  </w:num>
  <w:num w:numId="32" w16cid:durableId="1878859065">
    <w:abstractNumId w:val="26"/>
  </w:num>
  <w:num w:numId="33" w16cid:durableId="178937243">
    <w:abstractNumId w:val="31"/>
  </w:num>
  <w:num w:numId="34" w16cid:durableId="1530292157">
    <w:abstractNumId w:val="4"/>
  </w:num>
  <w:num w:numId="35" w16cid:durableId="721826628">
    <w:abstractNumId w:val="35"/>
  </w:num>
  <w:num w:numId="36" w16cid:durableId="1115102925">
    <w:abstractNumId w:val="27"/>
  </w:num>
  <w:num w:numId="37" w16cid:durableId="513151991">
    <w:abstractNumId w:val="8"/>
  </w:num>
  <w:num w:numId="38" w16cid:durableId="1348021820">
    <w:abstractNumId w:val="38"/>
  </w:num>
  <w:num w:numId="39" w16cid:durableId="482159186">
    <w:abstractNumId w:val="15"/>
  </w:num>
  <w:num w:numId="40" w16cid:durableId="207539780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30433"/>
    <w:rsid w:val="000351B4"/>
    <w:rsid w:val="00035B02"/>
    <w:rsid w:val="00054DA1"/>
    <w:rsid w:val="00055159"/>
    <w:rsid w:val="000618C2"/>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66DD"/>
    <w:rsid w:val="0019117D"/>
    <w:rsid w:val="00191455"/>
    <w:rsid w:val="001A146F"/>
    <w:rsid w:val="001B35DD"/>
    <w:rsid w:val="001B55CC"/>
    <w:rsid w:val="001E26B1"/>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7243C"/>
    <w:rsid w:val="0028038A"/>
    <w:rsid w:val="00284140"/>
    <w:rsid w:val="002874FD"/>
    <w:rsid w:val="002937E3"/>
    <w:rsid w:val="0029658F"/>
    <w:rsid w:val="00296A57"/>
    <w:rsid w:val="002D1711"/>
    <w:rsid w:val="002D69EF"/>
    <w:rsid w:val="002E30A3"/>
    <w:rsid w:val="002F253C"/>
    <w:rsid w:val="0030490D"/>
    <w:rsid w:val="00310D53"/>
    <w:rsid w:val="00311800"/>
    <w:rsid w:val="00314600"/>
    <w:rsid w:val="003221E1"/>
    <w:rsid w:val="0032338C"/>
    <w:rsid w:val="00326B21"/>
    <w:rsid w:val="0032778F"/>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E4DAB"/>
    <w:rsid w:val="004142CA"/>
    <w:rsid w:val="00415690"/>
    <w:rsid w:val="00415C8C"/>
    <w:rsid w:val="0042013C"/>
    <w:rsid w:val="0042783E"/>
    <w:rsid w:val="00436E11"/>
    <w:rsid w:val="00441E24"/>
    <w:rsid w:val="004554E3"/>
    <w:rsid w:val="00460FEB"/>
    <w:rsid w:val="00470084"/>
    <w:rsid w:val="00474E0E"/>
    <w:rsid w:val="004776CB"/>
    <w:rsid w:val="00482160"/>
    <w:rsid w:val="00484691"/>
    <w:rsid w:val="00487603"/>
    <w:rsid w:val="00495FAD"/>
    <w:rsid w:val="004A02FF"/>
    <w:rsid w:val="004A19BF"/>
    <w:rsid w:val="004B5622"/>
    <w:rsid w:val="004C285F"/>
    <w:rsid w:val="004D6B74"/>
    <w:rsid w:val="004E00E7"/>
    <w:rsid w:val="004E61BC"/>
    <w:rsid w:val="004F1356"/>
    <w:rsid w:val="004F1742"/>
    <w:rsid w:val="00520C8B"/>
    <w:rsid w:val="0052124D"/>
    <w:rsid w:val="0052423B"/>
    <w:rsid w:val="00531346"/>
    <w:rsid w:val="00545077"/>
    <w:rsid w:val="005702C4"/>
    <w:rsid w:val="00571C88"/>
    <w:rsid w:val="00572EF1"/>
    <w:rsid w:val="00573DDF"/>
    <w:rsid w:val="00574A31"/>
    <w:rsid w:val="00583D07"/>
    <w:rsid w:val="005876FD"/>
    <w:rsid w:val="0059732E"/>
    <w:rsid w:val="005979A7"/>
    <w:rsid w:val="005A4B3D"/>
    <w:rsid w:val="005E6EF9"/>
    <w:rsid w:val="005E7C4A"/>
    <w:rsid w:val="005F7575"/>
    <w:rsid w:val="005F7F29"/>
    <w:rsid w:val="006164A5"/>
    <w:rsid w:val="00630017"/>
    <w:rsid w:val="006327A7"/>
    <w:rsid w:val="006328B4"/>
    <w:rsid w:val="00657907"/>
    <w:rsid w:val="00662A9A"/>
    <w:rsid w:val="006707A4"/>
    <w:rsid w:val="00674D94"/>
    <w:rsid w:val="006855A6"/>
    <w:rsid w:val="00690C4E"/>
    <w:rsid w:val="00694542"/>
    <w:rsid w:val="006A1503"/>
    <w:rsid w:val="006A1CD2"/>
    <w:rsid w:val="006A1ED6"/>
    <w:rsid w:val="006B127F"/>
    <w:rsid w:val="006B3D03"/>
    <w:rsid w:val="006C47B0"/>
    <w:rsid w:val="006E68CB"/>
    <w:rsid w:val="006F0AFC"/>
    <w:rsid w:val="00700FEE"/>
    <w:rsid w:val="00701C5F"/>
    <w:rsid w:val="007065FE"/>
    <w:rsid w:val="007159A7"/>
    <w:rsid w:val="00730089"/>
    <w:rsid w:val="00730A63"/>
    <w:rsid w:val="007339F9"/>
    <w:rsid w:val="0074216D"/>
    <w:rsid w:val="00751C73"/>
    <w:rsid w:val="00754721"/>
    <w:rsid w:val="00786BF0"/>
    <w:rsid w:val="0079441E"/>
    <w:rsid w:val="007A78EC"/>
    <w:rsid w:val="007B37F7"/>
    <w:rsid w:val="007B4C15"/>
    <w:rsid w:val="007B58E2"/>
    <w:rsid w:val="007C1F46"/>
    <w:rsid w:val="007C294A"/>
    <w:rsid w:val="007C50B5"/>
    <w:rsid w:val="007D00E5"/>
    <w:rsid w:val="007E5669"/>
    <w:rsid w:val="007E659C"/>
    <w:rsid w:val="007F042F"/>
    <w:rsid w:val="008015E7"/>
    <w:rsid w:val="0080283A"/>
    <w:rsid w:val="00815A9F"/>
    <w:rsid w:val="008266C1"/>
    <w:rsid w:val="00830CA2"/>
    <w:rsid w:val="008352B7"/>
    <w:rsid w:val="00837AD3"/>
    <w:rsid w:val="0084402A"/>
    <w:rsid w:val="0085221F"/>
    <w:rsid w:val="008701F9"/>
    <w:rsid w:val="0087181B"/>
    <w:rsid w:val="00873B76"/>
    <w:rsid w:val="00886B6D"/>
    <w:rsid w:val="008950AF"/>
    <w:rsid w:val="008B0E89"/>
    <w:rsid w:val="008C30CE"/>
    <w:rsid w:val="008C32A5"/>
    <w:rsid w:val="008D0831"/>
    <w:rsid w:val="008D3922"/>
    <w:rsid w:val="008D5A0C"/>
    <w:rsid w:val="008E5423"/>
    <w:rsid w:val="008F40B8"/>
    <w:rsid w:val="00914025"/>
    <w:rsid w:val="009147B4"/>
    <w:rsid w:val="00923CC0"/>
    <w:rsid w:val="0095646C"/>
    <w:rsid w:val="00961031"/>
    <w:rsid w:val="009719CC"/>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867F5"/>
    <w:rsid w:val="00AB188E"/>
    <w:rsid w:val="00AC1C9F"/>
    <w:rsid w:val="00AF4E2B"/>
    <w:rsid w:val="00AF6F29"/>
    <w:rsid w:val="00B00F0B"/>
    <w:rsid w:val="00B06427"/>
    <w:rsid w:val="00B41919"/>
    <w:rsid w:val="00B440EC"/>
    <w:rsid w:val="00B45911"/>
    <w:rsid w:val="00B51441"/>
    <w:rsid w:val="00B61B1C"/>
    <w:rsid w:val="00B6275D"/>
    <w:rsid w:val="00B6417F"/>
    <w:rsid w:val="00B64EC5"/>
    <w:rsid w:val="00B7272C"/>
    <w:rsid w:val="00B76D86"/>
    <w:rsid w:val="00B81B0E"/>
    <w:rsid w:val="00B9042F"/>
    <w:rsid w:val="00B90661"/>
    <w:rsid w:val="00B9227F"/>
    <w:rsid w:val="00B922F2"/>
    <w:rsid w:val="00B97C20"/>
    <w:rsid w:val="00BA09B9"/>
    <w:rsid w:val="00BA4560"/>
    <w:rsid w:val="00BB5AD9"/>
    <w:rsid w:val="00BC51B0"/>
    <w:rsid w:val="00BC5FC0"/>
    <w:rsid w:val="00BD1D06"/>
    <w:rsid w:val="00BD2338"/>
    <w:rsid w:val="00BD5489"/>
    <w:rsid w:val="00C0081D"/>
    <w:rsid w:val="00C02251"/>
    <w:rsid w:val="00C10830"/>
    <w:rsid w:val="00C10C05"/>
    <w:rsid w:val="00C16B82"/>
    <w:rsid w:val="00C2630E"/>
    <w:rsid w:val="00C3413A"/>
    <w:rsid w:val="00C35047"/>
    <w:rsid w:val="00C57DDD"/>
    <w:rsid w:val="00C601DF"/>
    <w:rsid w:val="00C67605"/>
    <w:rsid w:val="00C91C5B"/>
    <w:rsid w:val="00C93191"/>
    <w:rsid w:val="00CB66A8"/>
    <w:rsid w:val="00CB7101"/>
    <w:rsid w:val="00CC4B24"/>
    <w:rsid w:val="00CE1ADC"/>
    <w:rsid w:val="00CE30FF"/>
    <w:rsid w:val="00CE5463"/>
    <w:rsid w:val="00CF5596"/>
    <w:rsid w:val="00D010CA"/>
    <w:rsid w:val="00D017D8"/>
    <w:rsid w:val="00D026BF"/>
    <w:rsid w:val="00D04B44"/>
    <w:rsid w:val="00D1322D"/>
    <w:rsid w:val="00D1648B"/>
    <w:rsid w:val="00D301FA"/>
    <w:rsid w:val="00D32DC0"/>
    <w:rsid w:val="00D33094"/>
    <w:rsid w:val="00D4324E"/>
    <w:rsid w:val="00D6552C"/>
    <w:rsid w:val="00D923FD"/>
    <w:rsid w:val="00DA2127"/>
    <w:rsid w:val="00DB044A"/>
    <w:rsid w:val="00DB0F27"/>
    <w:rsid w:val="00DB4C0D"/>
    <w:rsid w:val="00DD1D9A"/>
    <w:rsid w:val="00DD2B6D"/>
    <w:rsid w:val="00DE02A0"/>
    <w:rsid w:val="00DE1DD1"/>
    <w:rsid w:val="00DE30EB"/>
    <w:rsid w:val="00DE448F"/>
    <w:rsid w:val="00DF4520"/>
    <w:rsid w:val="00DF7A85"/>
    <w:rsid w:val="00E13795"/>
    <w:rsid w:val="00E150E3"/>
    <w:rsid w:val="00E2160F"/>
    <w:rsid w:val="00E23E60"/>
    <w:rsid w:val="00E24043"/>
    <w:rsid w:val="00E43460"/>
    <w:rsid w:val="00E51490"/>
    <w:rsid w:val="00E52D5B"/>
    <w:rsid w:val="00E54634"/>
    <w:rsid w:val="00E635AE"/>
    <w:rsid w:val="00E71CF6"/>
    <w:rsid w:val="00E800CC"/>
    <w:rsid w:val="00EA0B9D"/>
    <w:rsid w:val="00EA4606"/>
    <w:rsid w:val="00EA5497"/>
    <w:rsid w:val="00EB67C6"/>
    <w:rsid w:val="00EC0BB4"/>
    <w:rsid w:val="00EC4B26"/>
    <w:rsid w:val="00EC7311"/>
    <w:rsid w:val="00EE0F58"/>
    <w:rsid w:val="00EE73CC"/>
    <w:rsid w:val="00F01947"/>
    <w:rsid w:val="00F04A17"/>
    <w:rsid w:val="00F1034D"/>
    <w:rsid w:val="00F12E1E"/>
    <w:rsid w:val="00F1408D"/>
    <w:rsid w:val="00F23A79"/>
    <w:rsid w:val="00F36CA2"/>
    <w:rsid w:val="00F67A87"/>
    <w:rsid w:val="00F74883"/>
    <w:rsid w:val="00F83B3A"/>
    <w:rsid w:val="00F954A2"/>
    <w:rsid w:val="00FB0AFD"/>
    <w:rsid w:val="00FD7B00"/>
    <w:rsid w:val="00FE2503"/>
    <w:rsid w:val="00FE32BE"/>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7765e72-4413-4cff-aa40-50e617b95c52">
      <Terms xmlns="http://schemas.microsoft.com/office/infopath/2007/PartnerControls"/>
    </lcf76f155ced4ddcb4097134ff3c332f>
    <TaxCatchAll xmlns="662745e8-e224-48e8-a2e3-254862b8c2f5">
      <Value>41</Value>
      <Value>49</Value>
      <Value>11</Value>
      <Value>32</Value>
      <Value>14</Value>
    </TaxCatchAll>
    <EAReceivedDate xmlns="eebef177-55b5-4448-a5fb-28ea454417ee">2025-11-21T00:00:00+00:00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Oliver Cox </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2.xml><?xml version="1.0" encoding="utf-8"?>
<ds:datastoreItem xmlns:ds="http://schemas.openxmlformats.org/officeDocument/2006/customXml" ds:itemID="{9D708346-9EBB-4614-9D09-5590C4A45EEA}"/>
</file>

<file path=customXml/itemProps3.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4.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5.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1225</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2</cp:revision>
  <cp:lastPrinted>2025-03-12T13:02:00Z</cp:lastPrinted>
  <dcterms:created xsi:type="dcterms:W3CDTF">2025-11-21T12:25:00Z</dcterms:created>
  <dcterms:modified xsi:type="dcterms:W3CDTF">2025-11-21T12:25:00Z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PermitDocumentType">
    <vt:lpwstr/>
  </property>
  <property fmtid="{D5CDD505-2E9C-101B-9397-08002B2CF9AE}" pid="14" name="MediaServiceImageTags">
    <vt:lpwstr/>
  </property>
  <property fmtid="{D5CDD505-2E9C-101B-9397-08002B2CF9AE}" pid="15" name="TypeofPermit">
    <vt:lpwstr>32;#Bespoke|743fbb82-64b4-442a-8bac-afa632175399</vt:lpwstr>
  </property>
  <property fmtid="{D5CDD505-2E9C-101B-9397-08002B2CF9AE}" pid="16" name="DisclosureStatus">
    <vt:lpwstr>41;#Public Register|f1fcf6a6-5d97-4f1d-964e-a2f916eb1f18</vt:lpwstr>
  </property>
  <property fmtid="{D5CDD505-2E9C-101B-9397-08002B2CF9AE}" pid="17" name="ActivityGrouping">
    <vt:lpwstr>14;#Application ＆ Associated Docs|5eadfd3c-6deb-44e1-b7e1-16accd427bec</vt:lpwstr>
  </property>
  <property fmtid="{D5CDD505-2E9C-101B-9397-08002B2CF9AE}" pid="18" name="Catchment">
    <vt:lpwstr/>
  </property>
  <property fmtid="{D5CDD505-2E9C-101B-9397-08002B2CF9AE}" pid="19" name="MajorProjectID">
    <vt:lpwstr/>
  </property>
  <property fmtid="{D5CDD505-2E9C-101B-9397-08002B2CF9AE}" pid="20" name="StandardRulesID">
    <vt:lpwstr/>
  </property>
  <property fmtid="{D5CDD505-2E9C-101B-9397-08002B2CF9AE}" pid="21" name="CessationStatus">
    <vt:lpwstr/>
  </property>
  <property fmtid="{D5CDD505-2E9C-101B-9397-08002B2CF9AE}" pid="22" name="Regime">
    <vt:lpwstr>11;#EPR|0e5af97d-1a8c-4d8f-a20b-528a11cab1f6</vt:lpwstr>
  </property>
  <property fmtid="{D5CDD505-2E9C-101B-9397-08002B2CF9AE}" pid="23" name="RegulatedActivitySub_x002d_Class">
    <vt:lpwstr/>
  </property>
  <property fmtid="{D5CDD505-2E9C-101B-9397-08002B2CF9AE}" pid="24" name="RegulatedActivitySub-Class">
    <vt:lpwstr/>
  </property>
  <property fmtid="{D5CDD505-2E9C-101B-9397-08002B2CF9AE}" pid="25" name="EventType1">
    <vt:lpwstr/>
  </property>
  <property fmtid="{D5CDD505-2E9C-101B-9397-08002B2CF9AE}" pid="26" name="RegulatedActivityClass">
    <vt:lpwstr>49;#Installations|645f1c9c-65df-490a-9ce3-4a2aa7c5ff7f</vt:lpwstr>
  </property>
</Properties>
</file>