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5AE1" w14:textId="15A1A9DE" w:rsidR="003B2143" w:rsidRPr="00ED2F65" w:rsidRDefault="00ED2F65" w:rsidP="00ED2F65">
      <w:pPr>
        <w:pStyle w:val="ListParagraph"/>
        <w:numPr>
          <w:ilvl w:val="0"/>
          <w:numId w:val="35"/>
        </w:numPr>
        <w:rPr>
          <w:rFonts w:ascii="Arial" w:hAnsi="Arial" w:cs="Arial"/>
          <w:b/>
          <w:bCs/>
          <w:sz w:val="24"/>
          <w:szCs w:val="24"/>
        </w:rPr>
      </w:pPr>
      <w:r w:rsidRPr="00ED2F65">
        <w:rPr>
          <w:rFonts w:ascii="Arial" w:hAnsi="Arial" w:cs="Arial"/>
          <w:b/>
          <w:bCs/>
          <w:sz w:val="24"/>
          <w:szCs w:val="24"/>
        </w:rPr>
        <w:t>Purpose</w:t>
      </w:r>
    </w:p>
    <w:p w14:paraId="618D7215" w14:textId="77777777" w:rsidR="00ED2F65" w:rsidRPr="00ED2F65" w:rsidRDefault="00ED2F65" w:rsidP="000D5EF6">
      <w:pPr>
        <w:rPr>
          <w:rFonts w:ascii="Arial" w:hAnsi="Arial" w:cs="Arial"/>
          <w:b/>
          <w:bCs/>
        </w:rPr>
      </w:pPr>
    </w:p>
    <w:p w14:paraId="67BB1BD1" w14:textId="5055AD95" w:rsidR="00ED2F65" w:rsidRPr="00ED2F65" w:rsidRDefault="00ED2F65" w:rsidP="000D5EF6">
      <w:pPr>
        <w:rPr>
          <w:rFonts w:ascii="Arial" w:hAnsi="Arial" w:cs="Arial"/>
        </w:rPr>
      </w:pPr>
      <w:r w:rsidRPr="00ED2F65">
        <w:rPr>
          <w:rFonts w:ascii="Arial" w:hAnsi="Arial" w:cs="Arial"/>
        </w:rPr>
        <w:t>The purpose of this procedure is to define how Inspired Global Cuisine Ltd (IGC) monitors, measures, analyses, and evaluates environmental and health &amp; safety performance in accordance with ISO 14001:2015, ISO 45001:2018, and the requirements of the EA Environmental Permit. This procedure ensures consistent reporting, early identification of risks, and ongoing compliance.</w:t>
      </w:r>
    </w:p>
    <w:p w14:paraId="274C74A9" w14:textId="641A673A" w:rsidR="00ED2F65" w:rsidRPr="00ED2F65" w:rsidRDefault="00ED2F65" w:rsidP="00ED2F65">
      <w:pPr>
        <w:rPr>
          <w:rFonts w:ascii="Arial" w:hAnsi="Arial" w:cs="Arial"/>
        </w:rPr>
      </w:pPr>
    </w:p>
    <w:p w14:paraId="4BDFE294" w14:textId="3921D56A" w:rsidR="00ED2F65" w:rsidRPr="00ED2F65" w:rsidRDefault="00ED2F65" w:rsidP="00ED2F65">
      <w:pPr>
        <w:pStyle w:val="ListParagraph"/>
        <w:numPr>
          <w:ilvl w:val="0"/>
          <w:numId w:val="35"/>
        </w:numPr>
        <w:rPr>
          <w:rFonts w:ascii="Arial" w:hAnsi="Arial" w:cs="Arial"/>
          <w:b/>
          <w:bCs/>
          <w:sz w:val="24"/>
          <w:szCs w:val="24"/>
        </w:rPr>
      </w:pPr>
      <w:r w:rsidRPr="00ED2F65">
        <w:rPr>
          <w:rFonts w:ascii="Arial" w:hAnsi="Arial" w:cs="Arial"/>
          <w:b/>
          <w:bCs/>
          <w:sz w:val="24"/>
          <w:szCs w:val="24"/>
        </w:rPr>
        <w:t>Scope</w:t>
      </w:r>
    </w:p>
    <w:p w14:paraId="39CCE2B3" w14:textId="77777777" w:rsidR="00ED2F65" w:rsidRPr="00ED2F65" w:rsidRDefault="00ED2F65" w:rsidP="00ED2F65">
      <w:pPr>
        <w:rPr>
          <w:rFonts w:ascii="Arial" w:hAnsi="Arial" w:cs="Arial"/>
          <w:b/>
          <w:bCs/>
        </w:rPr>
      </w:pPr>
    </w:p>
    <w:p w14:paraId="4796FE4D" w14:textId="77777777" w:rsidR="00ED2F65" w:rsidRPr="00ED2F65" w:rsidRDefault="00ED2F65" w:rsidP="00ED2F65">
      <w:pPr>
        <w:rPr>
          <w:rFonts w:ascii="Arial" w:hAnsi="Arial" w:cs="Arial"/>
        </w:rPr>
      </w:pPr>
      <w:r w:rsidRPr="00ED2F65">
        <w:rPr>
          <w:rFonts w:ascii="Arial" w:hAnsi="Arial" w:cs="Arial"/>
        </w:rPr>
        <w:t>This procedure applies to all monitoring and measurement activities conducted at the IGC Oldham site, including environmental KPIs, safety KPIs, trade effluent monitoring, noise, odour monitoring, surface water protection, utilities data, waste, and ammonia system performance.</w:t>
      </w:r>
    </w:p>
    <w:p w14:paraId="019E78DC" w14:textId="77777777" w:rsidR="00ED2F65" w:rsidRPr="00ED2F65" w:rsidRDefault="00ED2F65" w:rsidP="00ED2F65">
      <w:pPr>
        <w:rPr>
          <w:rFonts w:ascii="Arial" w:hAnsi="Arial" w:cs="Arial"/>
        </w:rPr>
      </w:pPr>
    </w:p>
    <w:p w14:paraId="37E006FC" w14:textId="43766A5D" w:rsidR="00ED2F65" w:rsidRPr="00ED2F65" w:rsidRDefault="00ED2F65" w:rsidP="00ED2F65">
      <w:pPr>
        <w:pStyle w:val="ListParagraph"/>
        <w:numPr>
          <w:ilvl w:val="0"/>
          <w:numId w:val="35"/>
        </w:numPr>
        <w:rPr>
          <w:rFonts w:ascii="Arial" w:hAnsi="Arial" w:cs="Arial"/>
          <w:b/>
          <w:bCs/>
          <w:sz w:val="24"/>
          <w:szCs w:val="24"/>
        </w:rPr>
      </w:pPr>
      <w:r w:rsidRPr="00ED2F65">
        <w:rPr>
          <w:rFonts w:ascii="Arial" w:hAnsi="Arial" w:cs="Arial"/>
          <w:b/>
          <w:bCs/>
          <w:sz w:val="24"/>
          <w:szCs w:val="24"/>
        </w:rPr>
        <w:t>Responsibilities</w:t>
      </w:r>
    </w:p>
    <w:p w14:paraId="66EB7690" w14:textId="77777777" w:rsidR="00ED2F65" w:rsidRPr="00ED2F65" w:rsidRDefault="00ED2F65" w:rsidP="00ED2F65">
      <w:pPr>
        <w:rPr>
          <w:rFonts w:ascii="Arial" w:hAnsi="Arial" w:cs="Arial"/>
          <w:b/>
          <w:bCs/>
        </w:rPr>
      </w:pPr>
    </w:p>
    <w:tbl>
      <w:tblPr>
        <w:tblStyle w:val="TableGrid"/>
        <w:tblW w:w="0" w:type="auto"/>
        <w:tblLook w:val="04A0" w:firstRow="1" w:lastRow="0" w:firstColumn="1" w:lastColumn="0" w:noHBand="0" w:noVBand="1"/>
      </w:tblPr>
      <w:tblGrid>
        <w:gridCol w:w="5240"/>
        <w:gridCol w:w="5528"/>
      </w:tblGrid>
      <w:tr w:rsidR="00ED2F65" w:rsidRPr="00ED2F65" w14:paraId="6C5913D6" w14:textId="77777777" w:rsidTr="00ED2F65">
        <w:tc>
          <w:tcPr>
            <w:tcW w:w="5240" w:type="dxa"/>
          </w:tcPr>
          <w:p w14:paraId="24C24368" w14:textId="77777777" w:rsidR="00ED2F65" w:rsidRPr="00ED2F65" w:rsidRDefault="00ED2F65" w:rsidP="002646D2">
            <w:pPr>
              <w:rPr>
                <w:rFonts w:ascii="Arial" w:hAnsi="Arial" w:cs="Arial"/>
                <w:b/>
                <w:bCs/>
              </w:rPr>
            </w:pPr>
            <w:r w:rsidRPr="00ED2F65">
              <w:rPr>
                <w:rFonts w:ascii="Arial" w:hAnsi="Arial" w:cs="Arial"/>
                <w:b/>
                <w:bCs/>
              </w:rPr>
              <w:t>Role</w:t>
            </w:r>
          </w:p>
        </w:tc>
        <w:tc>
          <w:tcPr>
            <w:tcW w:w="5528" w:type="dxa"/>
          </w:tcPr>
          <w:p w14:paraId="4BA0A14E" w14:textId="77777777" w:rsidR="00ED2F65" w:rsidRPr="00ED2F65" w:rsidRDefault="00ED2F65" w:rsidP="002646D2">
            <w:pPr>
              <w:rPr>
                <w:rFonts w:ascii="Arial" w:hAnsi="Arial" w:cs="Arial"/>
                <w:b/>
                <w:bCs/>
              </w:rPr>
            </w:pPr>
            <w:r w:rsidRPr="00ED2F65">
              <w:rPr>
                <w:rFonts w:ascii="Arial" w:hAnsi="Arial" w:cs="Arial"/>
                <w:b/>
                <w:bCs/>
              </w:rPr>
              <w:t>Responsibilities</w:t>
            </w:r>
          </w:p>
        </w:tc>
      </w:tr>
      <w:tr w:rsidR="00ED2F65" w:rsidRPr="00ED2F65" w14:paraId="3500599E" w14:textId="77777777" w:rsidTr="00ED2F65">
        <w:tc>
          <w:tcPr>
            <w:tcW w:w="5240" w:type="dxa"/>
          </w:tcPr>
          <w:p w14:paraId="305AE52A" w14:textId="77777777" w:rsidR="00ED2F65" w:rsidRPr="00ED2F65" w:rsidRDefault="00ED2F65" w:rsidP="002646D2">
            <w:pPr>
              <w:rPr>
                <w:rFonts w:ascii="Arial" w:hAnsi="Arial" w:cs="Arial"/>
              </w:rPr>
            </w:pPr>
            <w:r w:rsidRPr="00ED2F65">
              <w:rPr>
                <w:rFonts w:ascii="Arial" w:hAnsi="Arial" w:cs="Arial"/>
              </w:rPr>
              <w:t>Environmental Compliance &amp; TACCP Manager</w:t>
            </w:r>
          </w:p>
        </w:tc>
        <w:tc>
          <w:tcPr>
            <w:tcW w:w="5528" w:type="dxa"/>
          </w:tcPr>
          <w:p w14:paraId="2A164FCE" w14:textId="77777777" w:rsidR="00ED2F65" w:rsidRPr="00ED2F65" w:rsidRDefault="00ED2F65" w:rsidP="002646D2">
            <w:pPr>
              <w:rPr>
                <w:rFonts w:ascii="Arial" w:hAnsi="Arial" w:cs="Arial"/>
              </w:rPr>
            </w:pPr>
            <w:r w:rsidRPr="00ED2F65">
              <w:rPr>
                <w:rFonts w:ascii="Arial" w:hAnsi="Arial" w:cs="Arial"/>
              </w:rPr>
              <w:t xml:space="preserve">Overall responsibility for ensuring monitoring activities </w:t>
            </w:r>
            <w:proofErr w:type="gramStart"/>
            <w:r w:rsidRPr="00ED2F65">
              <w:rPr>
                <w:rFonts w:ascii="Arial" w:hAnsi="Arial" w:cs="Arial"/>
              </w:rPr>
              <w:t>are</w:t>
            </w:r>
            <w:proofErr w:type="gramEnd"/>
            <w:r w:rsidRPr="00ED2F65">
              <w:rPr>
                <w:rFonts w:ascii="Arial" w:hAnsi="Arial" w:cs="Arial"/>
              </w:rPr>
              <w:t xml:space="preserve"> completed, evaluated, and reported. Oversees Section 8 monitoring and Section 9 evaluation.</w:t>
            </w:r>
          </w:p>
        </w:tc>
      </w:tr>
      <w:tr w:rsidR="00ED2F65" w:rsidRPr="00ED2F65" w14:paraId="740DFD1C" w14:textId="77777777" w:rsidTr="00ED2F65">
        <w:tc>
          <w:tcPr>
            <w:tcW w:w="5240" w:type="dxa"/>
          </w:tcPr>
          <w:p w14:paraId="697ADCAF" w14:textId="77777777" w:rsidR="00ED2F65" w:rsidRPr="00ED2F65" w:rsidRDefault="00ED2F65" w:rsidP="002646D2">
            <w:pPr>
              <w:rPr>
                <w:rFonts w:ascii="Arial" w:hAnsi="Arial" w:cs="Arial"/>
              </w:rPr>
            </w:pPr>
            <w:r w:rsidRPr="00ED2F65">
              <w:rPr>
                <w:rFonts w:ascii="Arial" w:hAnsi="Arial" w:cs="Arial"/>
              </w:rPr>
              <w:t>Engineering</w:t>
            </w:r>
          </w:p>
        </w:tc>
        <w:tc>
          <w:tcPr>
            <w:tcW w:w="5528" w:type="dxa"/>
          </w:tcPr>
          <w:p w14:paraId="2971210F" w14:textId="77777777" w:rsidR="00ED2F65" w:rsidRPr="00ED2F65" w:rsidRDefault="00ED2F65" w:rsidP="002646D2">
            <w:pPr>
              <w:rPr>
                <w:rFonts w:ascii="Arial" w:hAnsi="Arial" w:cs="Arial"/>
              </w:rPr>
            </w:pPr>
            <w:r w:rsidRPr="00ED2F65">
              <w:rPr>
                <w:rFonts w:ascii="Arial" w:hAnsi="Arial" w:cs="Arial"/>
              </w:rPr>
              <w:t>Ensures calibration and maintenance of monitoring equipment; supports plant data collection.</w:t>
            </w:r>
          </w:p>
        </w:tc>
      </w:tr>
      <w:tr w:rsidR="00ED2F65" w:rsidRPr="00ED2F65" w14:paraId="1EB7F6A9" w14:textId="77777777" w:rsidTr="00ED2F65">
        <w:tc>
          <w:tcPr>
            <w:tcW w:w="5240" w:type="dxa"/>
          </w:tcPr>
          <w:p w14:paraId="57B41202" w14:textId="77777777" w:rsidR="00ED2F65" w:rsidRPr="00ED2F65" w:rsidRDefault="00ED2F65" w:rsidP="002646D2">
            <w:pPr>
              <w:rPr>
                <w:rFonts w:ascii="Arial" w:hAnsi="Arial" w:cs="Arial"/>
              </w:rPr>
            </w:pPr>
            <w:r w:rsidRPr="00ED2F65">
              <w:rPr>
                <w:rFonts w:ascii="Arial" w:hAnsi="Arial" w:cs="Arial"/>
              </w:rPr>
              <w:t>Operations</w:t>
            </w:r>
          </w:p>
        </w:tc>
        <w:tc>
          <w:tcPr>
            <w:tcW w:w="5528" w:type="dxa"/>
          </w:tcPr>
          <w:p w14:paraId="3223B3DD" w14:textId="77777777" w:rsidR="00ED2F65" w:rsidRPr="00ED2F65" w:rsidRDefault="00ED2F65" w:rsidP="002646D2">
            <w:pPr>
              <w:rPr>
                <w:rFonts w:ascii="Arial" w:hAnsi="Arial" w:cs="Arial"/>
              </w:rPr>
            </w:pPr>
            <w:r w:rsidRPr="00ED2F65">
              <w:rPr>
                <w:rFonts w:ascii="Arial" w:hAnsi="Arial" w:cs="Arial"/>
              </w:rPr>
              <w:t>Provides production, waste, utilities, and incident data required for performance evaluation.</w:t>
            </w:r>
          </w:p>
        </w:tc>
      </w:tr>
      <w:tr w:rsidR="00ED2F65" w:rsidRPr="00ED2F65" w14:paraId="01C6D051" w14:textId="77777777" w:rsidTr="00ED2F65">
        <w:tc>
          <w:tcPr>
            <w:tcW w:w="5240" w:type="dxa"/>
          </w:tcPr>
          <w:p w14:paraId="127E6EEA" w14:textId="044E79CC" w:rsidR="00ED2F65" w:rsidRPr="00ED2F65" w:rsidRDefault="002C2BD5" w:rsidP="002646D2">
            <w:pPr>
              <w:rPr>
                <w:rFonts w:ascii="Arial" w:hAnsi="Arial" w:cs="Arial"/>
              </w:rPr>
            </w:pPr>
            <w:r>
              <w:rPr>
                <w:rFonts w:ascii="Arial" w:hAnsi="Arial" w:cs="Arial"/>
              </w:rPr>
              <w:t>E</w:t>
            </w:r>
            <w:r w:rsidR="00ED2F65" w:rsidRPr="00ED2F65">
              <w:rPr>
                <w:rFonts w:ascii="Arial" w:hAnsi="Arial" w:cs="Arial"/>
              </w:rPr>
              <w:t xml:space="preserve">nvironmental </w:t>
            </w:r>
            <w:r>
              <w:rPr>
                <w:rFonts w:ascii="Arial" w:hAnsi="Arial" w:cs="Arial"/>
              </w:rPr>
              <w:t>Waste &amp; HSE Team</w:t>
            </w:r>
          </w:p>
        </w:tc>
        <w:tc>
          <w:tcPr>
            <w:tcW w:w="5528" w:type="dxa"/>
          </w:tcPr>
          <w:p w14:paraId="1771BF5B" w14:textId="77777777" w:rsidR="00ED2F65" w:rsidRPr="00ED2F65" w:rsidRDefault="00ED2F65" w:rsidP="002646D2">
            <w:pPr>
              <w:rPr>
                <w:rFonts w:ascii="Arial" w:hAnsi="Arial" w:cs="Arial"/>
              </w:rPr>
            </w:pPr>
            <w:r w:rsidRPr="00ED2F65">
              <w:rPr>
                <w:rFonts w:ascii="Arial" w:hAnsi="Arial" w:cs="Arial"/>
              </w:rPr>
              <w:t>Completes Section 8 noise logs, odour walks, yard inspections, spill logs, and supports data accuracy.</w:t>
            </w:r>
          </w:p>
        </w:tc>
      </w:tr>
      <w:tr w:rsidR="00ED2F65" w:rsidRPr="00ED2F65" w14:paraId="628C37EB" w14:textId="77777777" w:rsidTr="00ED2F65">
        <w:tc>
          <w:tcPr>
            <w:tcW w:w="5240" w:type="dxa"/>
          </w:tcPr>
          <w:p w14:paraId="43326720" w14:textId="77777777" w:rsidR="00ED2F65" w:rsidRPr="00ED2F65" w:rsidRDefault="00ED2F65" w:rsidP="002646D2">
            <w:pPr>
              <w:rPr>
                <w:rFonts w:ascii="Arial" w:hAnsi="Arial" w:cs="Arial"/>
              </w:rPr>
            </w:pPr>
            <w:r w:rsidRPr="00ED2F65">
              <w:rPr>
                <w:rFonts w:ascii="Arial" w:hAnsi="Arial" w:cs="Arial"/>
              </w:rPr>
              <w:t>HSE Manager</w:t>
            </w:r>
          </w:p>
        </w:tc>
        <w:tc>
          <w:tcPr>
            <w:tcW w:w="5528" w:type="dxa"/>
          </w:tcPr>
          <w:p w14:paraId="7FAB1D33" w14:textId="77777777" w:rsidR="00ED2F65" w:rsidRPr="00ED2F65" w:rsidRDefault="00ED2F65" w:rsidP="002646D2">
            <w:pPr>
              <w:rPr>
                <w:rFonts w:ascii="Arial" w:hAnsi="Arial" w:cs="Arial"/>
              </w:rPr>
            </w:pPr>
            <w:r w:rsidRPr="00ED2F65">
              <w:rPr>
                <w:rFonts w:ascii="Arial" w:hAnsi="Arial" w:cs="Arial"/>
              </w:rPr>
              <w:t>Reviews KPI outcomes, verifies data integrity, approves monitoring reports.</w:t>
            </w:r>
          </w:p>
        </w:tc>
      </w:tr>
      <w:tr w:rsidR="00ED2F65" w:rsidRPr="00ED2F65" w14:paraId="6A963DB8" w14:textId="77777777" w:rsidTr="00ED2F65">
        <w:tc>
          <w:tcPr>
            <w:tcW w:w="5240" w:type="dxa"/>
          </w:tcPr>
          <w:p w14:paraId="384A1F18" w14:textId="77777777" w:rsidR="00ED2F65" w:rsidRPr="00ED2F65" w:rsidRDefault="00ED2F65" w:rsidP="002646D2">
            <w:pPr>
              <w:rPr>
                <w:rFonts w:ascii="Arial" w:hAnsi="Arial" w:cs="Arial"/>
              </w:rPr>
            </w:pPr>
            <w:r w:rsidRPr="00ED2F65">
              <w:rPr>
                <w:rFonts w:ascii="Arial" w:hAnsi="Arial" w:cs="Arial"/>
              </w:rPr>
              <w:t>Senior Leadership Team</w:t>
            </w:r>
          </w:p>
        </w:tc>
        <w:tc>
          <w:tcPr>
            <w:tcW w:w="5528" w:type="dxa"/>
          </w:tcPr>
          <w:p w14:paraId="0E97A4B4" w14:textId="77777777" w:rsidR="00ED2F65" w:rsidRPr="00ED2F65" w:rsidRDefault="00ED2F65" w:rsidP="002646D2">
            <w:pPr>
              <w:rPr>
                <w:rFonts w:ascii="Arial" w:hAnsi="Arial" w:cs="Arial"/>
              </w:rPr>
            </w:pPr>
            <w:r w:rsidRPr="00ED2F65">
              <w:rPr>
                <w:rFonts w:ascii="Arial" w:hAnsi="Arial" w:cs="Arial"/>
              </w:rPr>
              <w:t>Reviews overall performance and KPI outcomes during Management Review.</w:t>
            </w:r>
          </w:p>
        </w:tc>
      </w:tr>
    </w:tbl>
    <w:p w14:paraId="6313A5F0" w14:textId="77777777" w:rsidR="00ED2F65" w:rsidRPr="00ED2F65" w:rsidRDefault="00ED2F65" w:rsidP="00ED2F65">
      <w:pPr>
        <w:rPr>
          <w:rFonts w:ascii="Arial" w:hAnsi="Arial" w:cs="Arial"/>
          <w:b/>
          <w:bCs/>
        </w:rPr>
      </w:pPr>
    </w:p>
    <w:p w14:paraId="16A5651D" w14:textId="553E4C3A" w:rsidR="003B2143" w:rsidRPr="00ED2F65" w:rsidRDefault="00ED2F65" w:rsidP="00ED2F65">
      <w:pPr>
        <w:pStyle w:val="ListParagraph"/>
        <w:numPr>
          <w:ilvl w:val="0"/>
          <w:numId w:val="35"/>
        </w:numPr>
        <w:rPr>
          <w:rFonts w:ascii="Arial" w:hAnsi="Arial" w:cs="Arial"/>
          <w:b/>
          <w:bCs/>
          <w:sz w:val="24"/>
          <w:szCs w:val="24"/>
        </w:rPr>
      </w:pPr>
      <w:r w:rsidRPr="00ED2F65">
        <w:rPr>
          <w:rFonts w:ascii="Arial" w:hAnsi="Arial" w:cs="Arial"/>
          <w:b/>
          <w:bCs/>
          <w:sz w:val="24"/>
          <w:szCs w:val="24"/>
        </w:rPr>
        <w:t xml:space="preserve">Monitoring Requirements </w:t>
      </w:r>
    </w:p>
    <w:p w14:paraId="595FD0F5" w14:textId="77777777" w:rsidR="008C30CE" w:rsidRPr="00ED2F65" w:rsidRDefault="008C30CE" w:rsidP="000D5EF6">
      <w:pPr>
        <w:rPr>
          <w:rFonts w:ascii="Arial" w:hAnsi="Arial" w:cs="Arial"/>
          <w:b/>
          <w:bCs/>
        </w:rPr>
      </w:pPr>
    </w:p>
    <w:tbl>
      <w:tblPr>
        <w:tblStyle w:val="TableGrid"/>
        <w:tblW w:w="0" w:type="auto"/>
        <w:tblLook w:val="04A0" w:firstRow="1" w:lastRow="0" w:firstColumn="1" w:lastColumn="0" w:noHBand="0" w:noVBand="1"/>
      </w:tblPr>
      <w:tblGrid>
        <w:gridCol w:w="5240"/>
        <w:gridCol w:w="5528"/>
      </w:tblGrid>
      <w:tr w:rsidR="00ED2F65" w:rsidRPr="00ED2F65" w14:paraId="493A6FF3" w14:textId="77777777" w:rsidTr="00ED2F65">
        <w:tc>
          <w:tcPr>
            <w:tcW w:w="5240" w:type="dxa"/>
          </w:tcPr>
          <w:p w14:paraId="50401DDD" w14:textId="77777777" w:rsidR="00ED2F65" w:rsidRPr="00ED2F65" w:rsidRDefault="00ED2F65" w:rsidP="002646D2">
            <w:pPr>
              <w:rPr>
                <w:rFonts w:ascii="Arial" w:hAnsi="Arial" w:cs="Arial"/>
                <w:b/>
                <w:bCs/>
              </w:rPr>
            </w:pPr>
            <w:r w:rsidRPr="00ED2F65">
              <w:rPr>
                <w:rFonts w:ascii="Arial" w:hAnsi="Arial" w:cs="Arial"/>
                <w:b/>
                <w:bCs/>
              </w:rPr>
              <w:t>Monitoring Area</w:t>
            </w:r>
          </w:p>
        </w:tc>
        <w:tc>
          <w:tcPr>
            <w:tcW w:w="5528" w:type="dxa"/>
          </w:tcPr>
          <w:p w14:paraId="46C6871E" w14:textId="77777777" w:rsidR="00ED2F65" w:rsidRPr="00ED2F65" w:rsidRDefault="00ED2F65" w:rsidP="002646D2">
            <w:pPr>
              <w:rPr>
                <w:rFonts w:ascii="Arial" w:hAnsi="Arial" w:cs="Arial"/>
                <w:b/>
                <w:bCs/>
              </w:rPr>
            </w:pPr>
            <w:r w:rsidRPr="00ED2F65">
              <w:rPr>
                <w:rFonts w:ascii="Arial" w:hAnsi="Arial" w:cs="Arial"/>
                <w:b/>
                <w:bCs/>
              </w:rPr>
              <w:t>Requirement / Description</w:t>
            </w:r>
          </w:p>
        </w:tc>
      </w:tr>
      <w:tr w:rsidR="00ED2F65" w:rsidRPr="00ED2F65" w14:paraId="0C9AE759" w14:textId="77777777" w:rsidTr="00ED2F65">
        <w:tc>
          <w:tcPr>
            <w:tcW w:w="5240" w:type="dxa"/>
          </w:tcPr>
          <w:p w14:paraId="61E5A640" w14:textId="77777777" w:rsidR="00ED2F65" w:rsidRPr="00ED2F65" w:rsidRDefault="00ED2F65" w:rsidP="002646D2">
            <w:pPr>
              <w:rPr>
                <w:rFonts w:ascii="Arial" w:hAnsi="Arial" w:cs="Arial"/>
              </w:rPr>
            </w:pPr>
            <w:r w:rsidRPr="00ED2F65">
              <w:rPr>
                <w:rFonts w:ascii="Arial" w:hAnsi="Arial" w:cs="Arial"/>
              </w:rPr>
              <w:t>Environmental KPIs</w:t>
            </w:r>
          </w:p>
        </w:tc>
        <w:tc>
          <w:tcPr>
            <w:tcW w:w="5528" w:type="dxa"/>
          </w:tcPr>
          <w:p w14:paraId="4227D172" w14:textId="7DE5CB00" w:rsidR="00ED2F65" w:rsidRPr="00ED2F65" w:rsidRDefault="00ED2F65" w:rsidP="002646D2">
            <w:pPr>
              <w:rPr>
                <w:rFonts w:ascii="Arial" w:hAnsi="Arial" w:cs="Arial"/>
              </w:rPr>
            </w:pPr>
            <w:r w:rsidRPr="00ED2F65">
              <w:rPr>
                <w:rFonts w:ascii="Arial" w:hAnsi="Arial" w:cs="Arial"/>
              </w:rPr>
              <w:t>Energy, water</w:t>
            </w:r>
            <w:r w:rsidR="005101CF">
              <w:rPr>
                <w:rFonts w:ascii="Arial" w:hAnsi="Arial" w:cs="Arial"/>
              </w:rPr>
              <w:t>, trade effluent</w:t>
            </w:r>
            <w:r w:rsidRPr="00ED2F65">
              <w:rPr>
                <w:rFonts w:ascii="Arial" w:hAnsi="Arial" w:cs="Arial"/>
              </w:rPr>
              <w:t>, waste, CO</w:t>
            </w:r>
            <w:r w:rsidRPr="00ED2F65">
              <w:rPr>
                <w:rFonts w:ascii="Cambria Math" w:hAnsi="Cambria Math" w:cs="Cambria Math"/>
              </w:rPr>
              <w:t>₂</w:t>
            </w:r>
            <w:r w:rsidRPr="00ED2F65">
              <w:rPr>
                <w:rFonts w:ascii="Arial" w:hAnsi="Arial" w:cs="Arial"/>
              </w:rPr>
              <w:t xml:space="preserve"> per material tonnage issued.</w:t>
            </w:r>
          </w:p>
        </w:tc>
      </w:tr>
      <w:tr w:rsidR="00ED2F65" w:rsidRPr="00ED2F65" w14:paraId="0EF7AEE2" w14:textId="77777777" w:rsidTr="00ED2F65">
        <w:tc>
          <w:tcPr>
            <w:tcW w:w="5240" w:type="dxa"/>
          </w:tcPr>
          <w:p w14:paraId="2DA9E825" w14:textId="77777777" w:rsidR="00ED2F65" w:rsidRPr="00ED2F65" w:rsidRDefault="00ED2F65" w:rsidP="002646D2">
            <w:pPr>
              <w:rPr>
                <w:rFonts w:ascii="Arial" w:hAnsi="Arial" w:cs="Arial"/>
              </w:rPr>
            </w:pPr>
            <w:r w:rsidRPr="00ED2F65">
              <w:rPr>
                <w:rFonts w:ascii="Arial" w:hAnsi="Arial" w:cs="Arial"/>
              </w:rPr>
              <w:t>Noise Monitoring</w:t>
            </w:r>
          </w:p>
        </w:tc>
        <w:tc>
          <w:tcPr>
            <w:tcW w:w="5528" w:type="dxa"/>
          </w:tcPr>
          <w:p w14:paraId="6A3BB0BA" w14:textId="77777777" w:rsidR="00ED2F65" w:rsidRPr="00ED2F65" w:rsidRDefault="00ED2F65" w:rsidP="002646D2">
            <w:pPr>
              <w:rPr>
                <w:rFonts w:ascii="Arial" w:hAnsi="Arial" w:cs="Arial"/>
              </w:rPr>
            </w:pPr>
            <w:r w:rsidRPr="00ED2F65">
              <w:rPr>
                <w:rFonts w:ascii="Arial" w:hAnsi="Arial" w:cs="Arial"/>
              </w:rPr>
              <w:t>Evaluation of Section 8 Noise Event Records and Noise Monitoring Records.</w:t>
            </w:r>
          </w:p>
        </w:tc>
      </w:tr>
      <w:tr w:rsidR="00ED2F65" w:rsidRPr="00ED2F65" w14:paraId="1BAB7175" w14:textId="77777777" w:rsidTr="00ED2F65">
        <w:tc>
          <w:tcPr>
            <w:tcW w:w="5240" w:type="dxa"/>
          </w:tcPr>
          <w:p w14:paraId="4EFCC960" w14:textId="77777777" w:rsidR="00ED2F65" w:rsidRPr="00ED2F65" w:rsidRDefault="00ED2F65" w:rsidP="002646D2">
            <w:pPr>
              <w:rPr>
                <w:rFonts w:ascii="Arial" w:hAnsi="Arial" w:cs="Arial"/>
              </w:rPr>
            </w:pPr>
            <w:r w:rsidRPr="00ED2F65">
              <w:rPr>
                <w:rFonts w:ascii="Arial" w:hAnsi="Arial" w:cs="Arial"/>
              </w:rPr>
              <w:t>Odour Monitoring</w:t>
            </w:r>
          </w:p>
        </w:tc>
        <w:tc>
          <w:tcPr>
            <w:tcW w:w="5528" w:type="dxa"/>
          </w:tcPr>
          <w:p w14:paraId="52C64755" w14:textId="77777777" w:rsidR="00ED2F65" w:rsidRPr="00ED2F65" w:rsidRDefault="00ED2F65" w:rsidP="002646D2">
            <w:pPr>
              <w:rPr>
                <w:rFonts w:ascii="Arial" w:hAnsi="Arial" w:cs="Arial"/>
              </w:rPr>
            </w:pPr>
            <w:r w:rsidRPr="00ED2F65">
              <w:rPr>
                <w:rFonts w:ascii="Arial" w:hAnsi="Arial" w:cs="Arial"/>
              </w:rPr>
              <w:t>Review of Section 8 Odour Walk Logs and Odour Complaint Logs.</w:t>
            </w:r>
          </w:p>
        </w:tc>
      </w:tr>
      <w:tr w:rsidR="00ED2F65" w:rsidRPr="00ED2F65" w14:paraId="241FAEC7" w14:textId="77777777" w:rsidTr="00ED2F65">
        <w:tc>
          <w:tcPr>
            <w:tcW w:w="5240" w:type="dxa"/>
          </w:tcPr>
          <w:p w14:paraId="1B2C465C" w14:textId="77777777" w:rsidR="00ED2F65" w:rsidRPr="00ED2F65" w:rsidRDefault="00ED2F65" w:rsidP="002646D2">
            <w:pPr>
              <w:rPr>
                <w:rFonts w:ascii="Arial" w:hAnsi="Arial" w:cs="Arial"/>
              </w:rPr>
            </w:pPr>
            <w:r w:rsidRPr="00ED2F65">
              <w:rPr>
                <w:rFonts w:ascii="Arial" w:hAnsi="Arial" w:cs="Arial"/>
              </w:rPr>
              <w:t>Trade Effluent</w:t>
            </w:r>
          </w:p>
        </w:tc>
        <w:tc>
          <w:tcPr>
            <w:tcW w:w="5528" w:type="dxa"/>
          </w:tcPr>
          <w:p w14:paraId="0C93FB63" w14:textId="77777777" w:rsidR="00ED2F65" w:rsidRPr="00ED2F65" w:rsidRDefault="00ED2F65" w:rsidP="002646D2">
            <w:pPr>
              <w:rPr>
                <w:rFonts w:ascii="Arial" w:hAnsi="Arial" w:cs="Arial"/>
              </w:rPr>
            </w:pPr>
            <w:r w:rsidRPr="00ED2F65">
              <w:rPr>
                <w:rFonts w:ascii="Arial" w:hAnsi="Arial" w:cs="Arial"/>
              </w:rPr>
              <w:t>Flow, temperature, composite sampling, consent compliance, MCERTS sampler performance.</w:t>
            </w:r>
          </w:p>
        </w:tc>
      </w:tr>
      <w:tr w:rsidR="00ED2F65" w:rsidRPr="00ED2F65" w14:paraId="7A92B3A6" w14:textId="77777777" w:rsidTr="00ED2F65">
        <w:tc>
          <w:tcPr>
            <w:tcW w:w="5240" w:type="dxa"/>
          </w:tcPr>
          <w:p w14:paraId="6E80C967" w14:textId="77777777" w:rsidR="00ED2F65" w:rsidRPr="00ED2F65" w:rsidRDefault="00ED2F65" w:rsidP="002646D2">
            <w:pPr>
              <w:rPr>
                <w:rFonts w:ascii="Arial" w:hAnsi="Arial" w:cs="Arial"/>
              </w:rPr>
            </w:pPr>
            <w:r w:rsidRPr="00ED2F65">
              <w:rPr>
                <w:rFonts w:ascii="Arial" w:hAnsi="Arial" w:cs="Arial"/>
              </w:rPr>
              <w:t>Surface Water Monitoring</w:t>
            </w:r>
          </w:p>
        </w:tc>
        <w:tc>
          <w:tcPr>
            <w:tcW w:w="5528" w:type="dxa"/>
          </w:tcPr>
          <w:p w14:paraId="5DBB6EB3" w14:textId="77777777" w:rsidR="00ED2F65" w:rsidRPr="00ED2F65" w:rsidRDefault="00ED2F65" w:rsidP="002646D2">
            <w:pPr>
              <w:rPr>
                <w:rFonts w:ascii="Arial" w:hAnsi="Arial" w:cs="Arial"/>
              </w:rPr>
            </w:pPr>
            <w:r w:rsidRPr="00ED2F65">
              <w:rPr>
                <w:rFonts w:ascii="Arial" w:hAnsi="Arial" w:cs="Arial"/>
              </w:rPr>
              <w:t>Visual checks, oil sheen inspection, pH (if required), interceptor condition, penstock valve status.</w:t>
            </w:r>
          </w:p>
        </w:tc>
      </w:tr>
      <w:tr w:rsidR="00ED2F65" w:rsidRPr="00ED2F65" w14:paraId="520DC719" w14:textId="77777777" w:rsidTr="00ED2F65">
        <w:tc>
          <w:tcPr>
            <w:tcW w:w="5240" w:type="dxa"/>
          </w:tcPr>
          <w:p w14:paraId="6902D359" w14:textId="77777777" w:rsidR="00ED2F65" w:rsidRPr="00ED2F65" w:rsidRDefault="00ED2F65" w:rsidP="002646D2">
            <w:pPr>
              <w:rPr>
                <w:rFonts w:ascii="Arial" w:hAnsi="Arial" w:cs="Arial"/>
              </w:rPr>
            </w:pPr>
            <w:r w:rsidRPr="00ED2F65">
              <w:rPr>
                <w:rFonts w:ascii="Arial" w:hAnsi="Arial" w:cs="Arial"/>
              </w:rPr>
              <w:t>Ammonia System Monitoring</w:t>
            </w:r>
          </w:p>
        </w:tc>
        <w:tc>
          <w:tcPr>
            <w:tcW w:w="5528" w:type="dxa"/>
          </w:tcPr>
          <w:p w14:paraId="2C72FAD7" w14:textId="77777777" w:rsidR="00ED2F65" w:rsidRPr="00ED2F65" w:rsidRDefault="00ED2F65" w:rsidP="002646D2">
            <w:pPr>
              <w:rPr>
                <w:rFonts w:ascii="Arial" w:hAnsi="Arial" w:cs="Arial"/>
              </w:rPr>
            </w:pPr>
            <w:r w:rsidRPr="00ED2F65">
              <w:rPr>
                <w:rFonts w:ascii="Arial" w:hAnsi="Arial" w:cs="Arial"/>
              </w:rPr>
              <w:t>Alarm activations, maintenance logs, compressor performance, heat recovery operation.</w:t>
            </w:r>
          </w:p>
        </w:tc>
      </w:tr>
      <w:tr w:rsidR="00ED2F65" w:rsidRPr="00ED2F65" w14:paraId="0D392144" w14:textId="77777777" w:rsidTr="00ED2F65">
        <w:tc>
          <w:tcPr>
            <w:tcW w:w="5240" w:type="dxa"/>
          </w:tcPr>
          <w:p w14:paraId="759BDE60" w14:textId="77777777" w:rsidR="00ED2F65" w:rsidRPr="00ED2F65" w:rsidRDefault="00ED2F65" w:rsidP="002646D2">
            <w:pPr>
              <w:rPr>
                <w:rFonts w:ascii="Arial" w:hAnsi="Arial" w:cs="Arial"/>
              </w:rPr>
            </w:pPr>
            <w:r w:rsidRPr="00ED2F65">
              <w:rPr>
                <w:rFonts w:ascii="Arial" w:hAnsi="Arial" w:cs="Arial"/>
              </w:rPr>
              <w:t>Waste Stream Monitoring</w:t>
            </w:r>
          </w:p>
        </w:tc>
        <w:tc>
          <w:tcPr>
            <w:tcW w:w="5528" w:type="dxa"/>
          </w:tcPr>
          <w:p w14:paraId="77AEEFF9" w14:textId="77777777" w:rsidR="00ED2F65" w:rsidRPr="00ED2F65" w:rsidRDefault="00ED2F65" w:rsidP="002646D2">
            <w:pPr>
              <w:rPr>
                <w:rFonts w:ascii="Arial" w:hAnsi="Arial" w:cs="Arial"/>
              </w:rPr>
            </w:pPr>
            <w:r w:rsidRPr="00ED2F65">
              <w:rPr>
                <w:rFonts w:ascii="Arial" w:hAnsi="Arial" w:cs="Arial"/>
              </w:rPr>
              <w:t>Weights, segregation accuracy, contamination levels, recycling performance.</w:t>
            </w:r>
          </w:p>
        </w:tc>
      </w:tr>
      <w:tr w:rsidR="00ED2F65" w:rsidRPr="00ED2F65" w14:paraId="112E594E" w14:textId="77777777" w:rsidTr="00ED2F65">
        <w:tc>
          <w:tcPr>
            <w:tcW w:w="5240" w:type="dxa"/>
          </w:tcPr>
          <w:p w14:paraId="63BDE047" w14:textId="77777777" w:rsidR="00ED2F65" w:rsidRPr="00ED2F65" w:rsidRDefault="00ED2F65" w:rsidP="002646D2">
            <w:pPr>
              <w:rPr>
                <w:rFonts w:ascii="Arial" w:hAnsi="Arial" w:cs="Arial"/>
              </w:rPr>
            </w:pPr>
            <w:r w:rsidRPr="00ED2F65">
              <w:rPr>
                <w:rFonts w:ascii="Arial" w:hAnsi="Arial" w:cs="Arial"/>
              </w:rPr>
              <w:t>Health &amp; Safety Monitoring</w:t>
            </w:r>
          </w:p>
        </w:tc>
        <w:tc>
          <w:tcPr>
            <w:tcW w:w="5528" w:type="dxa"/>
          </w:tcPr>
          <w:p w14:paraId="0651F4F0" w14:textId="77777777" w:rsidR="00ED2F65" w:rsidRPr="00ED2F65" w:rsidRDefault="00ED2F65" w:rsidP="002646D2">
            <w:pPr>
              <w:rPr>
                <w:rFonts w:ascii="Arial" w:hAnsi="Arial" w:cs="Arial"/>
              </w:rPr>
            </w:pPr>
            <w:r w:rsidRPr="00ED2F65">
              <w:rPr>
                <w:rFonts w:ascii="Arial" w:hAnsi="Arial" w:cs="Arial"/>
              </w:rPr>
              <w:t>Incident rates, near-misses, lost-time performance, corrective action completion.</w:t>
            </w:r>
          </w:p>
        </w:tc>
      </w:tr>
    </w:tbl>
    <w:p w14:paraId="4CF39482" w14:textId="77777777" w:rsidR="00CE30FF" w:rsidRPr="00ED2F65" w:rsidRDefault="00CE30FF" w:rsidP="000D5EF6">
      <w:pPr>
        <w:rPr>
          <w:rFonts w:ascii="Arial" w:hAnsi="Arial" w:cs="Arial"/>
          <w:b/>
          <w:bCs/>
        </w:rPr>
      </w:pPr>
    </w:p>
    <w:p w14:paraId="78B78A0A" w14:textId="77777777" w:rsidR="00ED2F65" w:rsidRPr="00ED2F65" w:rsidRDefault="00ED2F65" w:rsidP="000D5EF6">
      <w:pPr>
        <w:rPr>
          <w:rFonts w:ascii="Arial" w:hAnsi="Arial" w:cs="Arial"/>
          <w:b/>
          <w:bCs/>
        </w:rPr>
      </w:pPr>
    </w:p>
    <w:p w14:paraId="2038EDB5" w14:textId="2864221A" w:rsidR="00C10830" w:rsidRPr="00ED2F65" w:rsidRDefault="00ED2F65" w:rsidP="00ED2F65">
      <w:pPr>
        <w:pStyle w:val="ListParagraph"/>
        <w:numPr>
          <w:ilvl w:val="0"/>
          <w:numId w:val="35"/>
        </w:numPr>
        <w:rPr>
          <w:rFonts w:ascii="Arial" w:hAnsi="Arial" w:cs="Arial"/>
          <w:b/>
          <w:bCs/>
          <w:sz w:val="24"/>
          <w:szCs w:val="24"/>
        </w:rPr>
      </w:pPr>
      <w:r w:rsidRPr="00ED2F65">
        <w:rPr>
          <w:rFonts w:ascii="Arial" w:hAnsi="Arial" w:cs="Arial"/>
          <w:b/>
          <w:bCs/>
          <w:sz w:val="24"/>
          <w:szCs w:val="24"/>
        </w:rPr>
        <w:lastRenderedPageBreak/>
        <w:t xml:space="preserve">KPI Development </w:t>
      </w:r>
    </w:p>
    <w:p w14:paraId="568D31CD" w14:textId="77777777" w:rsidR="00ED2F65" w:rsidRPr="00ED2F65" w:rsidRDefault="00ED2F65" w:rsidP="00ED2F65">
      <w:pPr>
        <w:rPr>
          <w:rFonts w:ascii="Arial" w:hAnsi="Arial" w:cs="Arial"/>
        </w:rPr>
      </w:pPr>
    </w:p>
    <w:p w14:paraId="41EB2C32" w14:textId="77777777" w:rsidR="00ED2F65" w:rsidRPr="00ED2F65" w:rsidRDefault="00ED2F65" w:rsidP="00ED2F65">
      <w:pPr>
        <w:rPr>
          <w:rFonts w:ascii="Arial" w:hAnsi="Arial" w:cs="Arial"/>
        </w:rPr>
      </w:pPr>
      <w:r w:rsidRPr="00ED2F65">
        <w:rPr>
          <w:rFonts w:ascii="Arial" w:hAnsi="Arial" w:cs="Arial"/>
        </w:rPr>
        <w:t>KPIs shall be set annually as part of the Environmental and OH&amp;S objectives.</w:t>
      </w:r>
    </w:p>
    <w:p w14:paraId="760B4756" w14:textId="77777777" w:rsidR="00ED2F65" w:rsidRPr="00ED2F65" w:rsidRDefault="00ED2F65" w:rsidP="00ED2F65">
      <w:pPr>
        <w:rPr>
          <w:rFonts w:ascii="Arial" w:hAnsi="Arial" w:cs="Arial"/>
        </w:rPr>
      </w:pPr>
      <w:r w:rsidRPr="00ED2F65">
        <w:rPr>
          <w:rFonts w:ascii="Arial" w:hAnsi="Arial" w:cs="Arial"/>
        </w:rPr>
        <w:t>KPIs must be measurable, realistic, and aligned with legal, permit, and business requirements.</w:t>
      </w:r>
    </w:p>
    <w:p w14:paraId="59B9A3C9" w14:textId="77777777" w:rsidR="00ED2F65" w:rsidRPr="00ED2F65" w:rsidRDefault="00ED2F65" w:rsidP="00ED2F65">
      <w:pPr>
        <w:rPr>
          <w:rFonts w:ascii="Arial" w:hAnsi="Arial" w:cs="Arial"/>
        </w:rPr>
      </w:pPr>
    </w:p>
    <w:p w14:paraId="78EB2E7E" w14:textId="5109CFC0" w:rsidR="00ED2F65" w:rsidRPr="00ED2F65" w:rsidRDefault="00ED2F65" w:rsidP="00ED2F65">
      <w:pPr>
        <w:pStyle w:val="ListParagraph"/>
        <w:numPr>
          <w:ilvl w:val="0"/>
          <w:numId w:val="35"/>
        </w:numPr>
        <w:rPr>
          <w:rFonts w:ascii="Arial" w:hAnsi="Arial" w:cs="Arial"/>
          <w:b/>
          <w:bCs/>
          <w:sz w:val="24"/>
          <w:szCs w:val="24"/>
        </w:rPr>
      </w:pPr>
      <w:r w:rsidRPr="00ED2F65">
        <w:rPr>
          <w:rFonts w:ascii="Arial" w:hAnsi="Arial" w:cs="Arial"/>
          <w:b/>
          <w:bCs/>
          <w:sz w:val="24"/>
          <w:szCs w:val="24"/>
        </w:rPr>
        <w:t xml:space="preserve">Data Collection &amp; Reporting </w:t>
      </w:r>
    </w:p>
    <w:p w14:paraId="7645FDD1" w14:textId="77777777" w:rsidR="00ED2F65" w:rsidRPr="00ED2F65" w:rsidRDefault="00ED2F65" w:rsidP="00ED2F65">
      <w:pPr>
        <w:rPr>
          <w:rFonts w:ascii="Arial" w:hAnsi="Arial" w:cs="Arial"/>
          <w:b/>
          <w:bCs/>
        </w:rPr>
      </w:pPr>
    </w:p>
    <w:p w14:paraId="2220156F" w14:textId="77777777" w:rsidR="00ED2F65" w:rsidRPr="00ED2F65" w:rsidRDefault="00ED2F65" w:rsidP="00ED2F65">
      <w:pPr>
        <w:rPr>
          <w:rFonts w:ascii="Arial" w:hAnsi="Arial" w:cs="Arial"/>
        </w:rPr>
      </w:pPr>
      <w:r w:rsidRPr="00ED2F65">
        <w:rPr>
          <w:rFonts w:ascii="Arial" w:hAnsi="Arial" w:cs="Arial"/>
        </w:rPr>
        <w:t>Monitoring data shall be collected monthly unless otherwise specified.</w:t>
      </w:r>
    </w:p>
    <w:p w14:paraId="43E30B2E" w14:textId="77777777" w:rsidR="00ED2F65" w:rsidRPr="00ED2F65" w:rsidRDefault="00ED2F65" w:rsidP="00ED2F65">
      <w:pPr>
        <w:rPr>
          <w:rFonts w:ascii="Arial" w:hAnsi="Arial" w:cs="Arial"/>
        </w:rPr>
      </w:pPr>
      <w:r w:rsidRPr="00ED2F65">
        <w:rPr>
          <w:rFonts w:ascii="Arial" w:hAnsi="Arial" w:cs="Arial"/>
        </w:rPr>
        <w:t>All raw operational data (noise logs, odour logs, spill logs, etc.) remain in Section 8.</w:t>
      </w:r>
    </w:p>
    <w:p w14:paraId="7830C4F7" w14:textId="77777777" w:rsidR="00ED2F65" w:rsidRPr="00ED2F65" w:rsidRDefault="00ED2F65" w:rsidP="00ED2F65">
      <w:pPr>
        <w:rPr>
          <w:rFonts w:ascii="Arial" w:hAnsi="Arial" w:cs="Arial"/>
        </w:rPr>
      </w:pPr>
      <w:r w:rsidRPr="00ED2F65">
        <w:rPr>
          <w:rFonts w:ascii="Arial" w:hAnsi="Arial" w:cs="Arial"/>
        </w:rPr>
        <w:t>A consolidated KPI summary shall be created each month using the EHS-IMS 9.1.2 process.</w:t>
      </w:r>
    </w:p>
    <w:p w14:paraId="774FB20D" w14:textId="77777777" w:rsidR="00ED2F65" w:rsidRPr="00ED2F65" w:rsidRDefault="00ED2F65" w:rsidP="00ED2F65">
      <w:pPr>
        <w:rPr>
          <w:rFonts w:ascii="Arial" w:hAnsi="Arial" w:cs="Arial"/>
          <w:b/>
          <w:bCs/>
        </w:rPr>
      </w:pPr>
    </w:p>
    <w:p w14:paraId="3C91BAAF" w14:textId="5AC8F44F" w:rsidR="00ED2F65" w:rsidRPr="00ED2F65" w:rsidRDefault="00ED2F65" w:rsidP="00ED2F65">
      <w:pPr>
        <w:pStyle w:val="ListParagraph"/>
        <w:numPr>
          <w:ilvl w:val="0"/>
          <w:numId w:val="35"/>
        </w:numPr>
        <w:rPr>
          <w:rFonts w:ascii="Arial" w:hAnsi="Arial" w:cs="Arial"/>
          <w:b/>
          <w:bCs/>
          <w:sz w:val="24"/>
          <w:szCs w:val="24"/>
        </w:rPr>
      </w:pPr>
      <w:r w:rsidRPr="00ED2F65">
        <w:rPr>
          <w:rFonts w:ascii="Arial" w:hAnsi="Arial" w:cs="Arial"/>
          <w:b/>
          <w:bCs/>
          <w:sz w:val="24"/>
          <w:szCs w:val="24"/>
        </w:rPr>
        <w:t>Analysis &amp; Evaluation</w:t>
      </w:r>
    </w:p>
    <w:p w14:paraId="22755FCE" w14:textId="77777777" w:rsidR="00ED2F65" w:rsidRPr="00ED2F65" w:rsidRDefault="00ED2F65" w:rsidP="00ED2F65">
      <w:pPr>
        <w:pStyle w:val="ListParagraph"/>
        <w:ind w:left="360"/>
        <w:rPr>
          <w:rFonts w:ascii="Arial" w:hAnsi="Arial" w:cs="Arial"/>
        </w:rPr>
      </w:pPr>
    </w:p>
    <w:p w14:paraId="7FE0238C" w14:textId="77777777" w:rsidR="00ED2F65" w:rsidRDefault="00ED2F65" w:rsidP="00ED2F65">
      <w:pPr>
        <w:rPr>
          <w:rFonts w:ascii="Arial" w:hAnsi="Arial" w:cs="Arial"/>
        </w:rPr>
      </w:pPr>
      <w:r w:rsidRPr="00ED2F65">
        <w:rPr>
          <w:rFonts w:ascii="Arial" w:hAnsi="Arial" w:cs="Arial"/>
        </w:rPr>
        <w:t xml:space="preserve">Collected data shall be </w:t>
      </w:r>
      <w:proofErr w:type="spellStart"/>
      <w:r w:rsidRPr="00ED2F65">
        <w:rPr>
          <w:rFonts w:ascii="Arial" w:hAnsi="Arial" w:cs="Arial"/>
        </w:rPr>
        <w:t>analysed</w:t>
      </w:r>
      <w:proofErr w:type="spellEnd"/>
      <w:r w:rsidRPr="00ED2F65">
        <w:rPr>
          <w:rFonts w:ascii="Arial" w:hAnsi="Arial" w:cs="Arial"/>
        </w:rPr>
        <w:t xml:space="preserve"> to identify:</w:t>
      </w:r>
    </w:p>
    <w:p w14:paraId="1D94599A" w14:textId="77777777" w:rsidR="00ED2F65" w:rsidRPr="00ED2F65" w:rsidRDefault="00ED2F65" w:rsidP="00ED2F65">
      <w:pPr>
        <w:rPr>
          <w:rFonts w:ascii="Arial" w:hAnsi="Arial" w:cs="Arial"/>
        </w:rPr>
      </w:pPr>
    </w:p>
    <w:p w14:paraId="54C0AF53" w14:textId="77777777" w:rsidR="00ED2F65" w:rsidRPr="00ED2F65" w:rsidRDefault="00ED2F65" w:rsidP="00ED2F65">
      <w:pPr>
        <w:rPr>
          <w:rFonts w:ascii="Arial" w:hAnsi="Arial" w:cs="Arial"/>
        </w:rPr>
      </w:pPr>
      <w:r w:rsidRPr="00ED2F65">
        <w:rPr>
          <w:rFonts w:ascii="Arial" w:hAnsi="Arial" w:cs="Arial"/>
        </w:rPr>
        <w:t>• Trends and deviations</w:t>
      </w:r>
    </w:p>
    <w:p w14:paraId="7F12F650" w14:textId="77777777" w:rsidR="00ED2F65" w:rsidRPr="00ED2F65" w:rsidRDefault="00ED2F65" w:rsidP="00ED2F65">
      <w:pPr>
        <w:rPr>
          <w:rFonts w:ascii="Arial" w:hAnsi="Arial" w:cs="Arial"/>
        </w:rPr>
      </w:pPr>
      <w:r w:rsidRPr="00ED2F65">
        <w:rPr>
          <w:rFonts w:ascii="Arial" w:hAnsi="Arial" w:cs="Arial"/>
        </w:rPr>
        <w:t>• Compliance with EA Permit limits</w:t>
      </w:r>
    </w:p>
    <w:p w14:paraId="1580623C" w14:textId="77777777" w:rsidR="00ED2F65" w:rsidRPr="00ED2F65" w:rsidRDefault="00ED2F65" w:rsidP="00ED2F65">
      <w:pPr>
        <w:rPr>
          <w:rFonts w:ascii="Arial" w:hAnsi="Arial" w:cs="Arial"/>
        </w:rPr>
      </w:pPr>
      <w:r w:rsidRPr="00ED2F65">
        <w:rPr>
          <w:rFonts w:ascii="Arial" w:hAnsi="Arial" w:cs="Arial"/>
        </w:rPr>
        <w:t>• Performance against objectives</w:t>
      </w:r>
    </w:p>
    <w:p w14:paraId="79456558" w14:textId="77777777" w:rsidR="00ED2F65" w:rsidRDefault="00ED2F65" w:rsidP="00ED2F65">
      <w:pPr>
        <w:rPr>
          <w:rFonts w:ascii="Arial" w:hAnsi="Arial" w:cs="Arial"/>
        </w:rPr>
      </w:pPr>
      <w:r w:rsidRPr="00ED2F65">
        <w:rPr>
          <w:rFonts w:ascii="Arial" w:hAnsi="Arial" w:cs="Arial"/>
        </w:rPr>
        <w:t>• Recurring issues requiring corrective action (linked to Section 10)</w:t>
      </w:r>
    </w:p>
    <w:p w14:paraId="6D3408A3" w14:textId="77777777" w:rsidR="00ED2F65" w:rsidRPr="00ED2F65" w:rsidRDefault="00ED2F65" w:rsidP="00ED2F65">
      <w:pPr>
        <w:rPr>
          <w:rFonts w:ascii="Arial" w:hAnsi="Arial" w:cs="Arial"/>
        </w:rPr>
      </w:pPr>
    </w:p>
    <w:p w14:paraId="764DE118" w14:textId="77777777" w:rsidR="00ED2F65" w:rsidRPr="00ED2F65" w:rsidRDefault="00ED2F65" w:rsidP="00ED2F65">
      <w:pPr>
        <w:rPr>
          <w:rFonts w:ascii="Arial" w:hAnsi="Arial" w:cs="Arial"/>
        </w:rPr>
      </w:pPr>
      <w:r w:rsidRPr="00ED2F65">
        <w:rPr>
          <w:rFonts w:ascii="Arial" w:hAnsi="Arial" w:cs="Arial"/>
        </w:rPr>
        <w:t xml:space="preserve">Evaluation results feed into the </w:t>
      </w:r>
      <w:proofErr w:type="gramStart"/>
      <w:r w:rsidRPr="00ED2F65">
        <w:rPr>
          <w:rFonts w:ascii="Arial" w:hAnsi="Arial" w:cs="Arial"/>
        </w:rPr>
        <w:t>quarterly and</w:t>
      </w:r>
      <w:proofErr w:type="gramEnd"/>
      <w:r w:rsidRPr="00ED2F65">
        <w:rPr>
          <w:rFonts w:ascii="Arial" w:hAnsi="Arial" w:cs="Arial"/>
        </w:rPr>
        <w:t xml:space="preserve"> annual EA Permit Performance Summary.</w:t>
      </w:r>
    </w:p>
    <w:p w14:paraId="4D27E3AD" w14:textId="77777777" w:rsidR="00ED2F65" w:rsidRPr="00ED2F65" w:rsidRDefault="00ED2F65" w:rsidP="00ED2F65">
      <w:pPr>
        <w:rPr>
          <w:rFonts w:ascii="Arial" w:hAnsi="Arial" w:cs="Arial"/>
        </w:rPr>
      </w:pPr>
    </w:p>
    <w:p w14:paraId="59D708A7" w14:textId="2B27C392" w:rsidR="00ED2F65" w:rsidRPr="00ED2F65" w:rsidRDefault="00ED2F65" w:rsidP="00ED2F65">
      <w:pPr>
        <w:pStyle w:val="ListParagraph"/>
        <w:numPr>
          <w:ilvl w:val="0"/>
          <w:numId w:val="35"/>
        </w:numPr>
        <w:rPr>
          <w:rFonts w:ascii="Arial" w:hAnsi="Arial" w:cs="Arial"/>
          <w:b/>
          <w:bCs/>
        </w:rPr>
      </w:pPr>
      <w:r w:rsidRPr="00ED2F65">
        <w:rPr>
          <w:rFonts w:ascii="Arial" w:hAnsi="Arial" w:cs="Arial"/>
          <w:b/>
          <w:bCs/>
        </w:rPr>
        <w:t>Records</w:t>
      </w:r>
    </w:p>
    <w:p w14:paraId="44393185" w14:textId="77777777" w:rsidR="00ED2F65" w:rsidRPr="00ED2F65" w:rsidRDefault="00ED2F65" w:rsidP="00ED2F65">
      <w:pPr>
        <w:rPr>
          <w:rFonts w:ascii="Arial" w:hAnsi="Arial" w:cs="Arial"/>
          <w:b/>
          <w:bCs/>
        </w:rPr>
      </w:pPr>
    </w:p>
    <w:p w14:paraId="06184FD9" w14:textId="77777777" w:rsidR="00ED2F65" w:rsidRDefault="00ED2F65" w:rsidP="00ED2F65">
      <w:pPr>
        <w:rPr>
          <w:rFonts w:ascii="Arial" w:hAnsi="Arial" w:cs="Arial"/>
          <w:b/>
          <w:bCs/>
        </w:rPr>
      </w:pPr>
      <w:r w:rsidRPr="00ED2F65">
        <w:rPr>
          <w:rFonts w:ascii="Arial" w:hAnsi="Arial" w:cs="Arial"/>
          <w:b/>
          <w:bCs/>
        </w:rPr>
        <w:t>The following records are maintained:</w:t>
      </w:r>
    </w:p>
    <w:p w14:paraId="2A84DB77" w14:textId="77777777" w:rsidR="00ED2F65" w:rsidRDefault="00ED2F65" w:rsidP="00ED2F65">
      <w:pPr>
        <w:rPr>
          <w:rFonts w:ascii="Arial" w:hAnsi="Arial" w:cs="Arial"/>
          <w:b/>
          <w:bCs/>
        </w:rPr>
      </w:pPr>
    </w:p>
    <w:p w14:paraId="3D646683" w14:textId="77777777" w:rsidR="00ED2F65" w:rsidRDefault="00ED2F65" w:rsidP="00ED2F65">
      <w:pPr>
        <w:pStyle w:val="ListParagraph"/>
        <w:numPr>
          <w:ilvl w:val="0"/>
          <w:numId w:val="36"/>
        </w:numPr>
        <w:rPr>
          <w:rFonts w:ascii="Arial" w:hAnsi="Arial" w:cs="Arial"/>
        </w:rPr>
      </w:pPr>
      <w:r w:rsidRPr="00ED2F65">
        <w:rPr>
          <w:rFonts w:ascii="Arial" w:hAnsi="Arial" w:cs="Arial"/>
        </w:rPr>
        <w:t>EHS-IMS 9.1.2 – KPI Dashboard &amp; Monthly Performance Summary</w:t>
      </w:r>
    </w:p>
    <w:p w14:paraId="3D935941" w14:textId="77777777" w:rsidR="00ED2F65" w:rsidRDefault="00ED2F65" w:rsidP="00ED2F65">
      <w:pPr>
        <w:pStyle w:val="ListParagraph"/>
        <w:numPr>
          <w:ilvl w:val="0"/>
          <w:numId w:val="36"/>
        </w:numPr>
        <w:rPr>
          <w:rFonts w:ascii="Arial" w:hAnsi="Arial" w:cs="Arial"/>
        </w:rPr>
      </w:pPr>
      <w:r w:rsidRPr="00ED2F65">
        <w:rPr>
          <w:rFonts w:ascii="Arial" w:hAnsi="Arial" w:cs="Arial"/>
        </w:rPr>
        <w:t>EHS-IMS 9.1.4 – Compliance Evaluation Register</w:t>
      </w:r>
    </w:p>
    <w:p w14:paraId="25E3A682" w14:textId="77777777" w:rsidR="00ED2F65" w:rsidRDefault="00ED2F65" w:rsidP="00ED2F65">
      <w:pPr>
        <w:pStyle w:val="ListParagraph"/>
        <w:numPr>
          <w:ilvl w:val="0"/>
          <w:numId w:val="36"/>
        </w:numPr>
        <w:rPr>
          <w:rFonts w:ascii="Arial" w:hAnsi="Arial" w:cs="Arial"/>
        </w:rPr>
      </w:pPr>
      <w:r w:rsidRPr="00ED2F65">
        <w:rPr>
          <w:rFonts w:ascii="Arial" w:hAnsi="Arial" w:cs="Arial"/>
        </w:rPr>
        <w:t>EHS-IMS 9.1.7 – Calibration &amp; Verification Records</w:t>
      </w:r>
    </w:p>
    <w:p w14:paraId="0DDA2610" w14:textId="0C7CAC1E" w:rsidR="00ED2F65" w:rsidRPr="00ED2F65" w:rsidRDefault="00ED2F65" w:rsidP="00ED2F65">
      <w:pPr>
        <w:pStyle w:val="ListParagraph"/>
        <w:numPr>
          <w:ilvl w:val="0"/>
          <w:numId w:val="36"/>
        </w:numPr>
        <w:rPr>
          <w:rFonts w:ascii="Arial" w:hAnsi="Arial" w:cs="Arial"/>
        </w:rPr>
      </w:pPr>
      <w:r w:rsidRPr="00ED2F65">
        <w:rPr>
          <w:rFonts w:ascii="Arial" w:hAnsi="Arial" w:cs="Arial"/>
        </w:rPr>
        <w:t>EA Permit Performance Summary (Recommended)</w:t>
      </w:r>
    </w:p>
    <w:p w14:paraId="2215AC9D" w14:textId="77777777" w:rsidR="00ED2F65" w:rsidRPr="00ED2F65" w:rsidRDefault="00ED2F65" w:rsidP="00ED2F65">
      <w:pPr>
        <w:rPr>
          <w:rFonts w:ascii="Arial" w:hAnsi="Arial" w:cs="Arial"/>
          <w:b/>
          <w:bCs/>
        </w:rPr>
      </w:pPr>
    </w:p>
    <w:p w14:paraId="03DEE46B" w14:textId="77816146" w:rsidR="00ED2F65" w:rsidRPr="00ED2F65" w:rsidRDefault="00ED2F65" w:rsidP="00ED2F65">
      <w:pPr>
        <w:pStyle w:val="ListParagraph"/>
        <w:numPr>
          <w:ilvl w:val="0"/>
          <w:numId w:val="35"/>
        </w:numPr>
        <w:rPr>
          <w:rFonts w:ascii="Arial" w:hAnsi="Arial" w:cs="Arial"/>
          <w:b/>
          <w:bCs/>
        </w:rPr>
      </w:pPr>
      <w:r w:rsidRPr="00ED2F65">
        <w:rPr>
          <w:rFonts w:ascii="Arial" w:hAnsi="Arial" w:cs="Arial"/>
          <w:b/>
          <w:bCs/>
        </w:rPr>
        <w:t>Document Control</w:t>
      </w:r>
    </w:p>
    <w:p w14:paraId="25AA5EFB" w14:textId="77777777" w:rsidR="00ED2F65" w:rsidRPr="00ED2F65" w:rsidRDefault="00ED2F65" w:rsidP="00ED2F65">
      <w:pPr>
        <w:rPr>
          <w:rFonts w:ascii="Arial" w:hAnsi="Arial" w:cs="Arial"/>
          <w:b/>
          <w:bCs/>
        </w:rPr>
      </w:pPr>
    </w:p>
    <w:p w14:paraId="526E3853" w14:textId="77777777" w:rsidR="00ED2F65" w:rsidRPr="00ED2F65" w:rsidRDefault="00ED2F65" w:rsidP="00ED2F65">
      <w:pPr>
        <w:rPr>
          <w:rFonts w:ascii="Arial" w:hAnsi="Arial" w:cs="Arial"/>
        </w:rPr>
      </w:pPr>
      <w:r w:rsidRPr="00ED2F65">
        <w:rPr>
          <w:rFonts w:ascii="Arial" w:hAnsi="Arial" w:cs="Arial"/>
        </w:rPr>
        <w:t>This procedure shall be reviewed annually or following significant changes to operations, EA permit requirements, or ISO standards.</w:t>
      </w:r>
    </w:p>
    <w:p w14:paraId="4140B8FD" w14:textId="77777777" w:rsidR="00ED2F65" w:rsidRPr="00ED2F65" w:rsidRDefault="00ED2F65" w:rsidP="00ED2F65">
      <w:pPr>
        <w:rPr>
          <w:b/>
          <w:bCs/>
          <w:sz w:val="24"/>
          <w:szCs w:val="24"/>
        </w:rPr>
      </w:pPr>
    </w:p>
    <w:p w14:paraId="278521D4" w14:textId="77777777" w:rsidR="00ED2F65" w:rsidRPr="00ED2F65" w:rsidRDefault="00ED2F65" w:rsidP="00ED2F65">
      <w:pPr>
        <w:rPr>
          <w:b/>
          <w:bCs/>
          <w:sz w:val="24"/>
          <w:szCs w:val="24"/>
        </w:rPr>
      </w:pPr>
    </w:p>
    <w:p w14:paraId="7D1A4999" w14:textId="77777777" w:rsidR="00ED2F65" w:rsidRPr="00ED2F65" w:rsidRDefault="00ED2F65" w:rsidP="00ED2F65">
      <w:pPr>
        <w:rPr>
          <w:rFonts w:ascii="Arial" w:hAnsi="Arial" w:cs="Arial"/>
        </w:rPr>
      </w:pPr>
    </w:p>
    <w:p w14:paraId="623CCC70" w14:textId="77777777" w:rsidR="00ED2F65" w:rsidRPr="00ED2F65" w:rsidRDefault="00ED2F65" w:rsidP="00ED2F65">
      <w:pPr>
        <w:rPr>
          <w:rFonts w:ascii="Arial" w:hAnsi="Arial" w:cs="Arial"/>
          <w:b/>
          <w:bCs/>
          <w:sz w:val="24"/>
          <w:szCs w:val="24"/>
        </w:rPr>
      </w:pPr>
    </w:p>
    <w:p w14:paraId="6A43651A" w14:textId="77777777" w:rsidR="00ED2F65" w:rsidRPr="00ED2F65" w:rsidRDefault="00ED2F65" w:rsidP="00ED2F65">
      <w:pPr>
        <w:pStyle w:val="ListParagraph"/>
        <w:ind w:left="360"/>
        <w:rPr>
          <w:rFonts w:ascii="Arial" w:hAnsi="Arial" w:cs="Arial"/>
          <w:b/>
          <w:bCs/>
          <w:sz w:val="24"/>
          <w:szCs w:val="24"/>
        </w:rPr>
      </w:pPr>
    </w:p>
    <w:sectPr w:rsidR="00ED2F65" w:rsidRPr="00ED2F65" w:rsidSect="00A657ED">
      <w:headerReference w:type="default" r:id="rId12"/>
      <w:pgSz w:w="12240" w:h="15840" w:code="1"/>
      <w:pgMar w:top="131" w:right="720" w:bottom="720" w:left="720" w:header="2608" w:footer="3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70A2" w14:textId="77777777" w:rsidR="007B4C15" w:rsidRDefault="007B4C15">
      <w:r>
        <w:separator/>
      </w:r>
    </w:p>
  </w:endnote>
  <w:endnote w:type="continuationSeparator" w:id="0">
    <w:p w14:paraId="700DDA68" w14:textId="77777777" w:rsidR="007B4C15" w:rsidRDefault="007B4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F49BE" w14:textId="77777777" w:rsidR="007B4C15" w:rsidRDefault="007B4C15">
      <w:r>
        <w:separator/>
      </w:r>
    </w:p>
  </w:footnote>
  <w:footnote w:type="continuationSeparator" w:id="0">
    <w:p w14:paraId="4B99A328" w14:textId="77777777" w:rsidR="007B4C15" w:rsidRDefault="007B4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pPr w:vertAnchor="page" w:horzAnchor="page" w:tblpX="531" w:tblpY="718"/>
      <w:tblOverlap w:val="never"/>
      <w:tblW w:w="11052" w:type="dxa"/>
      <w:tblInd w:w="0" w:type="dxa"/>
      <w:tblLayout w:type="fixed"/>
      <w:tblCellMar>
        <w:top w:w="18" w:type="dxa"/>
        <w:left w:w="106" w:type="dxa"/>
        <w:right w:w="115" w:type="dxa"/>
      </w:tblCellMar>
      <w:tblLook w:val="04A0" w:firstRow="1" w:lastRow="0" w:firstColumn="1" w:lastColumn="0" w:noHBand="0" w:noVBand="1"/>
    </w:tblPr>
    <w:tblGrid>
      <w:gridCol w:w="1482"/>
      <w:gridCol w:w="1619"/>
      <w:gridCol w:w="1619"/>
      <w:gridCol w:w="1620"/>
      <w:gridCol w:w="1173"/>
      <w:gridCol w:w="446"/>
      <w:gridCol w:w="1619"/>
      <w:gridCol w:w="1474"/>
    </w:tblGrid>
    <w:tr w:rsidR="004776CB" w14:paraId="0D2616B5" w14:textId="77777777" w:rsidTr="0015143D">
      <w:trPr>
        <w:trHeight w:val="823"/>
      </w:trPr>
      <w:tc>
        <w:tcPr>
          <w:tcW w:w="7513" w:type="dxa"/>
          <w:gridSpan w:val="5"/>
          <w:tcBorders>
            <w:top w:val="single" w:sz="4" w:space="0" w:color="000000"/>
            <w:left w:val="single" w:sz="4" w:space="0" w:color="000000"/>
            <w:bottom w:val="single" w:sz="4" w:space="0" w:color="000000"/>
            <w:right w:val="single" w:sz="4" w:space="0" w:color="000000"/>
          </w:tcBorders>
          <w:vAlign w:val="center"/>
        </w:tcPr>
        <w:p w14:paraId="5DA232C3" w14:textId="77777777" w:rsidR="00751C73" w:rsidRDefault="00751C73" w:rsidP="0015143D">
          <w:pPr>
            <w:spacing w:line="259" w:lineRule="auto"/>
            <w:ind w:left="1"/>
            <w:jc w:val="center"/>
            <w:rPr>
              <w:b/>
              <w:sz w:val="32"/>
              <w:szCs w:val="32"/>
            </w:rPr>
          </w:pPr>
          <w:r>
            <w:rPr>
              <w:b/>
              <w:sz w:val="32"/>
              <w:szCs w:val="32"/>
            </w:rPr>
            <w:t xml:space="preserve">EHS </w:t>
          </w:r>
        </w:p>
        <w:p w14:paraId="54765D1C" w14:textId="43BDA650" w:rsidR="004776CB" w:rsidRPr="00BD1D06" w:rsidRDefault="00BD1D06" w:rsidP="0015143D">
          <w:pPr>
            <w:spacing w:line="259" w:lineRule="auto"/>
            <w:ind w:left="1"/>
            <w:jc w:val="center"/>
            <w:rPr>
              <w:b/>
              <w:sz w:val="32"/>
              <w:szCs w:val="32"/>
            </w:rPr>
          </w:pPr>
          <w:r>
            <w:rPr>
              <w:b/>
              <w:sz w:val="32"/>
              <w:szCs w:val="32"/>
            </w:rPr>
            <w:t>INTEGRATED MANAGEMENT SYSTEM</w:t>
          </w:r>
        </w:p>
      </w:tc>
      <w:tc>
        <w:tcPr>
          <w:tcW w:w="3539" w:type="dxa"/>
          <w:gridSpan w:val="3"/>
          <w:tcBorders>
            <w:top w:val="single" w:sz="4" w:space="0" w:color="000000"/>
            <w:left w:val="single" w:sz="4" w:space="0" w:color="000000"/>
            <w:bottom w:val="single" w:sz="4" w:space="0" w:color="000000"/>
            <w:right w:val="single" w:sz="4" w:space="0" w:color="000000"/>
          </w:tcBorders>
          <w:vAlign w:val="center"/>
        </w:tcPr>
        <w:p w14:paraId="5BDECB32" w14:textId="77777777" w:rsidR="004776CB" w:rsidRDefault="004776CB" w:rsidP="0015143D">
          <w:pPr>
            <w:tabs>
              <w:tab w:val="center" w:pos="2028"/>
            </w:tabs>
            <w:spacing w:line="259" w:lineRule="auto"/>
            <w:jc w:val="center"/>
          </w:pPr>
          <w:r>
            <w:rPr>
              <w:b/>
              <w:noProof/>
              <w:sz w:val="32"/>
              <w:szCs w:val="32"/>
            </w:rPr>
            <w:drawing>
              <wp:inline distT="0" distB="0" distL="0" distR="0" wp14:anchorId="11E7785F" wp14:editId="7801831D">
                <wp:extent cx="1049902" cy="524880"/>
                <wp:effectExtent l="0" t="0" r="0" b="0"/>
                <wp:docPr id="37757286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572862" name="Picture 1"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4067" cy="526962"/>
                        </a:xfrm>
                        <a:prstGeom prst="rect">
                          <a:avLst/>
                        </a:prstGeom>
                      </pic:spPr>
                    </pic:pic>
                  </a:graphicData>
                </a:graphic>
              </wp:inline>
            </w:drawing>
          </w:r>
        </w:p>
      </w:tc>
    </w:tr>
    <w:tr w:rsidR="004776CB" w14:paraId="3D5DB219" w14:textId="77777777" w:rsidTr="0015143D">
      <w:trPr>
        <w:trHeight w:val="336"/>
      </w:trPr>
      <w:tc>
        <w:tcPr>
          <w:tcW w:w="11052" w:type="dxa"/>
          <w:gridSpan w:val="8"/>
          <w:tcBorders>
            <w:top w:val="single" w:sz="4" w:space="0" w:color="000000"/>
            <w:left w:val="single" w:sz="4" w:space="0" w:color="000000"/>
            <w:bottom w:val="single" w:sz="4" w:space="0" w:color="000000"/>
            <w:right w:val="single" w:sz="4" w:space="0" w:color="000000"/>
          </w:tcBorders>
        </w:tcPr>
        <w:p w14:paraId="0941D38E" w14:textId="2F23BEA7" w:rsidR="004776CB" w:rsidRPr="000D5EF6" w:rsidRDefault="00ED2F65" w:rsidP="0015143D">
          <w:pPr>
            <w:spacing w:line="259" w:lineRule="auto"/>
            <w:ind w:left="7"/>
            <w:jc w:val="center"/>
            <w:rPr>
              <w:rFonts w:ascii="Arial" w:hAnsi="Arial" w:cs="Arial"/>
              <w:b/>
              <w:bCs/>
              <w:color w:val="FF0000"/>
              <w:sz w:val="28"/>
              <w:szCs w:val="28"/>
            </w:rPr>
          </w:pPr>
          <w:r>
            <w:rPr>
              <w:rFonts w:ascii="Arial" w:hAnsi="Arial" w:cs="Arial"/>
              <w:b/>
              <w:bCs/>
              <w:color w:val="FF0000"/>
              <w:sz w:val="28"/>
              <w:szCs w:val="28"/>
            </w:rPr>
            <w:t>MONITORING, MEASUREMENT AND KPI PROCEDURE</w:t>
          </w:r>
        </w:p>
      </w:tc>
    </w:tr>
    <w:tr w:rsidR="004776CB" w14:paraId="2BE34939"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E8635CF" w14:textId="4A2707E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Document Re</w:t>
          </w:r>
          <w:r w:rsidR="0098292A">
            <w:rPr>
              <w:rFonts w:ascii="Arial" w:hAnsi="Arial" w:cs="Arial"/>
              <w:b/>
              <w:bCs/>
              <w:sz w:val="16"/>
              <w:szCs w:val="16"/>
            </w:rPr>
            <w:t>f</w:t>
          </w:r>
        </w:p>
      </w:tc>
      <w:tc>
        <w:tcPr>
          <w:tcW w:w="1619" w:type="dxa"/>
          <w:tcBorders>
            <w:top w:val="single" w:sz="4" w:space="0" w:color="000000"/>
            <w:left w:val="single" w:sz="4" w:space="0" w:color="000000"/>
            <w:bottom w:val="single" w:sz="4" w:space="0" w:color="000000"/>
            <w:right w:val="single" w:sz="4" w:space="0" w:color="auto"/>
          </w:tcBorders>
          <w:vAlign w:val="center"/>
        </w:tcPr>
        <w:p w14:paraId="0DCB200B"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Standard</w:t>
          </w:r>
        </w:p>
      </w:tc>
      <w:tc>
        <w:tcPr>
          <w:tcW w:w="1619" w:type="dxa"/>
          <w:tcBorders>
            <w:top w:val="single" w:sz="4" w:space="0" w:color="000000"/>
            <w:left w:val="single" w:sz="4" w:space="0" w:color="auto"/>
            <w:bottom w:val="single" w:sz="4" w:space="0" w:color="000000"/>
            <w:right w:val="single" w:sz="4" w:space="0" w:color="000000"/>
          </w:tcBorders>
          <w:vAlign w:val="center"/>
        </w:tcPr>
        <w:p w14:paraId="4498F14E" w14:textId="77777777" w:rsidR="004776CB" w:rsidRPr="000D5EF6" w:rsidRDefault="004776CB" w:rsidP="0015143D">
          <w:pPr>
            <w:spacing w:line="259" w:lineRule="auto"/>
            <w:jc w:val="center"/>
            <w:rPr>
              <w:rFonts w:ascii="Arial" w:hAnsi="Arial" w:cs="Arial"/>
              <w:b/>
              <w:bCs/>
              <w:sz w:val="16"/>
              <w:szCs w:val="16"/>
            </w:rPr>
          </w:pPr>
          <w:r w:rsidRPr="000D5EF6">
            <w:rPr>
              <w:rFonts w:ascii="Arial" w:hAnsi="Arial" w:cs="Arial"/>
              <w:b/>
              <w:bCs/>
              <w:sz w:val="16"/>
              <w:szCs w:val="16"/>
            </w:rPr>
            <w:t>Issue No:</w:t>
          </w:r>
        </w:p>
      </w:tc>
      <w:tc>
        <w:tcPr>
          <w:tcW w:w="1620" w:type="dxa"/>
          <w:tcBorders>
            <w:top w:val="single" w:sz="4" w:space="0" w:color="000000"/>
            <w:left w:val="single" w:sz="4" w:space="0" w:color="000000"/>
            <w:bottom w:val="single" w:sz="4" w:space="0" w:color="000000"/>
            <w:right w:val="single" w:sz="4" w:space="0" w:color="000000"/>
          </w:tcBorders>
          <w:vAlign w:val="center"/>
        </w:tcPr>
        <w:p w14:paraId="3A6E16BA" w14:textId="77777777" w:rsidR="004776CB" w:rsidRPr="000D5EF6" w:rsidRDefault="004776CB" w:rsidP="0015143D">
          <w:pPr>
            <w:spacing w:line="259" w:lineRule="auto"/>
            <w:ind w:left="8"/>
            <w:jc w:val="center"/>
            <w:rPr>
              <w:rFonts w:ascii="Arial" w:hAnsi="Arial" w:cs="Arial"/>
              <w:b/>
              <w:bCs/>
              <w:sz w:val="16"/>
              <w:szCs w:val="16"/>
            </w:rPr>
          </w:pPr>
          <w:r w:rsidRPr="000D5EF6">
            <w:rPr>
              <w:rFonts w:ascii="Arial" w:hAnsi="Arial" w:cs="Arial"/>
              <w:b/>
              <w:bCs/>
              <w:sz w:val="16"/>
              <w:szCs w:val="16"/>
            </w:rPr>
            <w:t>Created By:</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C6AABCC"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Approved By:</w:t>
          </w:r>
        </w:p>
      </w:tc>
      <w:tc>
        <w:tcPr>
          <w:tcW w:w="1619" w:type="dxa"/>
          <w:tcBorders>
            <w:top w:val="single" w:sz="4" w:space="0" w:color="000000"/>
            <w:left w:val="single" w:sz="4" w:space="0" w:color="000000"/>
            <w:bottom w:val="single" w:sz="4" w:space="0" w:color="000000"/>
            <w:right w:val="single" w:sz="4" w:space="0" w:color="000000"/>
          </w:tcBorders>
          <w:vAlign w:val="center"/>
        </w:tcPr>
        <w:p w14:paraId="134D7CDD" w14:textId="77777777" w:rsidR="004776CB" w:rsidRPr="000D5EF6" w:rsidRDefault="004776CB" w:rsidP="0015143D">
          <w:pPr>
            <w:spacing w:line="259" w:lineRule="auto"/>
            <w:ind w:left="5"/>
            <w:jc w:val="center"/>
            <w:rPr>
              <w:rFonts w:ascii="Arial" w:hAnsi="Arial" w:cs="Arial"/>
              <w:b/>
              <w:bCs/>
              <w:sz w:val="16"/>
              <w:szCs w:val="16"/>
            </w:rPr>
          </w:pPr>
          <w:r w:rsidRPr="000D5EF6">
            <w:rPr>
              <w:rFonts w:ascii="Arial" w:hAnsi="Arial" w:cs="Arial"/>
              <w:b/>
              <w:bCs/>
              <w:sz w:val="16"/>
              <w:szCs w:val="16"/>
            </w:rPr>
            <w:t>Issue Date:</w:t>
          </w:r>
        </w:p>
      </w:tc>
      <w:tc>
        <w:tcPr>
          <w:tcW w:w="1474" w:type="dxa"/>
          <w:tcBorders>
            <w:top w:val="single" w:sz="4" w:space="0" w:color="000000"/>
            <w:left w:val="single" w:sz="4" w:space="0" w:color="000000"/>
            <w:bottom w:val="single" w:sz="4" w:space="0" w:color="000000"/>
            <w:right w:val="single" w:sz="4" w:space="0" w:color="000000"/>
          </w:tcBorders>
          <w:vAlign w:val="center"/>
        </w:tcPr>
        <w:p w14:paraId="1EBBF644" w14:textId="77777777" w:rsidR="004776CB" w:rsidRPr="000D5EF6" w:rsidRDefault="004776CB" w:rsidP="0015143D">
          <w:pPr>
            <w:spacing w:line="259" w:lineRule="auto"/>
            <w:ind w:left="3"/>
            <w:jc w:val="center"/>
            <w:rPr>
              <w:rFonts w:ascii="Arial" w:hAnsi="Arial" w:cs="Arial"/>
              <w:b/>
              <w:bCs/>
              <w:sz w:val="16"/>
              <w:szCs w:val="16"/>
            </w:rPr>
          </w:pPr>
          <w:r w:rsidRPr="000D5EF6">
            <w:rPr>
              <w:rFonts w:ascii="Arial" w:hAnsi="Arial" w:cs="Arial"/>
              <w:b/>
              <w:bCs/>
              <w:sz w:val="16"/>
              <w:szCs w:val="16"/>
            </w:rPr>
            <w:t>Page No:</w:t>
          </w:r>
        </w:p>
      </w:tc>
    </w:tr>
    <w:tr w:rsidR="004776CB" w14:paraId="50107B85" w14:textId="77777777" w:rsidTr="0015143D">
      <w:trPr>
        <w:trHeight w:val="336"/>
      </w:trPr>
      <w:tc>
        <w:tcPr>
          <w:tcW w:w="1482" w:type="dxa"/>
          <w:tcBorders>
            <w:top w:val="single" w:sz="4" w:space="0" w:color="000000"/>
            <w:left w:val="single" w:sz="4" w:space="0" w:color="000000"/>
            <w:bottom w:val="single" w:sz="4" w:space="0" w:color="000000"/>
            <w:right w:val="single" w:sz="4" w:space="0" w:color="000000"/>
          </w:tcBorders>
          <w:vAlign w:val="center"/>
        </w:tcPr>
        <w:p w14:paraId="497CE43A" w14:textId="52787A39"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 xml:space="preserve">EHS IMS </w:t>
          </w:r>
          <w:r w:rsidR="00ED2F65">
            <w:rPr>
              <w:rFonts w:ascii="Arial" w:hAnsi="Arial" w:cs="Arial"/>
              <w:sz w:val="16"/>
              <w:szCs w:val="16"/>
            </w:rPr>
            <w:t>9.1.1</w:t>
          </w:r>
        </w:p>
      </w:tc>
      <w:tc>
        <w:tcPr>
          <w:tcW w:w="1619" w:type="dxa"/>
          <w:tcBorders>
            <w:top w:val="single" w:sz="4" w:space="0" w:color="000000"/>
            <w:left w:val="single" w:sz="4" w:space="0" w:color="000000"/>
            <w:bottom w:val="single" w:sz="4" w:space="0" w:color="000000"/>
            <w:right w:val="single" w:sz="4" w:space="0" w:color="auto"/>
          </w:tcBorders>
          <w:vAlign w:val="center"/>
        </w:tcPr>
        <w:p w14:paraId="574C5AB6" w14:textId="3737B476" w:rsidR="004776CB" w:rsidRPr="00E13795" w:rsidRDefault="00484691" w:rsidP="0015143D">
          <w:pPr>
            <w:spacing w:line="259" w:lineRule="auto"/>
            <w:rPr>
              <w:rFonts w:ascii="Arial" w:hAnsi="Arial" w:cs="Arial"/>
              <w:sz w:val="16"/>
              <w:szCs w:val="16"/>
            </w:rPr>
          </w:pPr>
          <w:r w:rsidRPr="00E13795">
            <w:rPr>
              <w:rFonts w:ascii="Arial" w:hAnsi="Arial" w:cs="Arial"/>
              <w:sz w:val="16"/>
              <w:szCs w:val="16"/>
            </w:rPr>
            <w:t>ISO 14001:2015</w:t>
          </w:r>
          <w:r w:rsidR="00751C73">
            <w:rPr>
              <w:rFonts w:ascii="Arial" w:hAnsi="Arial" w:cs="Arial"/>
              <w:sz w:val="16"/>
              <w:szCs w:val="16"/>
            </w:rPr>
            <w:t xml:space="preserve"> &amp; ISO 45001:2018</w:t>
          </w:r>
        </w:p>
      </w:tc>
      <w:tc>
        <w:tcPr>
          <w:tcW w:w="1619" w:type="dxa"/>
          <w:tcBorders>
            <w:top w:val="single" w:sz="4" w:space="0" w:color="000000"/>
            <w:left w:val="single" w:sz="4" w:space="0" w:color="auto"/>
            <w:bottom w:val="single" w:sz="4" w:space="0" w:color="000000"/>
            <w:right w:val="single" w:sz="4" w:space="0" w:color="000000"/>
          </w:tcBorders>
          <w:vAlign w:val="center"/>
        </w:tcPr>
        <w:p w14:paraId="2740E98F" w14:textId="3487160F" w:rsidR="004776CB" w:rsidRPr="00E13795" w:rsidRDefault="003B2143" w:rsidP="0015143D">
          <w:pPr>
            <w:spacing w:line="259" w:lineRule="auto"/>
            <w:jc w:val="center"/>
            <w:rPr>
              <w:rFonts w:ascii="Arial" w:hAnsi="Arial" w:cs="Arial"/>
              <w:sz w:val="16"/>
              <w:szCs w:val="16"/>
            </w:rPr>
          </w:pPr>
          <w:r>
            <w:rPr>
              <w:rFonts w:ascii="Arial" w:hAnsi="Arial" w:cs="Arial"/>
              <w:sz w:val="16"/>
              <w:szCs w:val="16"/>
            </w:rPr>
            <w:t>1</w:t>
          </w:r>
        </w:p>
      </w:tc>
      <w:tc>
        <w:tcPr>
          <w:tcW w:w="1620" w:type="dxa"/>
          <w:tcBorders>
            <w:top w:val="single" w:sz="4" w:space="0" w:color="000000"/>
            <w:left w:val="single" w:sz="4" w:space="0" w:color="000000"/>
            <w:bottom w:val="single" w:sz="4" w:space="0" w:color="000000"/>
            <w:right w:val="single" w:sz="4" w:space="0" w:color="000000"/>
          </w:tcBorders>
          <w:vAlign w:val="center"/>
        </w:tcPr>
        <w:p w14:paraId="004CECF1" w14:textId="295BFFFF" w:rsidR="004776CB" w:rsidRPr="00E13795" w:rsidRDefault="00ED2F65" w:rsidP="0015143D">
          <w:pPr>
            <w:spacing w:line="259" w:lineRule="auto"/>
            <w:jc w:val="center"/>
            <w:rPr>
              <w:rFonts w:ascii="Arial" w:hAnsi="Arial" w:cs="Arial"/>
              <w:sz w:val="16"/>
              <w:szCs w:val="16"/>
            </w:rPr>
          </w:pPr>
          <w:r>
            <w:rPr>
              <w:rFonts w:ascii="Arial" w:hAnsi="Arial" w:cs="Arial"/>
              <w:sz w:val="16"/>
              <w:szCs w:val="16"/>
            </w:rPr>
            <w:t>Matt Stott</w:t>
          </w:r>
        </w:p>
      </w:tc>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22A92CC" w14:textId="00FA613D" w:rsidR="004776CB" w:rsidRPr="00E13795" w:rsidRDefault="0098292A" w:rsidP="0015143D">
          <w:pPr>
            <w:spacing w:line="259" w:lineRule="auto"/>
            <w:ind w:left="5"/>
            <w:jc w:val="center"/>
            <w:rPr>
              <w:rFonts w:ascii="Arial" w:hAnsi="Arial" w:cs="Arial"/>
              <w:sz w:val="16"/>
              <w:szCs w:val="16"/>
            </w:rPr>
          </w:pPr>
          <w:r>
            <w:rPr>
              <w:rFonts w:ascii="Arial" w:hAnsi="Arial" w:cs="Arial"/>
              <w:sz w:val="16"/>
              <w:szCs w:val="16"/>
            </w:rPr>
            <w:t>Matt Parkes</w:t>
          </w:r>
        </w:p>
      </w:tc>
      <w:tc>
        <w:tcPr>
          <w:tcW w:w="1619" w:type="dxa"/>
          <w:tcBorders>
            <w:top w:val="single" w:sz="4" w:space="0" w:color="000000"/>
            <w:left w:val="single" w:sz="4" w:space="0" w:color="000000"/>
            <w:bottom w:val="single" w:sz="4" w:space="0" w:color="000000"/>
            <w:right w:val="single" w:sz="4" w:space="0" w:color="000000"/>
          </w:tcBorders>
          <w:vAlign w:val="center"/>
        </w:tcPr>
        <w:p w14:paraId="564E6D42" w14:textId="0A268F9B" w:rsidR="004776CB" w:rsidRPr="00E13795" w:rsidRDefault="00ED2F65" w:rsidP="0015143D">
          <w:pPr>
            <w:tabs>
              <w:tab w:val="center" w:pos="819"/>
            </w:tabs>
            <w:spacing w:line="259" w:lineRule="auto"/>
            <w:jc w:val="center"/>
            <w:rPr>
              <w:rFonts w:ascii="Arial" w:hAnsi="Arial" w:cs="Arial"/>
              <w:sz w:val="16"/>
              <w:szCs w:val="16"/>
            </w:rPr>
          </w:pPr>
          <w:r>
            <w:rPr>
              <w:rFonts w:ascii="Arial" w:hAnsi="Arial" w:cs="Arial"/>
              <w:sz w:val="16"/>
              <w:szCs w:val="16"/>
            </w:rPr>
            <w:t>13.11.2025</w:t>
          </w:r>
        </w:p>
      </w:tc>
      <w:tc>
        <w:tcPr>
          <w:tcW w:w="1474" w:type="dxa"/>
          <w:tcBorders>
            <w:top w:val="single" w:sz="4" w:space="0" w:color="000000"/>
            <w:left w:val="single" w:sz="4" w:space="0" w:color="000000"/>
            <w:bottom w:val="single" w:sz="4" w:space="0" w:color="000000"/>
            <w:right w:val="single" w:sz="4" w:space="0" w:color="000000"/>
          </w:tcBorders>
          <w:vAlign w:val="center"/>
        </w:tcPr>
        <w:p w14:paraId="19C25A57" w14:textId="77777777" w:rsidR="004776CB" w:rsidRPr="00E13795" w:rsidRDefault="004776CB" w:rsidP="0015143D">
          <w:pPr>
            <w:spacing w:line="259" w:lineRule="auto"/>
            <w:ind w:left="8"/>
            <w:jc w:val="center"/>
            <w:rPr>
              <w:rFonts w:ascii="Arial" w:hAnsi="Arial" w:cs="Arial"/>
              <w:sz w:val="16"/>
              <w:szCs w:val="16"/>
            </w:rPr>
          </w:pPr>
          <w:r w:rsidRPr="00E13795">
            <w:rPr>
              <w:rFonts w:ascii="Arial" w:hAnsi="Arial" w:cs="Arial"/>
              <w:sz w:val="16"/>
              <w:szCs w:val="16"/>
            </w:rPr>
            <w:t xml:space="preserve">Page </w:t>
          </w:r>
          <w:r w:rsidRPr="00E13795">
            <w:rPr>
              <w:rFonts w:ascii="Arial" w:hAnsi="Arial" w:cs="Arial"/>
              <w:sz w:val="16"/>
              <w:szCs w:val="16"/>
            </w:rPr>
            <w:fldChar w:fldCharType="begin"/>
          </w:r>
          <w:r w:rsidRPr="00E13795">
            <w:rPr>
              <w:rFonts w:ascii="Arial" w:hAnsi="Arial" w:cs="Arial"/>
              <w:sz w:val="16"/>
              <w:szCs w:val="16"/>
            </w:rPr>
            <w:instrText xml:space="preserve"> PAGE   \* MERGEFORMAT </w:instrText>
          </w:r>
          <w:r w:rsidRPr="00E13795">
            <w:rPr>
              <w:rFonts w:ascii="Arial" w:hAnsi="Arial" w:cs="Arial"/>
              <w:sz w:val="16"/>
              <w:szCs w:val="16"/>
            </w:rPr>
            <w:fldChar w:fldCharType="separate"/>
          </w:r>
          <w:r w:rsidRPr="00E13795">
            <w:rPr>
              <w:rFonts w:ascii="Arial" w:hAnsi="Arial" w:cs="Arial"/>
              <w:sz w:val="16"/>
              <w:szCs w:val="16"/>
            </w:rPr>
            <w:t>1</w:t>
          </w:r>
          <w:r w:rsidRPr="00E13795">
            <w:rPr>
              <w:rFonts w:ascii="Arial" w:hAnsi="Arial" w:cs="Arial"/>
              <w:sz w:val="16"/>
              <w:szCs w:val="16"/>
            </w:rPr>
            <w:fldChar w:fldCharType="end"/>
          </w:r>
          <w:r w:rsidRPr="00E13795">
            <w:rPr>
              <w:rFonts w:ascii="Arial" w:hAnsi="Arial" w:cs="Arial"/>
              <w:sz w:val="16"/>
              <w:szCs w:val="16"/>
            </w:rPr>
            <w:t xml:space="preserve"> of </w:t>
          </w:r>
          <w:r w:rsidRPr="00E13795">
            <w:rPr>
              <w:rFonts w:ascii="Arial" w:hAnsi="Arial" w:cs="Arial"/>
              <w:sz w:val="16"/>
              <w:szCs w:val="16"/>
            </w:rPr>
            <w:fldChar w:fldCharType="begin"/>
          </w:r>
          <w:r w:rsidRPr="00E13795">
            <w:rPr>
              <w:rFonts w:ascii="Arial" w:hAnsi="Arial" w:cs="Arial"/>
              <w:sz w:val="16"/>
              <w:szCs w:val="16"/>
            </w:rPr>
            <w:instrText xml:space="preserve"> NUMPAGES   \* MERGEFORMAT </w:instrText>
          </w:r>
          <w:r w:rsidRPr="00E13795">
            <w:rPr>
              <w:rFonts w:ascii="Arial" w:hAnsi="Arial" w:cs="Arial"/>
              <w:sz w:val="16"/>
              <w:szCs w:val="16"/>
            </w:rPr>
            <w:fldChar w:fldCharType="separate"/>
          </w:r>
          <w:r w:rsidRPr="00E13795">
            <w:rPr>
              <w:rFonts w:ascii="Arial" w:hAnsi="Arial" w:cs="Arial"/>
              <w:sz w:val="16"/>
              <w:szCs w:val="16"/>
            </w:rPr>
            <w:t>3</w:t>
          </w:r>
          <w:r w:rsidRPr="00E13795">
            <w:rPr>
              <w:rFonts w:ascii="Arial" w:hAnsi="Arial" w:cs="Arial"/>
              <w:sz w:val="16"/>
              <w:szCs w:val="16"/>
            </w:rPr>
            <w:fldChar w:fldCharType="end"/>
          </w:r>
        </w:p>
      </w:tc>
    </w:tr>
  </w:tbl>
  <w:p w14:paraId="606271EE" w14:textId="77777777" w:rsidR="009F766D" w:rsidRPr="00FB0AFD" w:rsidRDefault="009F766D" w:rsidP="00A657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D203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F9691B"/>
    <w:multiLevelType w:val="hybridMultilevel"/>
    <w:tmpl w:val="FC9EF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973A2"/>
    <w:multiLevelType w:val="hybridMultilevel"/>
    <w:tmpl w:val="B6DC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0467A"/>
    <w:multiLevelType w:val="hybridMultilevel"/>
    <w:tmpl w:val="CEB46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56C5B"/>
    <w:multiLevelType w:val="hybridMultilevel"/>
    <w:tmpl w:val="7CA43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C3A83"/>
    <w:multiLevelType w:val="hybridMultilevel"/>
    <w:tmpl w:val="D25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74C9C"/>
    <w:multiLevelType w:val="hybridMultilevel"/>
    <w:tmpl w:val="5F163AF0"/>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B47D1"/>
    <w:multiLevelType w:val="hybridMultilevel"/>
    <w:tmpl w:val="828E0C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0C0B6C"/>
    <w:multiLevelType w:val="hybridMultilevel"/>
    <w:tmpl w:val="5EDEEE9E"/>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6A16FF"/>
    <w:multiLevelType w:val="hybridMultilevel"/>
    <w:tmpl w:val="5264589E"/>
    <w:lvl w:ilvl="0" w:tplc="08090001">
      <w:start w:val="1"/>
      <w:numFmt w:val="bullet"/>
      <w:lvlText w:val=""/>
      <w:lvlJc w:val="left"/>
      <w:pPr>
        <w:ind w:left="720" w:hanging="360"/>
      </w:pPr>
      <w:rPr>
        <w:rFonts w:ascii="Symbol" w:hAnsi="Symbol" w:hint="default"/>
      </w:rPr>
    </w:lvl>
    <w:lvl w:ilvl="1" w:tplc="167ACC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5387A"/>
    <w:multiLevelType w:val="hybridMultilevel"/>
    <w:tmpl w:val="9B105A12"/>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B8169B6E">
      <w:start w:val="1"/>
      <w:numFmt w:val="bullet"/>
      <w:lvlText w:val="-"/>
      <w:lvlJc w:val="left"/>
      <w:pPr>
        <w:ind w:left="2160" w:hanging="36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D6F26"/>
    <w:multiLevelType w:val="hybridMultilevel"/>
    <w:tmpl w:val="1DDE3E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51AE"/>
    <w:multiLevelType w:val="hybridMultilevel"/>
    <w:tmpl w:val="7224405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7900AE"/>
    <w:multiLevelType w:val="hybridMultilevel"/>
    <w:tmpl w:val="7F124B40"/>
    <w:lvl w:ilvl="0" w:tplc="08090003" w:tentative="1">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FF50EB"/>
    <w:multiLevelType w:val="hybridMultilevel"/>
    <w:tmpl w:val="2774D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C1037"/>
    <w:multiLevelType w:val="hybridMultilevel"/>
    <w:tmpl w:val="7570EE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5D34AA"/>
    <w:multiLevelType w:val="hybridMultilevel"/>
    <w:tmpl w:val="269C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7C224B"/>
    <w:multiLevelType w:val="hybridMultilevel"/>
    <w:tmpl w:val="8B2458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30E06"/>
    <w:multiLevelType w:val="hybridMultilevel"/>
    <w:tmpl w:val="FF169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9721F"/>
    <w:multiLevelType w:val="hybridMultilevel"/>
    <w:tmpl w:val="88D0F2D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8372E0"/>
    <w:multiLevelType w:val="hybridMultilevel"/>
    <w:tmpl w:val="A1C219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A4492"/>
    <w:multiLevelType w:val="hybridMultilevel"/>
    <w:tmpl w:val="AB5A2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AC07E71"/>
    <w:multiLevelType w:val="multilevel"/>
    <w:tmpl w:val="388CBB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AEE62CE"/>
    <w:multiLevelType w:val="hybridMultilevel"/>
    <w:tmpl w:val="72E2A92C"/>
    <w:lvl w:ilvl="0" w:tplc="C9AA18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A4174E"/>
    <w:multiLevelType w:val="hybridMultilevel"/>
    <w:tmpl w:val="99A03E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2A260A"/>
    <w:multiLevelType w:val="hybridMultilevel"/>
    <w:tmpl w:val="FB1E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F7114"/>
    <w:multiLevelType w:val="hybridMultilevel"/>
    <w:tmpl w:val="95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6E4148"/>
    <w:multiLevelType w:val="multilevel"/>
    <w:tmpl w:val="363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F3562F"/>
    <w:multiLevelType w:val="hybridMultilevel"/>
    <w:tmpl w:val="23A03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92AEF"/>
    <w:multiLevelType w:val="hybridMultilevel"/>
    <w:tmpl w:val="804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B69C7"/>
    <w:multiLevelType w:val="hybridMultilevel"/>
    <w:tmpl w:val="8B1E6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D6099E"/>
    <w:multiLevelType w:val="hybridMultilevel"/>
    <w:tmpl w:val="AD6A2AAA"/>
    <w:lvl w:ilvl="0" w:tplc="478C30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C816209"/>
    <w:multiLevelType w:val="hybridMultilevel"/>
    <w:tmpl w:val="E8FA798E"/>
    <w:lvl w:ilvl="0" w:tplc="FFFFFFFF">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19358E6"/>
    <w:multiLevelType w:val="hybridMultilevel"/>
    <w:tmpl w:val="5308B6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CA6200"/>
    <w:multiLevelType w:val="hybridMultilevel"/>
    <w:tmpl w:val="1E76E6AC"/>
    <w:lvl w:ilvl="0" w:tplc="A30ED7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3D2447"/>
    <w:multiLevelType w:val="hybridMultilevel"/>
    <w:tmpl w:val="A9EC354C"/>
    <w:lvl w:ilvl="0" w:tplc="478C30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8314596">
    <w:abstractNumId w:val="35"/>
  </w:num>
  <w:num w:numId="2" w16cid:durableId="123887507">
    <w:abstractNumId w:val="31"/>
  </w:num>
  <w:num w:numId="3" w16cid:durableId="1970161933">
    <w:abstractNumId w:val="10"/>
  </w:num>
  <w:num w:numId="4" w16cid:durableId="1140684090">
    <w:abstractNumId w:val="32"/>
  </w:num>
  <w:num w:numId="5" w16cid:durableId="691104415">
    <w:abstractNumId w:val="12"/>
  </w:num>
  <w:num w:numId="6" w16cid:durableId="1087068894">
    <w:abstractNumId w:val="17"/>
  </w:num>
  <w:num w:numId="7" w16cid:durableId="1639798307">
    <w:abstractNumId w:val="18"/>
  </w:num>
  <w:num w:numId="8" w16cid:durableId="345131595">
    <w:abstractNumId w:val="22"/>
  </w:num>
  <w:num w:numId="9" w16cid:durableId="1325824">
    <w:abstractNumId w:val="11"/>
  </w:num>
  <w:num w:numId="10" w16cid:durableId="487019794">
    <w:abstractNumId w:val="24"/>
  </w:num>
  <w:num w:numId="11" w16cid:durableId="235672649">
    <w:abstractNumId w:val="28"/>
  </w:num>
  <w:num w:numId="12" w16cid:durableId="1663387981">
    <w:abstractNumId w:val="20"/>
  </w:num>
  <w:num w:numId="13" w16cid:durableId="954216994">
    <w:abstractNumId w:val="27"/>
  </w:num>
  <w:num w:numId="14" w16cid:durableId="1419473943">
    <w:abstractNumId w:val="26"/>
  </w:num>
  <w:num w:numId="15" w16cid:durableId="1555579717">
    <w:abstractNumId w:val="30"/>
  </w:num>
  <w:num w:numId="16" w16cid:durableId="76827058">
    <w:abstractNumId w:val="23"/>
  </w:num>
  <w:num w:numId="17" w16cid:durableId="1536967976">
    <w:abstractNumId w:val="19"/>
  </w:num>
  <w:num w:numId="18" w16cid:durableId="15473301">
    <w:abstractNumId w:val="1"/>
  </w:num>
  <w:num w:numId="19" w16cid:durableId="848645412">
    <w:abstractNumId w:val="9"/>
  </w:num>
  <w:num w:numId="20" w16cid:durableId="45110095">
    <w:abstractNumId w:val="13"/>
  </w:num>
  <w:num w:numId="21" w16cid:durableId="2016420928">
    <w:abstractNumId w:val="34"/>
  </w:num>
  <w:num w:numId="22" w16cid:durableId="676468380">
    <w:abstractNumId w:val="6"/>
  </w:num>
  <w:num w:numId="23" w16cid:durableId="941844154">
    <w:abstractNumId w:val="15"/>
  </w:num>
  <w:num w:numId="24" w16cid:durableId="1567228774">
    <w:abstractNumId w:val="5"/>
  </w:num>
  <w:num w:numId="25" w16cid:durableId="71704094">
    <w:abstractNumId w:val="4"/>
  </w:num>
  <w:num w:numId="26" w16cid:durableId="796993135">
    <w:abstractNumId w:val="8"/>
  </w:num>
  <w:num w:numId="27" w16cid:durableId="707609101">
    <w:abstractNumId w:val="33"/>
  </w:num>
  <w:num w:numId="28" w16cid:durableId="34477127">
    <w:abstractNumId w:val="2"/>
  </w:num>
  <w:num w:numId="29" w16cid:durableId="1464272902">
    <w:abstractNumId w:val="0"/>
  </w:num>
  <w:num w:numId="30" w16cid:durableId="1044059936">
    <w:abstractNumId w:val="21"/>
  </w:num>
  <w:num w:numId="31" w16cid:durableId="788277792">
    <w:abstractNumId w:val="16"/>
  </w:num>
  <w:num w:numId="32" w16cid:durableId="1878859065">
    <w:abstractNumId w:val="25"/>
  </w:num>
  <w:num w:numId="33" w16cid:durableId="178937243">
    <w:abstractNumId w:val="29"/>
  </w:num>
  <w:num w:numId="34" w16cid:durableId="1530292157">
    <w:abstractNumId w:val="3"/>
  </w:num>
  <w:num w:numId="35" w16cid:durableId="1731733541">
    <w:abstractNumId w:val="7"/>
  </w:num>
  <w:num w:numId="36" w16cid:durableId="1062603427">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B8"/>
    <w:rsid w:val="00003881"/>
    <w:rsid w:val="000161B8"/>
    <w:rsid w:val="00030433"/>
    <w:rsid w:val="00035B02"/>
    <w:rsid w:val="00054DA1"/>
    <w:rsid w:val="00055159"/>
    <w:rsid w:val="00087497"/>
    <w:rsid w:val="000A0958"/>
    <w:rsid w:val="000D5EF6"/>
    <w:rsid w:val="000D78E8"/>
    <w:rsid w:val="000E0E53"/>
    <w:rsid w:val="000E530E"/>
    <w:rsid w:val="000E64E6"/>
    <w:rsid w:val="00101507"/>
    <w:rsid w:val="001031E8"/>
    <w:rsid w:val="00112E6B"/>
    <w:rsid w:val="00145493"/>
    <w:rsid w:val="0015143D"/>
    <w:rsid w:val="00152910"/>
    <w:rsid w:val="00155647"/>
    <w:rsid w:val="00176FD6"/>
    <w:rsid w:val="001866DD"/>
    <w:rsid w:val="0019117D"/>
    <w:rsid w:val="00191455"/>
    <w:rsid w:val="001A146F"/>
    <w:rsid w:val="001B35DD"/>
    <w:rsid w:val="001B55CC"/>
    <w:rsid w:val="001E26B1"/>
    <w:rsid w:val="001E4CC1"/>
    <w:rsid w:val="001F6C91"/>
    <w:rsid w:val="0020176A"/>
    <w:rsid w:val="00204CEC"/>
    <w:rsid w:val="00211E68"/>
    <w:rsid w:val="002259DF"/>
    <w:rsid w:val="002269F5"/>
    <w:rsid w:val="00233679"/>
    <w:rsid w:val="00235DF7"/>
    <w:rsid w:val="00237AF5"/>
    <w:rsid w:val="00241FE2"/>
    <w:rsid w:val="002423B0"/>
    <w:rsid w:val="002513E8"/>
    <w:rsid w:val="00260545"/>
    <w:rsid w:val="00271883"/>
    <w:rsid w:val="0028038A"/>
    <w:rsid w:val="00284140"/>
    <w:rsid w:val="002874FD"/>
    <w:rsid w:val="002937E3"/>
    <w:rsid w:val="0029658F"/>
    <w:rsid w:val="00296A57"/>
    <w:rsid w:val="002C2BD5"/>
    <w:rsid w:val="002D1711"/>
    <w:rsid w:val="002D69EF"/>
    <w:rsid w:val="002E30A3"/>
    <w:rsid w:val="002F253C"/>
    <w:rsid w:val="0030490D"/>
    <w:rsid w:val="00310D53"/>
    <w:rsid w:val="00311800"/>
    <w:rsid w:val="00314600"/>
    <w:rsid w:val="003221E1"/>
    <w:rsid w:val="0032338C"/>
    <w:rsid w:val="00326B21"/>
    <w:rsid w:val="0032778F"/>
    <w:rsid w:val="00343121"/>
    <w:rsid w:val="003431E0"/>
    <w:rsid w:val="003461E0"/>
    <w:rsid w:val="00354493"/>
    <w:rsid w:val="00391F73"/>
    <w:rsid w:val="0039302D"/>
    <w:rsid w:val="003951F2"/>
    <w:rsid w:val="003B2143"/>
    <w:rsid w:val="003B2DB8"/>
    <w:rsid w:val="003B3F4F"/>
    <w:rsid w:val="003B4F2A"/>
    <w:rsid w:val="003C62EE"/>
    <w:rsid w:val="003C7A8C"/>
    <w:rsid w:val="003D1D88"/>
    <w:rsid w:val="003D3426"/>
    <w:rsid w:val="003E4DAB"/>
    <w:rsid w:val="004142CA"/>
    <w:rsid w:val="00415690"/>
    <w:rsid w:val="00415C8C"/>
    <w:rsid w:val="0042013C"/>
    <w:rsid w:val="0042783E"/>
    <w:rsid w:val="00436E11"/>
    <w:rsid w:val="00441E24"/>
    <w:rsid w:val="004554E3"/>
    <w:rsid w:val="00460FEB"/>
    <w:rsid w:val="00470084"/>
    <w:rsid w:val="00474E0E"/>
    <w:rsid w:val="004776CB"/>
    <w:rsid w:val="00482160"/>
    <w:rsid w:val="00484691"/>
    <w:rsid w:val="00487603"/>
    <w:rsid w:val="00495FAD"/>
    <w:rsid w:val="004A02FF"/>
    <w:rsid w:val="004A19BF"/>
    <w:rsid w:val="004B5622"/>
    <w:rsid w:val="004C285F"/>
    <w:rsid w:val="004D6B74"/>
    <w:rsid w:val="004E00E7"/>
    <w:rsid w:val="004E61BC"/>
    <w:rsid w:val="004F1356"/>
    <w:rsid w:val="004F1742"/>
    <w:rsid w:val="005101CF"/>
    <w:rsid w:val="00520C8B"/>
    <w:rsid w:val="0052124D"/>
    <w:rsid w:val="0052423B"/>
    <w:rsid w:val="00531346"/>
    <w:rsid w:val="00545077"/>
    <w:rsid w:val="005702C4"/>
    <w:rsid w:val="00571C88"/>
    <w:rsid w:val="00572EF1"/>
    <w:rsid w:val="00573DDF"/>
    <w:rsid w:val="00574A31"/>
    <w:rsid w:val="00583D07"/>
    <w:rsid w:val="005876FD"/>
    <w:rsid w:val="0059732E"/>
    <w:rsid w:val="005979A7"/>
    <w:rsid w:val="005A4B3D"/>
    <w:rsid w:val="005E6EF9"/>
    <w:rsid w:val="005E7C4A"/>
    <w:rsid w:val="005F7575"/>
    <w:rsid w:val="005F7F29"/>
    <w:rsid w:val="006164A5"/>
    <w:rsid w:val="00630017"/>
    <w:rsid w:val="006327A7"/>
    <w:rsid w:val="006328B4"/>
    <w:rsid w:val="00657907"/>
    <w:rsid w:val="00662A9A"/>
    <w:rsid w:val="006707A4"/>
    <w:rsid w:val="00674D94"/>
    <w:rsid w:val="006855A6"/>
    <w:rsid w:val="00690C4E"/>
    <w:rsid w:val="00694542"/>
    <w:rsid w:val="006A1503"/>
    <w:rsid w:val="006A1CD2"/>
    <w:rsid w:val="006A1ED6"/>
    <w:rsid w:val="006B127F"/>
    <w:rsid w:val="006B3D03"/>
    <w:rsid w:val="006C47B0"/>
    <w:rsid w:val="006E68CB"/>
    <w:rsid w:val="006F0AFC"/>
    <w:rsid w:val="00700FEE"/>
    <w:rsid w:val="00701C5F"/>
    <w:rsid w:val="007065FE"/>
    <w:rsid w:val="007159A7"/>
    <w:rsid w:val="00730089"/>
    <w:rsid w:val="00730A63"/>
    <w:rsid w:val="007339F9"/>
    <w:rsid w:val="0074216D"/>
    <w:rsid w:val="00751C73"/>
    <w:rsid w:val="00754721"/>
    <w:rsid w:val="00786BF0"/>
    <w:rsid w:val="0079441E"/>
    <w:rsid w:val="007A78EC"/>
    <w:rsid w:val="007B4C15"/>
    <w:rsid w:val="007B58E2"/>
    <w:rsid w:val="007C1F46"/>
    <w:rsid w:val="007C294A"/>
    <w:rsid w:val="007C50B5"/>
    <w:rsid w:val="007D00E5"/>
    <w:rsid w:val="007E5669"/>
    <w:rsid w:val="007E659C"/>
    <w:rsid w:val="007F042F"/>
    <w:rsid w:val="0080283A"/>
    <w:rsid w:val="00815A9F"/>
    <w:rsid w:val="008266C1"/>
    <w:rsid w:val="00830CA2"/>
    <w:rsid w:val="008352B7"/>
    <w:rsid w:val="00837AD3"/>
    <w:rsid w:val="00843CEB"/>
    <w:rsid w:val="0084402A"/>
    <w:rsid w:val="0085221F"/>
    <w:rsid w:val="008701F9"/>
    <w:rsid w:val="0087181B"/>
    <w:rsid w:val="00873B76"/>
    <w:rsid w:val="00886B6D"/>
    <w:rsid w:val="008950AF"/>
    <w:rsid w:val="008B0E89"/>
    <w:rsid w:val="008C30CE"/>
    <w:rsid w:val="008C32A5"/>
    <w:rsid w:val="008D0831"/>
    <w:rsid w:val="008D3922"/>
    <w:rsid w:val="008D5A0C"/>
    <w:rsid w:val="008E5423"/>
    <w:rsid w:val="008E7A2C"/>
    <w:rsid w:val="008F40B8"/>
    <w:rsid w:val="00914025"/>
    <w:rsid w:val="009147B4"/>
    <w:rsid w:val="00923CC0"/>
    <w:rsid w:val="0095646C"/>
    <w:rsid w:val="00961031"/>
    <w:rsid w:val="009719CC"/>
    <w:rsid w:val="0098292A"/>
    <w:rsid w:val="00986EB0"/>
    <w:rsid w:val="009C11AF"/>
    <w:rsid w:val="009C525B"/>
    <w:rsid w:val="009C7BDC"/>
    <w:rsid w:val="009D1DD0"/>
    <w:rsid w:val="009E15D4"/>
    <w:rsid w:val="009E2DE4"/>
    <w:rsid w:val="009E620A"/>
    <w:rsid w:val="009E6220"/>
    <w:rsid w:val="009F766D"/>
    <w:rsid w:val="00A05483"/>
    <w:rsid w:val="00A07B06"/>
    <w:rsid w:val="00A24D1D"/>
    <w:rsid w:val="00A375C9"/>
    <w:rsid w:val="00A413B3"/>
    <w:rsid w:val="00A42832"/>
    <w:rsid w:val="00A54125"/>
    <w:rsid w:val="00A55C78"/>
    <w:rsid w:val="00A60F47"/>
    <w:rsid w:val="00A657ED"/>
    <w:rsid w:val="00A70849"/>
    <w:rsid w:val="00A72077"/>
    <w:rsid w:val="00A758E6"/>
    <w:rsid w:val="00A867F5"/>
    <w:rsid w:val="00AB188E"/>
    <w:rsid w:val="00AC1C9F"/>
    <w:rsid w:val="00AF4E2B"/>
    <w:rsid w:val="00AF6F29"/>
    <w:rsid w:val="00B00F0B"/>
    <w:rsid w:val="00B06427"/>
    <w:rsid w:val="00B41919"/>
    <w:rsid w:val="00B440EC"/>
    <w:rsid w:val="00B45911"/>
    <w:rsid w:val="00B51441"/>
    <w:rsid w:val="00B61B1C"/>
    <w:rsid w:val="00B6275D"/>
    <w:rsid w:val="00B6417F"/>
    <w:rsid w:val="00B64EC5"/>
    <w:rsid w:val="00B7272C"/>
    <w:rsid w:val="00B76D86"/>
    <w:rsid w:val="00B81B0E"/>
    <w:rsid w:val="00B9042F"/>
    <w:rsid w:val="00B90661"/>
    <w:rsid w:val="00B9227F"/>
    <w:rsid w:val="00B922F2"/>
    <w:rsid w:val="00B97C20"/>
    <w:rsid w:val="00BA09B9"/>
    <w:rsid w:val="00BA4560"/>
    <w:rsid w:val="00BB5AD9"/>
    <w:rsid w:val="00BC51B0"/>
    <w:rsid w:val="00BC5FC0"/>
    <w:rsid w:val="00BD1D06"/>
    <w:rsid w:val="00BD2338"/>
    <w:rsid w:val="00BE5296"/>
    <w:rsid w:val="00C0081D"/>
    <w:rsid w:val="00C02251"/>
    <w:rsid w:val="00C10830"/>
    <w:rsid w:val="00C10C05"/>
    <w:rsid w:val="00C16B82"/>
    <w:rsid w:val="00C2630E"/>
    <w:rsid w:val="00C3413A"/>
    <w:rsid w:val="00C35047"/>
    <w:rsid w:val="00C57DDD"/>
    <w:rsid w:val="00C601DF"/>
    <w:rsid w:val="00C67605"/>
    <w:rsid w:val="00C91C5B"/>
    <w:rsid w:val="00C93191"/>
    <w:rsid w:val="00CB66A8"/>
    <w:rsid w:val="00CB7101"/>
    <w:rsid w:val="00CC4B24"/>
    <w:rsid w:val="00CE1ADC"/>
    <w:rsid w:val="00CE30FF"/>
    <w:rsid w:val="00CE5463"/>
    <w:rsid w:val="00CF5596"/>
    <w:rsid w:val="00D010CA"/>
    <w:rsid w:val="00D017D8"/>
    <w:rsid w:val="00D026BF"/>
    <w:rsid w:val="00D04B44"/>
    <w:rsid w:val="00D1322D"/>
    <w:rsid w:val="00D1648B"/>
    <w:rsid w:val="00D301FA"/>
    <w:rsid w:val="00D32DC0"/>
    <w:rsid w:val="00D33094"/>
    <w:rsid w:val="00D4324E"/>
    <w:rsid w:val="00D6552C"/>
    <w:rsid w:val="00D923FD"/>
    <w:rsid w:val="00DA2127"/>
    <w:rsid w:val="00DB044A"/>
    <w:rsid w:val="00DB0F27"/>
    <w:rsid w:val="00DB4C0D"/>
    <w:rsid w:val="00DD1D9A"/>
    <w:rsid w:val="00DD2B6D"/>
    <w:rsid w:val="00DE02A0"/>
    <w:rsid w:val="00DE1DD1"/>
    <w:rsid w:val="00DE30EB"/>
    <w:rsid w:val="00DE3ED6"/>
    <w:rsid w:val="00DE448F"/>
    <w:rsid w:val="00DF4520"/>
    <w:rsid w:val="00DF7A85"/>
    <w:rsid w:val="00E13795"/>
    <w:rsid w:val="00E150E3"/>
    <w:rsid w:val="00E23E60"/>
    <w:rsid w:val="00E24043"/>
    <w:rsid w:val="00E43460"/>
    <w:rsid w:val="00E51490"/>
    <w:rsid w:val="00E52D5B"/>
    <w:rsid w:val="00E54634"/>
    <w:rsid w:val="00E635AE"/>
    <w:rsid w:val="00E71CF6"/>
    <w:rsid w:val="00E800CC"/>
    <w:rsid w:val="00EA0B9D"/>
    <w:rsid w:val="00EA4606"/>
    <w:rsid w:val="00EA5497"/>
    <w:rsid w:val="00EB67C6"/>
    <w:rsid w:val="00EC0BB4"/>
    <w:rsid w:val="00EC4B26"/>
    <w:rsid w:val="00EC7311"/>
    <w:rsid w:val="00ED2F65"/>
    <w:rsid w:val="00EE0F58"/>
    <w:rsid w:val="00EE73CC"/>
    <w:rsid w:val="00F01947"/>
    <w:rsid w:val="00F04A17"/>
    <w:rsid w:val="00F1034D"/>
    <w:rsid w:val="00F12E1E"/>
    <w:rsid w:val="00F1408D"/>
    <w:rsid w:val="00F23A79"/>
    <w:rsid w:val="00F36CA2"/>
    <w:rsid w:val="00F67A87"/>
    <w:rsid w:val="00F74883"/>
    <w:rsid w:val="00F83B3A"/>
    <w:rsid w:val="00F954A2"/>
    <w:rsid w:val="00FB0AFD"/>
    <w:rsid w:val="00FD7B00"/>
    <w:rsid w:val="00FE2503"/>
    <w:rsid w:val="00FE32BE"/>
    <w:rsid w:val="00FE5D6E"/>
    <w:rsid w:val="00FF3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EF74"/>
  <w15:chartTrackingRefBased/>
  <w15:docId w15:val="{85CF2608-35AD-4115-93E5-6ABDCF87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F6"/>
    <w:rPr>
      <w:lang w:val="en-US" w:eastAsia="en-US"/>
    </w:rPr>
  </w:style>
  <w:style w:type="paragraph" w:styleId="Heading1">
    <w:name w:val="heading 1"/>
    <w:basedOn w:val="Normal"/>
    <w:next w:val="Normal"/>
    <w:link w:val="Heading1Char"/>
    <w:uiPriority w:val="99"/>
    <w:qFormat/>
    <w:rsid w:val="00F83B3A"/>
    <w:pPr>
      <w:keepNext/>
      <w:outlineLvl w:val="0"/>
    </w:pPr>
    <w:rPr>
      <w:rFonts w:ascii="Verdana" w:hAnsi="Verdana" w:cs="Verdana"/>
      <w:b/>
      <w:bCs/>
      <w:sz w:val="18"/>
      <w:szCs w:val="18"/>
    </w:rPr>
  </w:style>
  <w:style w:type="paragraph" w:styleId="Heading2">
    <w:name w:val="heading 2"/>
    <w:basedOn w:val="Normal"/>
    <w:next w:val="Normal"/>
    <w:link w:val="Heading2Char"/>
    <w:semiHidden/>
    <w:unhideWhenUsed/>
    <w:qFormat/>
    <w:locked/>
    <w:rsid w:val="00F04A1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F04A1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25FEA"/>
    <w:rPr>
      <w:rFonts w:ascii="Cambria" w:eastAsia="Times New Roman" w:hAnsi="Cambria" w:cs="Times New Roman"/>
      <w:b/>
      <w:bCs/>
      <w:kern w:val="32"/>
      <w:sz w:val="32"/>
      <w:szCs w:val="32"/>
    </w:rPr>
  </w:style>
  <w:style w:type="paragraph" w:styleId="Header">
    <w:name w:val="header"/>
    <w:basedOn w:val="Normal"/>
    <w:link w:val="HeaderChar"/>
    <w:uiPriority w:val="99"/>
    <w:rsid w:val="00F83B3A"/>
    <w:pPr>
      <w:tabs>
        <w:tab w:val="center" w:pos="4320"/>
        <w:tab w:val="right" w:pos="8640"/>
      </w:tabs>
    </w:pPr>
  </w:style>
  <w:style w:type="character" w:customStyle="1" w:styleId="HeaderChar">
    <w:name w:val="Header Char"/>
    <w:basedOn w:val="DefaultParagraphFont"/>
    <w:link w:val="Header"/>
    <w:uiPriority w:val="99"/>
    <w:locked/>
    <w:rsid w:val="008266C1"/>
  </w:style>
  <w:style w:type="paragraph" w:styleId="Footer">
    <w:name w:val="footer"/>
    <w:basedOn w:val="Normal"/>
    <w:link w:val="FooterChar"/>
    <w:uiPriority w:val="99"/>
    <w:rsid w:val="00F83B3A"/>
    <w:pPr>
      <w:tabs>
        <w:tab w:val="center" w:pos="4320"/>
        <w:tab w:val="right" w:pos="8640"/>
      </w:tabs>
    </w:pPr>
  </w:style>
  <w:style w:type="character" w:customStyle="1" w:styleId="FooterChar">
    <w:name w:val="Footer Char"/>
    <w:basedOn w:val="DefaultParagraphFont"/>
    <w:link w:val="Footer"/>
    <w:uiPriority w:val="99"/>
    <w:locked/>
    <w:rsid w:val="001B35DD"/>
  </w:style>
  <w:style w:type="character" w:styleId="PageNumber">
    <w:name w:val="page number"/>
    <w:basedOn w:val="DefaultParagraphFont"/>
    <w:uiPriority w:val="99"/>
    <w:rsid w:val="008266C1"/>
  </w:style>
  <w:style w:type="paragraph" w:styleId="BodyText3">
    <w:name w:val="Body Text 3"/>
    <w:basedOn w:val="Normal"/>
    <w:link w:val="BodyText3Char"/>
    <w:rsid w:val="00311800"/>
    <w:pPr>
      <w:spacing w:after="120"/>
    </w:pPr>
    <w:rPr>
      <w:sz w:val="16"/>
      <w:szCs w:val="16"/>
      <w:lang w:val="en-GB"/>
    </w:rPr>
  </w:style>
  <w:style w:type="character" w:customStyle="1" w:styleId="BodyText3Char">
    <w:name w:val="Body Text 3 Char"/>
    <w:link w:val="BodyText3"/>
    <w:rsid w:val="00311800"/>
    <w:rPr>
      <w:sz w:val="16"/>
      <w:szCs w:val="16"/>
      <w:lang w:eastAsia="en-US"/>
    </w:rPr>
  </w:style>
  <w:style w:type="table" w:styleId="TableGrid">
    <w:name w:val="Table Grid"/>
    <w:basedOn w:val="TableNormal"/>
    <w:uiPriority w:val="59"/>
    <w:rsid w:val="008950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E0E53"/>
    <w:rPr>
      <w:rFonts w:ascii="Tahoma" w:hAnsi="Tahoma" w:cs="Tahoma"/>
      <w:sz w:val="16"/>
      <w:szCs w:val="16"/>
    </w:rPr>
  </w:style>
  <w:style w:type="character" w:customStyle="1" w:styleId="BalloonTextChar">
    <w:name w:val="Balloon Text Char"/>
    <w:link w:val="BalloonText"/>
    <w:uiPriority w:val="99"/>
    <w:semiHidden/>
    <w:rsid w:val="000E0E53"/>
    <w:rPr>
      <w:rFonts w:ascii="Tahoma" w:hAnsi="Tahoma" w:cs="Tahoma"/>
      <w:sz w:val="16"/>
      <w:szCs w:val="16"/>
    </w:rPr>
  </w:style>
  <w:style w:type="paragraph" w:styleId="ListParagraph">
    <w:name w:val="List Paragraph"/>
    <w:basedOn w:val="Normal"/>
    <w:uiPriority w:val="99"/>
    <w:qFormat/>
    <w:rsid w:val="00E52D5B"/>
    <w:pPr>
      <w:ind w:left="720"/>
    </w:pPr>
  </w:style>
  <w:style w:type="character" w:customStyle="1" w:styleId="Heading2Char">
    <w:name w:val="Heading 2 Char"/>
    <w:link w:val="Heading2"/>
    <w:semiHidden/>
    <w:rsid w:val="00F04A17"/>
    <w:rPr>
      <w:rFonts w:ascii="Calibri Light" w:eastAsia="Times New Roman" w:hAnsi="Calibri Light" w:cs="Times New Roman"/>
      <w:b/>
      <w:bCs/>
      <w:i/>
      <w:iCs/>
      <w:sz w:val="28"/>
      <w:szCs w:val="28"/>
      <w:lang w:val="en-US" w:eastAsia="en-US"/>
    </w:rPr>
  </w:style>
  <w:style w:type="character" w:customStyle="1" w:styleId="Heading3Char">
    <w:name w:val="Heading 3 Char"/>
    <w:link w:val="Heading3"/>
    <w:semiHidden/>
    <w:rsid w:val="00F04A17"/>
    <w:rPr>
      <w:rFonts w:ascii="Calibri Light" w:eastAsia="Times New Roman" w:hAnsi="Calibri Light" w:cs="Times New Roman"/>
      <w:b/>
      <w:bCs/>
      <w:sz w:val="26"/>
      <w:szCs w:val="26"/>
      <w:lang w:val="en-US" w:eastAsia="en-US"/>
    </w:rPr>
  </w:style>
  <w:style w:type="table" w:customStyle="1" w:styleId="TableGrid0">
    <w:name w:val="TableGrid"/>
    <w:rsid w:val="00FB0AFD"/>
    <w:rPr>
      <w:rFonts w:ascii="Aptos" w:hAnsi="Aptos"/>
      <w:kern w:val="2"/>
      <w:sz w:val="24"/>
      <w:szCs w:val="24"/>
    </w:rPr>
    <w:tblPr>
      <w:tblCellMar>
        <w:top w:w="0" w:type="dxa"/>
        <w:left w:w="0" w:type="dxa"/>
        <w:bottom w:w="0" w:type="dxa"/>
        <w:right w:w="0" w:type="dxa"/>
      </w:tblCellMar>
    </w:tblPr>
  </w:style>
  <w:style w:type="table" w:customStyle="1" w:styleId="TableGrid1">
    <w:name w:val="TableGrid1"/>
    <w:rsid w:val="00FB0AFD"/>
    <w:rPr>
      <w:rFonts w:ascii="Aptos" w:hAnsi="Aptos"/>
      <w:kern w:val="2"/>
      <w:sz w:val="24"/>
      <w:szCs w:val="24"/>
    </w:rPr>
    <w:tblPr>
      <w:tblCellMar>
        <w:top w:w="0" w:type="dxa"/>
        <w:left w:w="0" w:type="dxa"/>
        <w:bottom w:w="0" w:type="dxa"/>
        <w:right w:w="0" w:type="dxa"/>
      </w:tblCellMar>
    </w:tblPr>
  </w:style>
  <w:style w:type="character" w:styleId="PlaceholderText">
    <w:name w:val="Placeholder Text"/>
    <w:basedOn w:val="DefaultParagraphFont"/>
    <w:uiPriority w:val="99"/>
    <w:semiHidden/>
    <w:rsid w:val="00BD1D06"/>
    <w:rPr>
      <w:color w:val="666666"/>
    </w:rPr>
  </w:style>
  <w:style w:type="paragraph" w:styleId="ListBullet">
    <w:name w:val="List Bullet"/>
    <w:basedOn w:val="Normal"/>
    <w:uiPriority w:val="99"/>
    <w:unhideWhenUsed/>
    <w:rsid w:val="00751C7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4715">
      <w:bodyDiv w:val="1"/>
      <w:marLeft w:val="0"/>
      <w:marRight w:val="0"/>
      <w:marTop w:val="0"/>
      <w:marBottom w:val="0"/>
      <w:divBdr>
        <w:top w:val="none" w:sz="0" w:space="0" w:color="auto"/>
        <w:left w:val="none" w:sz="0" w:space="0" w:color="auto"/>
        <w:bottom w:val="none" w:sz="0" w:space="0" w:color="auto"/>
        <w:right w:val="none" w:sz="0" w:space="0" w:color="auto"/>
      </w:divBdr>
    </w:div>
    <w:div w:id="272981578">
      <w:bodyDiv w:val="1"/>
      <w:marLeft w:val="0"/>
      <w:marRight w:val="0"/>
      <w:marTop w:val="0"/>
      <w:marBottom w:val="0"/>
      <w:divBdr>
        <w:top w:val="none" w:sz="0" w:space="0" w:color="auto"/>
        <w:left w:val="none" w:sz="0" w:space="0" w:color="auto"/>
        <w:bottom w:val="none" w:sz="0" w:space="0" w:color="auto"/>
        <w:right w:val="none" w:sz="0" w:space="0" w:color="auto"/>
      </w:divBdr>
    </w:div>
    <w:div w:id="404573262">
      <w:bodyDiv w:val="1"/>
      <w:marLeft w:val="0"/>
      <w:marRight w:val="0"/>
      <w:marTop w:val="0"/>
      <w:marBottom w:val="0"/>
      <w:divBdr>
        <w:top w:val="none" w:sz="0" w:space="0" w:color="auto"/>
        <w:left w:val="none" w:sz="0" w:space="0" w:color="auto"/>
        <w:bottom w:val="none" w:sz="0" w:space="0" w:color="auto"/>
        <w:right w:val="none" w:sz="0" w:space="0" w:color="auto"/>
      </w:divBdr>
    </w:div>
    <w:div w:id="493843537">
      <w:bodyDiv w:val="1"/>
      <w:marLeft w:val="0"/>
      <w:marRight w:val="0"/>
      <w:marTop w:val="0"/>
      <w:marBottom w:val="0"/>
      <w:divBdr>
        <w:top w:val="none" w:sz="0" w:space="0" w:color="auto"/>
        <w:left w:val="none" w:sz="0" w:space="0" w:color="auto"/>
        <w:bottom w:val="none" w:sz="0" w:space="0" w:color="auto"/>
        <w:right w:val="none" w:sz="0" w:space="0" w:color="auto"/>
      </w:divBdr>
    </w:div>
    <w:div w:id="570509079">
      <w:bodyDiv w:val="1"/>
      <w:marLeft w:val="0"/>
      <w:marRight w:val="0"/>
      <w:marTop w:val="0"/>
      <w:marBottom w:val="0"/>
      <w:divBdr>
        <w:top w:val="none" w:sz="0" w:space="0" w:color="auto"/>
        <w:left w:val="none" w:sz="0" w:space="0" w:color="auto"/>
        <w:bottom w:val="none" w:sz="0" w:space="0" w:color="auto"/>
        <w:right w:val="none" w:sz="0" w:space="0" w:color="auto"/>
      </w:divBdr>
    </w:div>
    <w:div w:id="1129661778">
      <w:bodyDiv w:val="1"/>
      <w:marLeft w:val="0"/>
      <w:marRight w:val="0"/>
      <w:marTop w:val="0"/>
      <w:marBottom w:val="0"/>
      <w:divBdr>
        <w:top w:val="none" w:sz="0" w:space="0" w:color="auto"/>
        <w:left w:val="none" w:sz="0" w:space="0" w:color="auto"/>
        <w:bottom w:val="none" w:sz="0" w:space="0" w:color="auto"/>
        <w:right w:val="none" w:sz="0" w:space="0" w:color="auto"/>
      </w:divBdr>
    </w:div>
    <w:div w:id="1261138436">
      <w:bodyDiv w:val="1"/>
      <w:marLeft w:val="0"/>
      <w:marRight w:val="0"/>
      <w:marTop w:val="0"/>
      <w:marBottom w:val="0"/>
      <w:divBdr>
        <w:top w:val="none" w:sz="0" w:space="0" w:color="auto"/>
        <w:left w:val="none" w:sz="0" w:space="0" w:color="auto"/>
        <w:bottom w:val="none" w:sz="0" w:space="0" w:color="auto"/>
        <w:right w:val="none" w:sz="0" w:space="0" w:color="auto"/>
      </w:divBdr>
    </w:div>
    <w:div w:id="1302619100">
      <w:bodyDiv w:val="1"/>
      <w:marLeft w:val="0"/>
      <w:marRight w:val="0"/>
      <w:marTop w:val="0"/>
      <w:marBottom w:val="0"/>
      <w:divBdr>
        <w:top w:val="none" w:sz="0" w:space="0" w:color="auto"/>
        <w:left w:val="none" w:sz="0" w:space="0" w:color="auto"/>
        <w:bottom w:val="none" w:sz="0" w:space="0" w:color="auto"/>
        <w:right w:val="none" w:sz="0" w:space="0" w:color="auto"/>
      </w:divBdr>
    </w:div>
    <w:div w:id="1338577672">
      <w:bodyDiv w:val="1"/>
      <w:marLeft w:val="0"/>
      <w:marRight w:val="0"/>
      <w:marTop w:val="0"/>
      <w:marBottom w:val="0"/>
      <w:divBdr>
        <w:top w:val="none" w:sz="0" w:space="0" w:color="auto"/>
        <w:left w:val="none" w:sz="0" w:space="0" w:color="auto"/>
        <w:bottom w:val="none" w:sz="0" w:space="0" w:color="auto"/>
        <w:right w:val="none" w:sz="0" w:space="0" w:color="auto"/>
      </w:divBdr>
    </w:div>
    <w:div w:id="2018724538">
      <w:bodyDiv w:val="1"/>
      <w:marLeft w:val="0"/>
      <w:marRight w:val="0"/>
      <w:marTop w:val="0"/>
      <w:marBottom w:val="0"/>
      <w:divBdr>
        <w:top w:val="none" w:sz="0" w:space="0" w:color="auto"/>
        <w:left w:val="none" w:sz="0" w:space="0" w:color="auto"/>
        <w:bottom w:val="none" w:sz="0" w:space="0" w:color="auto"/>
        <w:right w:val="none" w:sz="0" w:space="0" w:color="auto"/>
      </w:divBdr>
    </w:div>
    <w:div w:id="2088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65e72-4413-4cff-aa40-50e617b95c52">
      <Terms xmlns="http://schemas.microsoft.com/office/infopath/2007/PartnerControls"/>
    </lcf76f155ced4ddcb4097134ff3c332f>
    <TaxCatchAll xmlns="662745e8-e224-48e8-a2e3-254862b8c2f5">
      <Value>41</Value>
      <Value>49</Value>
      <Value>11</Value>
      <Value>32</Value>
      <Value>14</Value>
    </TaxCatchAll>
    <EAReceivedDate xmlns="eebef177-55b5-4448-a5fb-28ea454417ee">2025-11-21T00:00:00+00:00</EAReceivedDate>
    <ga477587807b4e8dbd9d142e03c014fa xmlns="dbe221e7-66db-4bdb-a92c-aa517c005f15">
      <Terms xmlns="http://schemas.microsoft.com/office/infopath/2007/PartnerControls"/>
    </ga477587807b4e8dbd9d142e03c014fa>
    <PermitNumber xmlns="eebef177-55b5-4448-a5fb-28ea454417ee">EPR-RP3723MK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EPR/RP3723MK</OtherReference>
    <EventLink xmlns="5ffd8e36-f429-4edc-ab50-c5be84842779" xsi:nil="true"/>
    <Customer_x002f_OperatorName xmlns="eebef177-55b5-4448-a5fb-28ea454417ee">Inspired Global Cuisine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2025-11-21T00:00:00+00:00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EPR/RP3723MK</EPRNumber>
    <FacilityAddressPostcode xmlns="eebef177-55b5-4448-a5fb-28ea454417ee">OL9 9AB</FacilityAddressPostcode>
    <ed3cfd1978f244c4af5dc9d642a18018 xmlns="dbe221e7-66db-4bdb-a92c-aa517c005f15">
      <Terms xmlns="http://schemas.microsoft.com/office/infopath/2007/PartnerControls"/>
    </ed3cfd1978f244c4af5dc9d642a18018>
    <ExternalAuthor xmlns="eebef177-55b5-4448-a5fb-28ea454417ee">Oliver Cox </ExternalAuthor>
    <SiteName xmlns="eebef177-55b5-4448-a5fb-28ea454417ee">Inspired Global Cuisine Limited (IGC)</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Unit A, Lydia Becker Way, Oldham</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3AD430E-DF2E-42D0-8ACD-46B52426EF53}">
  <ds:schemaRefs>
    <ds:schemaRef ds:uri="http://schemas.microsoft.com/sharepoint/v3/contenttype/forms"/>
  </ds:schemaRefs>
</ds:datastoreItem>
</file>

<file path=customXml/itemProps2.xml><?xml version="1.0" encoding="utf-8"?>
<ds:datastoreItem xmlns:ds="http://schemas.openxmlformats.org/officeDocument/2006/customXml" ds:itemID="{B3372373-AFB4-433A-8D4D-9AC3C501EBDD}">
  <ds:schemaRefs>
    <ds:schemaRef ds:uri="http://schemas.microsoft.com/office/2006/metadata/properties"/>
    <ds:schemaRef ds:uri="http://schemas.microsoft.com/office/infopath/2007/PartnerControls"/>
    <ds:schemaRef ds:uri="d705fc6e-c3e5-4bff-bffd-49f76dfb7e7b"/>
    <ds:schemaRef ds:uri="3173ed6e-0eb2-4790-9f9b-b91e94c1ea48"/>
  </ds:schemaRefs>
</ds:datastoreItem>
</file>

<file path=customXml/itemProps3.xml><?xml version="1.0" encoding="utf-8"?>
<ds:datastoreItem xmlns:ds="http://schemas.openxmlformats.org/officeDocument/2006/customXml" ds:itemID="{461D7AF9-E3F1-4BFF-AED0-7635FA653858}">
  <ds:schemaRefs>
    <ds:schemaRef ds:uri="http://schemas.openxmlformats.org/officeDocument/2006/bibliography"/>
  </ds:schemaRefs>
</ds:datastoreItem>
</file>

<file path=customXml/itemProps4.xml><?xml version="1.0" encoding="utf-8"?>
<ds:datastoreItem xmlns:ds="http://schemas.openxmlformats.org/officeDocument/2006/customXml" ds:itemID="{430EDE07-3FDC-4490-ADF9-994F8666DBC2}"/>
</file>

<file path=customXml/itemProps5.xml><?xml version="1.0" encoding="utf-8"?>
<ds:datastoreItem xmlns:ds="http://schemas.openxmlformats.org/officeDocument/2006/customXml" ds:itemID="{09E0D84B-1F58-4180-9806-3AC4CE0E006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461</Words>
  <Characters>3041</Characters>
  <Application>Microsoft Office Word</Application>
  <DocSecurity>0</DocSecurity>
  <Lines>106</Lines>
  <Paragraphs>60</Paragraphs>
  <ScaleCrop>false</ScaleCrop>
  <HeadingPairs>
    <vt:vector size="2" baseType="variant">
      <vt:variant>
        <vt:lpstr>Title</vt:lpstr>
      </vt:variant>
      <vt:variant>
        <vt:i4>1</vt:i4>
      </vt:variant>
    </vt:vector>
  </HeadingPairs>
  <TitlesOfParts>
    <vt:vector size="1" baseType="lpstr">
      <vt:lpstr>Objective</vt:lpstr>
    </vt:vector>
  </TitlesOfParts>
  <Company>Gibsons Sandwiches</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subject/>
  <dc:creator>Rosslyn waugh</dc:creator>
  <cp:keywords/>
  <dc:description/>
  <cp:lastModifiedBy>Matthew Stott</cp:lastModifiedBy>
  <cp:revision>7</cp:revision>
  <cp:lastPrinted>2025-03-12T13:02:00Z</cp:lastPrinted>
  <dcterms:created xsi:type="dcterms:W3CDTF">2025-11-13T15:35:00Z</dcterms:created>
  <dcterms:modified xsi:type="dcterms:W3CDTF">2025-11-21T13:27:00Z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Matthew Stott</vt:lpwstr>
  </property>
  <property fmtid="{D5CDD505-2E9C-101B-9397-08002B2CF9AE}" pid="4" name="Order">
    <vt:lpwstr>133600.000000000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Matthew Stott</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0x0101000E9AD557692E154F9D2697C8C6432F76006AA1E3962CF72F4698A24DEEB897244E</vt:lpwstr>
  </property>
  <property fmtid="{D5CDD505-2E9C-101B-9397-08002B2CF9AE}" pid="12" name="TriggerFlowInfo">
    <vt:lpwstr/>
  </property>
  <property fmtid="{D5CDD505-2E9C-101B-9397-08002B2CF9AE}" pid="13" name="PermitDocumentType">
    <vt:lpwstr/>
  </property>
  <property fmtid="{D5CDD505-2E9C-101B-9397-08002B2CF9AE}" pid="14" name="MediaServiceImageTags">
    <vt:lpwstr/>
  </property>
  <property fmtid="{D5CDD505-2E9C-101B-9397-08002B2CF9AE}" pid="15" name="TypeofPermit">
    <vt:lpwstr>32;#Bespoke|743fbb82-64b4-442a-8bac-afa632175399</vt:lpwstr>
  </property>
  <property fmtid="{D5CDD505-2E9C-101B-9397-08002B2CF9AE}" pid="16" name="DisclosureStatus">
    <vt:lpwstr>41;#Public Register|f1fcf6a6-5d97-4f1d-964e-a2f916eb1f18</vt:lpwstr>
  </property>
  <property fmtid="{D5CDD505-2E9C-101B-9397-08002B2CF9AE}" pid="17" name="ActivityGrouping">
    <vt:lpwstr>14;#Application ＆ Associated Docs|5eadfd3c-6deb-44e1-b7e1-16accd427bec</vt:lpwstr>
  </property>
  <property fmtid="{D5CDD505-2E9C-101B-9397-08002B2CF9AE}" pid="18" name="Catchment">
    <vt:lpwstr/>
  </property>
  <property fmtid="{D5CDD505-2E9C-101B-9397-08002B2CF9AE}" pid="19" name="MajorProjectID">
    <vt:lpwstr/>
  </property>
  <property fmtid="{D5CDD505-2E9C-101B-9397-08002B2CF9AE}" pid="20" name="StandardRulesID">
    <vt:lpwstr/>
  </property>
  <property fmtid="{D5CDD505-2E9C-101B-9397-08002B2CF9AE}" pid="21" name="CessationStatus">
    <vt:lpwstr/>
  </property>
  <property fmtid="{D5CDD505-2E9C-101B-9397-08002B2CF9AE}" pid="22" name="Regime">
    <vt:lpwstr>11;#EPR|0e5af97d-1a8c-4d8f-a20b-528a11cab1f6</vt:lpwstr>
  </property>
  <property fmtid="{D5CDD505-2E9C-101B-9397-08002B2CF9AE}" pid="23" name="RegulatedActivitySub_x002d_Class">
    <vt:lpwstr/>
  </property>
  <property fmtid="{D5CDD505-2E9C-101B-9397-08002B2CF9AE}" pid="24" name="RegulatedActivitySub-Class">
    <vt:lpwstr/>
  </property>
  <property fmtid="{D5CDD505-2E9C-101B-9397-08002B2CF9AE}" pid="25" name="EventType1">
    <vt:lpwstr/>
  </property>
  <property fmtid="{D5CDD505-2E9C-101B-9397-08002B2CF9AE}" pid="26" name="RegulatedActivityClass">
    <vt:lpwstr>49;#Installations|645f1c9c-65df-490a-9ce3-4a2aa7c5ff7f</vt:lpwstr>
  </property>
</Properties>
</file>