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6336" w14:textId="4C702AB0" w:rsidR="00AE0DBD" w:rsidRDefault="00AE0DBD"/>
    <w:tbl>
      <w:tblPr>
        <w:tblStyle w:val="TableGrid"/>
        <w:tblW w:w="20921" w:type="dxa"/>
        <w:tblLook w:val="04A0" w:firstRow="1" w:lastRow="0" w:firstColumn="1" w:lastColumn="0" w:noHBand="0" w:noVBand="1"/>
      </w:tblPr>
      <w:tblGrid>
        <w:gridCol w:w="1250"/>
        <w:gridCol w:w="1752"/>
        <w:gridCol w:w="1671"/>
        <w:gridCol w:w="1418"/>
        <w:gridCol w:w="2268"/>
        <w:gridCol w:w="4528"/>
        <w:gridCol w:w="2842"/>
        <w:gridCol w:w="2127"/>
        <w:gridCol w:w="3065"/>
      </w:tblGrid>
      <w:tr w:rsidR="002403EB" w:rsidRPr="00D8078B" w14:paraId="72FB3CB2" w14:textId="5230F389" w:rsidTr="19741C53">
        <w:trPr>
          <w:tblHeader/>
        </w:trPr>
        <w:tc>
          <w:tcPr>
            <w:tcW w:w="1250" w:type="dxa"/>
            <w:shd w:val="clear" w:color="auto" w:fill="D9D9D9" w:themeFill="background1" w:themeFillShade="D9"/>
          </w:tcPr>
          <w:p w14:paraId="1ABD9BBE" w14:textId="68245635" w:rsidR="00200195" w:rsidRPr="00D8078B" w:rsidRDefault="00200195" w:rsidP="002001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78B">
              <w:rPr>
                <w:rFonts w:ascii="Arial" w:hAnsi="Arial" w:cs="Arial"/>
                <w:b/>
                <w:bCs/>
                <w:sz w:val="18"/>
                <w:szCs w:val="18"/>
              </w:rPr>
              <w:t>Tank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14:paraId="770C7893" w14:textId="74AFF776" w:rsidR="00200195" w:rsidRPr="00D8078B" w:rsidRDefault="00200195" w:rsidP="002001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78B">
              <w:rPr>
                <w:rFonts w:ascii="Arial" w:hAnsi="Arial" w:cs="Arial"/>
                <w:b/>
                <w:bCs/>
                <w:sz w:val="18"/>
                <w:szCs w:val="18"/>
              </w:rPr>
              <w:t>Materials present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347A9437" w14:textId="16283443" w:rsidR="00200195" w:rsidRPr="00D8078B" w:rsidRDefault="00200195" w:rsidP="002001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78B">
              <w:rPr>
                <w:rFonts w:ascii="Arial" w:hAnsi="Arial" w:cs="Arial"/>
                <w:b/>
                <w:bCs/>
                <w:sz w:val="18"/>
                <w:szCs w:val="18"/>
              </w:rPr>
              <w:t>Potential diffuse emission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D94E2B6" w14:textId="53F79F51" w:rsidR="00200195" w:rsidRPr="00D8078B" w:rsidRDefault="00200195" w:rsidP="002001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78B">
              <w:rPr>
                <w:rFonts w:ascii="Arial" w:hAnsi="Arial" w:cs="Arial"/>
                <w:b/>
                <w:bCs/>
                <w:sz w:val="18"/>
                <w:szCs w:val="18"/>
              </w:rPr>
              <w:t>Monitoring data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6F1AF65" w14:textId="1AEEBE71" w:rsidR="00200195" w:rsidRDefault="00200195" w:rsidP="002001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7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ORA / OMP Source significance  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14:paraId="5B580F47" w14:textId="19508356" w:rsidR="00200195" w:rsidRPr="00D8078B" w:rsidRDefault="00200195" w:rsidP="002001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Current </w:t>
            </w:r>
            <w:r w:rsidRPr="00D8078B">
              <w:rPr>
                <w:rFonts w:ascii="Arial" w:hAnsi="Arial" w:cs="Arial"/>
                <w:b/>
                <w:bCs/>
                <w:sz w:val="18"/>
                <w:szCs w:val="18"/>
              </w:rPr>
              <w:t>mitigation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diffuse emissions</w:t>
            </w:r>
          </w:p>
        </w:tc>
        <w:tc>
          <w:tcPr>
            <w:tcW w:w="2842" w:type="dxa"/>
            <w:shd w:val="clear" w:color="auto" w:fill="D9D9D9" w:themeFill="background1" w:themeFillShade="D9"/>
          </w:tcPr>
          <w:p w14:paraId="0BFC0928" w14:textId="4B101EDD" w:rsidR="00200195" w:rsidRPr="00D8078B" w:rsidRDefault="00200195" w:rsidP="002001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Candidate options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3CA4D10" w14:textId="18AEFBBC" w:rsidR="00200195" w:rsidRPr="00D8078B" w:rsidRDefault="00200195" w:rsidP="002001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78B">
              <w:rPr>
                <w:rFonts w:ascii="Arial" w:hAnsi="Arial" w:cs="Arial"/>
                <w:b/>
                <w:bCs/>
                <w:sz w:val="18"/>
                <w:szCs w:val="18"/>
              </w:rPr>
              <w:t>Safety and operational considerations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14:paraId="3AFB9F05" w14:textId="551FA7DB" w:rsidR="00200195" w:rsidRPr="00D8078B" w:rsidRDefault="00200195" w:rsidP="002001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next steps (staged)</w:t>
            </w:r>
          </w:p>
        </w:tc>
      </w:tr>
      <w:tr w:rsidR="002403EB" w:rsidRPr="00FB2376" w14:paraId="6B83AEBF" w14:textId="62104AE5" w:rsidTr="19741C53">
        <w:trPr>
          <w:trHeight w:val="545"/>
        </w:trPr>
        <w:tc>
          <w:tcPr>
            <w:tcW w:w="1250" w:type="dxa"/>
            <w:vMerge w:val="restart"/>
          </w:tcPr>
          <w:p w14:paraId="0CC66A1C" w14:textId="68C19606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Dewatering feed tank</w:t>
            </w:r>
          </w:p>
        </w:tc>
        <w:tc>
          <w:tcPr>
            <w:tcW w:w="1752" w:type="dxa"/>
            <w:vMerge w:val="restart"/>
          </w:tcPr>
          <w:p w14:paraId="32E1610E" w14:textId="1E455A4D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Digested sludge (liquid)</w:t>
            </w:r>
          </w:p>
        </w:tc>
        <w:tc>
          <w:tcPr>
            <w:tcW w:w="1671" w:type="dxa"/>
          </w:tcPr>
          <w:p w14:paraId="0B55285C" w14:textId="319ED882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Ammonia</w:t>
            </w:r>
            <w:r>
              <w:rPr>
                <w:rFonts w:ascii="Arial" w:hAnsi="Arial" w:cs="Arial"/>
                <w:sz w:val="18"/>
                <w:szCs w:val="18"/>
              </w:rPr>
              <w:t xml:space="preserve"> (ppm)</w:t>
            </w:r>
          </w:p>
        </w:tc>
        <w:tc>
          <w:tcPr>
            <w:tcW w:w="1418" w:type="dxa"/>
          </w:tcPr>
          <w:p w14:paraId="5CFA15D4" w14:textId="0D126E83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- 2.0 – 3.3</w:t>
            </w:r>
            <w:r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2268" w:type="dxa"/>
            <w:vMerge w:val="restart"/>
          </w:tcPr>
          <w:p w14:paraId="540CB198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Treated sludge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is considered to be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lower risk source than raw sludge.  Monitoring undertaken at other YW AD sites indicates that odour emissions are low.</w:t>
            </w:r>
          </w:p>
          <w:p w14:paraId="0605FC13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47C17F" w14:textId="2EA40EF0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ORA classified this </w:t>
            </w:r>
            <w:r w:rsidRPr="00787A2F">
              <w:rPr>
                <w:rFonts w:ascii="Arial" w:hAnsi="Arial" w:cs="Arial"/>
                <w:sz w:val="18"/>
                <w:szCs w:val="18"/>
              </w:rPr>
              <w:t>source as medium odour offensiveness and medium source odour potential</w:t>
            </w:r>
          </w:p>
        </w:tc>
        <w:tc>
          <w:tcPr>
            <w:tcW w:w="4528" w:type="dxa"/>
            <w:vMerge w:val="restart"/>
          </w:tcPr>
          <w:p w14:paraId="39116FD1" w14:textId="4D04C4C2" w:rsidR="00200195" w:rsidRPr="0003184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031846">
              <w:rPr>
                <w:rFonts w:ascii="Arial" w:hAnsi="Arial" w:cs="Arial"/>
                <w:sz w:val="18"/>
                <w:szCs w:val="18"/>
              </w:rPr>
              <w:t>Mixing is used to:</w:t>
            </w:r>
          </w:p>
          <w:p w14:paraId="1D913401" w14:textId="2E47BFF8" w:rsidR="00200195" w:rsidRPr="00031846" w:rsidRDefault="00200195" w:rsidP="00200195">
            <w:pPr>
              <w:pStyle w:val="ListParagraph"/>
              <w:numPr>
                <w:ilvl w:val="0"/>
                <w:numId w:val="1"/>
              </w:numPr>
              <w:ind w:left="416" w:hanging="416"/>
              <w:rPr>
                <w:rFonts w:ascii="Arial" w:hAnsi="Arial" w:cs="Arial"/>
                <w:sz w:val="18"/>
                <w:szCs w:val="18"/>
              </w:rPr>
            </w:pPr>
            <w:r w:rsidRPr="00031846">
              <w:rPr>
                <w:rFonts w:ascii="Arial" w:hAnsi="Arial" w:cs="Arial"/>
                <w:sz w:val="18"/>
                <w:szCs w:val="18"/>
              </w:rPr>
              <w:t>promote aerobic conditions to inhibit methane generation.</w:t>
            </w:r>
          </w:p>
          <w:p w14:paraId="0D5E84A4" w14:textId="37E95336" w:rsidR="00200195" w:rsidRPr="00031846" w:rsidRDefault="00200195" w:rsidP="00200195">
            <w:pPr>
              <w:pStyle w:val="ListParagraph"/>
              <w:numPr>
                <w:ilvl w:val="0"/>
                <w:numId w:val="1"/>
              </w:numPr>
              <w:ind w:left="416" w:hanging="416"/>
              <w:rPr>
                <w:rFonts w:ascii="Arial" w:hAnsi="Arial" w:cs="Arial"/>
                <w:sz w:val="18"/>
                <w:szCs w:val="18"/>
              </w:rPr>
            </w:pPr>
            <w:r w:rsidRPr="00031846">
              <w:rPr>
                <w:rFonts w:ascii="Arial" w:hAnsi="Arial" w:cs="Arial"/>
                <w:sz w:val="18"/>
                <w:szCs w:val="18"/>
              </w:rPr>
              <w:t>prevent settlement and reduce likelihood of septic conditions developing.</w:t>
            </w:r>
          </w:p>
          <w:p w14:paraId="01501A7B" w14:textId="77777777" w:rsidR="00200195" w:rsidRDefault="00200195" w:rsidP="00200195">
            <w:pPr>
              <w:ind w:left="416" w:hanging="416"/>
              <w:rPr>
                <w:rFonts w:ascii="Arial" w:hAnsi="Arial" w:cs="Arial"/>
                <w:sz w:val="18"/>
                <w:szCs w:val="18"/>
              </w:rPr>
            </w:pPr>
          </w:p>
          <w:p w14:paraId="3112C46C" w14:textId="7D74D3C4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 xml:space="preserve">Operator control of tank mixing allows selection between continuous and intermittent operation.  This </w:t>
            </w:r>
            <w:r>
              <w:rPr>
                <w:rFonts w:ascii="Arial" w:hAnsi="Arial" w:cs="Arial"/>
                <w:sz w:val="18"/>
                <w:szCs w:val="18"/>
              </w:rPr>
              <w:t xml:space="preserve">allows the operator to manage the degree of mixing necessary to inhibit methane and septic conditions whilst avoiding </w:t>
            </w:r>
            <w:r w:rsidRPr="00FB2376">
              <w:rPr>
                <w:rFonts w:ascii="Arial" w:hAnsi="Arial" w:cs="Arial"/>
                <w:sz w:val="18"/>
                <w:szCs w:val="18"/>
              </w:rPr>
              <w:t>unnecessary agitation of the tank contents reducing the dispersal of gases from tank head space.</w:t>
            </w:r>
          </w:p>
          <w:p w14:paraId="26E83C25" w14:textId="0E5DB8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7A6308" w14:textId="2B11869D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Sludge is digested for minimum of 12 days to break down volatile and organic solids, reducing potential for diffuse emissions from the resulting digestate.</w:t>
            </w:r>
          </w:p>
          <w:p w14:paraId="1CE32D3B" w14:textId="68A247E2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6086C5" w14:textId="5C993FE5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Sludge typically stored for no longer than 2 days before dewatering to reduce likelihood </w:t>
            </w:r>
            <w:r w:rsidR="00D3092D"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z w:val="18"/>
                <w:szCs w:val="18"/>
              </w:rPr>
              <w:t xml:space="preserve"> septic conditions developing.</w:t>
            </w:r>
          </w:p>
        </w:tc>
        <w:tc>
          <w:tcPr>
            <w:tcW w:w="2842" w:type="dxa"/>
            <w:vMerge w:val="restart"/>
          </w:tcPr>
          <w:p w14:paraId="1767A78C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Retain tank as per current configuration and operating profile</w:t>
            </w:r>
          </w:p>
          <w:p w14:paraId="35A8506F" w14:textId="1CDE4E1E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22942F" w14:textId="0EF98CAC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Modify tank (leaving uncovered).  Options for consideration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include: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alteration of operating profile to target fixed level in tank, installation of inline H2S detection in tank headspace. </w:t>
            </w:r>
          </w:p>
          <w:p w14:paraId="500F182E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BD4E88" w14:textId="10B416D2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Cover tank and extract and treat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via multi-stage OCU. </w:t>
            </w:r>
          </w:p>
        </w:tc>
        <w:tc>
          <w:tcPr>
            <w:tcW w:w="2127" w:type="dxa"/>
            <w:vMerge w:val="restart"/>
          </w:tcPr>
          <w:p w14:paraId="03F80121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8764AD">
              <w:rPr>
                <w:rFonts w:ascii="Arial" w:hAnsi="Arial" w:cs="Arial"/>
                <w:sz w:val="18"/>
                <w:szCs w:val="18"/>
              </w:rPr>
              <w:t xml:space="preserve">Current tank configuration is operationally effective and </w:t>
            </w:r>
            <w:r w:rsidR="008764AD" w:rsidRPr="008764AD">
              <w:rPr>
                <w:rFonts w:ascii="Arial" w:hAnsi="Arial" w:cs="Arial"/>
                <w:sz w:val="18"/>
                <w:szCs w:val="18"/>
              </w:rPr>
              <w:t>avoids</w:t>
            </w:r>
            <w:r w:rsidR="008764AD">
              <w:rPr>
                <w:rFonts w:ascii="Arial" w:hAnsi="Arial" w:cs="Arial"/>
                <w:sz w:val="18"/>
                <w:szCs w:val="18"/>
              </w:rPr>
              <w:t xml:space="preserve"> the creation of</w:t>
            </w:r>
            <w:r w:rsidRPr="00FB2376">
              <w:rPr>
                <w:rFonts w:ascii="Arial" w:hAnsi="Arial" w:cs="Arial"/>
                <w:sz w:val="18"/>
                <w:szCs w:val="18"/>
              </w:rPr>
              <w:t xml:space="preserve"> an ATEX zone which would require detailed design and assessment in order to safely manage </w:t>
            </w:r>
            <w:r w:rsidR="008764AD">
              <w:rPr>
                <w:rFonts w:ascii="Arial" w:hAnsi="Arial" w:cs="Arial"/>
                <w:sz w:val="18"/>
                <w:szCs w:val="18"/>
              </w:rPr>
              <w:t>the</w:t>
            </w:r>
            <w:r w:rsidRPr="00FB2376">
              <w:rPr>
                <w:rFonts w:ascii="Arial" w:hAnsi="Arial" w:cs="Arial"/>
                <w:sz w:val="18"/>
                <w:szCs w:val="18"/>
              </w:rPr>
              <w:t xml:space="preserve"> risk</w:t>
            </w:r>
            <w:r w:rsidR="008764AD">
              <w:rPr>
                <w:rFonts w:ascii="Arial" w:hAnsi="Arial" w:cs="Arial"/>
                <w:sz w:val="18"/>
                <w:szCs w:val="18"/>
              </w:rPr>
              <w:t xml:space="preserve"> of methane build up</w:t>
            </w:r>
            <w:r w:rsidR="004006D1">
              <w:rPr>
                <w:rFonts w:ascii="Arial" w:hAnsi="Arial" w:cs="Arial"/>
                <w:sz w:val="18"/>
                <w:szCs w:val="18"/>
              </w:rPr>
              <w:t xml:space="preserve"> and potential ignition</w:t>
            </w:r>
            <w:r w:rsidRPr="00FB237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EBFE65" w14:textId="77777777" w:rsidR="00031846" w:rsidRDefault="00031846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246001" w14:textId="5C4FF161" w:rsidR="00031846" w:rsidRPr="00FB2376" w:rsidRDefault="00031846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vMerge w:val="restart"/>
          </w:tcPr>
          <w:p w14:paraId="3632C9FB" w14:textId="6A1A74E6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Carry out monitoring of tank headspace (odour, VOCs etc) to confirm the indicative data presented here.  Method to be determined by monitoring specialist. </w:t>
            </w:r>
          </w:p>
          <w:p w14:paraId="567434A1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E855A6" w14:textId="2412C603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Review findings and submit interim report to EA, to include formal staging of any further activities (if required)</w:t>
            </w:r>
          </w:p>
          <w:p w14:paraId="3624D36E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16295B" w14:textId="4BE8EB4E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If determined necessary by (2) carry out an engineering options appraisal including cost-benefit BAT assessment, supported by air dispersion modelling if required. </w:t>
            </w:r>
          </w:p>
        </w:tc>
      </w:tr>
      <w:tr w:rsidR="002403EB" w:rsidRPr="00FB2376" w14:paraId="679407FD" w14:textId="3B3D4CB2" w:rsidTr="19741C53">
        <w:trPr>
          <w:trHeight w:val="545"/>
        </w:trPr>
        <w:tc>
          <w:tcPr>
            <w:tcW w:w="1250" w:type="dxa"/>
            <w:vMerge/>
          </w:tcPr>
          <w:p w14:paraId="274C31C0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14:paraId="311D67B8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</w:tcPr>
          <w:p w14:paraId="5020D6EF" w14:textId="35E4D23D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H</w:t>
            </w:r>
            <w:r w:rsidRPr="00C36C1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FB2376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(ppm)</w:t>
            </w:r>
          </w:p>
        </w:tc>
        <w:tc>
          <w:tcPr>
            <w:tcW w:w="1418" w:type="dxa"/>
          </w:tcPr>
          <w:p w14:paraId="16E2678B" w14:textId="4197E188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0.002 – 0.047</w:t>
            </w:r>
            <w:r w:rsidRPr="00B63EEF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begin"/>
            </w:r>
            <w:r w:rsidRPr="00B63EEF"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NOTEREF _Ref104541213 \h </w:instrTex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\* MERGEFORMAT </w:instrText>
            </w:r>
            <w:r w:rsidRPr="00B63EEF">
              <w:rPr>
                <w:rFonts w:ascii="Arial" w:hAnsi="Arial" w:cs="Arial"/>
                <w:sz w:val="18"/>
                <w:szCs w:val="18"/>
                <w:vertAlign w:val="superscript"/>
              </w:rPr>
            </w:r>
            <w:r w:rsidRPr="00B63EEF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separate"/>
            </w:r>
            <w:r w:rsidRPr="00B63EE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B63EEF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268" w:type="dxa"/>
            <w:vMerge/>
          </w:tcPr>
          <w:p w14:paraId="6CA1DE44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Merge/>
          </w:tcPr>
          <w:p w14:paraId="1A0A43B0" w14:textId="6BD354D6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2DAEEFAC" w14:textId="5B25011B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06AAF560" w14:textId="7B7AB642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vMerge/>
          </w:tcPr>
          <w:p w14:paraId="39B40AD4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3EB" w:rsidRPr="00FB2376" w14:paraId="59080A4C" w14:textId="4B102967" w:rsidTr="19741C53">
        <w:trPr>
          <w:trHeight w:val="546"/>
        </w:trPr>
        <w:tc>
          <w:tcPr>
            <w:tcW w:w="1250" w:type="dxa"/>
            <w:vMerge/>
          </w:tcPr>
          <w:p w14:paraId="5B3026C2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14:paraId="614BC0E8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</w:tcPr>
          <w:p w14:paraId="32347BB8" w14:textId="59AE07E8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Odour (</w:t>
            </w:r>
            <w:proofErr w:type="spellStart"/>
            <w:r w:rsidRPr="00077FE5"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 w:rsidRPr="00077FE5">
              <w:rPr>
                <w:rFonts w:ascii="Arial" w:hAnsi="Arial" w:cs="Arial"/>
                <w:spacing w:val="-1"/>
                <w:sz w:val="18"/>
                <w:szCs w:val="18"/>
                <w:vertAlign w:val="subscript"/>
              </w:rPr>
              <w:t>Ε</w:t>
            </w:r>
            <w:proofErr w:type="spellEnd"/>
            <w:r w:rsidRPr="00077FE5">
              <w:rPr>
                <w:rFonts w:ascii="Arial" w:hAnsi="Arial" w:cs="Arial"/>
                <w:spacing w:val="-1"/>
                <w:sz w:val="18"/>
                <w:szCs w:val="18"/>
              </w:rPr>
              <w:t>/m</w:t>
            </w:r>
            <w:r w:rsidRPr="00077FE5">
              <w:rPr>
                <w:rFonts w:ascii="Arial" w:hAnsi="Arial" w:cs="Arial"/>
                <w:spacing w:val="-1"/>
                <w:sz w:val="18"/>
                <w:szCs w:val="18"/>
                <w:vertAlign w:val="superscript"/>
              </w:rPr>
              <w:t>3</w:t>
            </w:r>
            <w:r w:rsidRPr="00F47125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227B09DA" w14:textId="024EED8C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86 - 487</w:t>
            </w:r>
            <w:r w:rsidRPr="00B63EEF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begin"/>
            </w:r>
            <w:r w:rsidRPr="00B63EEF"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NOTEREF _Ref104541213 \h </w:instrTex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\* MERGEFORMAT </w:instrText>
            </w:r>
            <w:r w:rsidRPr="00B63EEF">
              <w:rPr>
                <w:rFonts w:ascii="Arial" w:hAnsi="Arial" w:cs="Arial"/>
                <w:sz w:val="18"/>
                <w:szCs w:val="18"/>
                <w:vertAlign w:val="superscript"/>
              </w:rPr>
            </w:r>
            <w:r w:rsidRPr="00B63EEF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separate"/>
            </w:r>
            <w:r w:rsidRPr="00B63EE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B63EEF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268" w:type="dxa"/>
            <w:vMerge/>
          </w:tcPr>
          <w:p w14:paraId="52434DD2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Merge/>
          </w:tcPr>
          <w:p w14:paraId="4B85E990" w14:textId="03B9C5AB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093B0E00" w14:textId="1FEBBF0B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6535B906" w14:textId="2B2D7054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vMerge/>
          </w:tcPr>
          <w:p w14:paraId="46112BB6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3EB" w:rsidRPr="00FB2376" w14:paraId="764805DD" w14:textId="77777777" w:rsidTr="19741C53">
        <w:tc>
          <w:tcPr>
            <w:tcW w:w="1250" w:type="dxa"/>
            <w:vMerge/>
          </w:tcPr>
          <w:p w14:paraId="02FDBA48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14:paraId="5AE01F84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</w:tcPr>
          <w:p w14:paraId="6325F01B" w14:textId="0C8733D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VOCs (ppm)</w:t>
            </w:r>
          </w:p>
        </w:tc>
        <w:tc>
          <w:tcPr>
            <w:tcW w:w="1418" w:type="dxa"/>
          </w:tcPr>
          <w:p w14:paraId="61EEFD0C" w14:textId="1A5900DB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&lt;0.1 – 0.5</w:t>
            </w:r>
            <w:r w:rsidRPr="00B63EEF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begin"/>
            </w:r>
            <w:r w:rsidRPr="00B63EEF"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NOTEREF _Ref104541213 \h </w:instrTex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\* MERGEFORMAT </w:instrText>
            </w:r>
            <w:r w:rsidRPr="00B63EEF">
              <w:rPr>
                <w:rFonts w:ascii="Arial" w:hAnsi="Arial" w:cs="Arial"/>
                <w:sz w:val="18"/>
                <w:szCs w:val="18"/>
                <w:vertAlign w:val="superscript"/>
              </w:rPr>
            </w:r>
            <w:r w:rsidRPr="00B63EEF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separate"/>
            </w:r>
            <w:r w:rsidRPr="00B63EE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B63EEF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268" w:type="dxa"/>
            <w:vMerge/>
          </w:tcPr>
          <w:p w14:paraId="481C21C1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Merge/>
          </w:tcPr>
          <w:p w14:paraId="286E969E" w14:textId="348F4BB3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3594FC66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2FA39618" w14:textId="77777777" w:rsidR="00200195" w:rsidRPr="00847E7E" w:rsidRDefault="00200195" w:rsidP="0020019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065" w:type="dxa"/>
            <w:vMerge/>
          </w:tcPr>
          <w:p w14:paraId="31C1E3AC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3EB" w:rsidRPr="00FB2376" w14:paraId="4D842594" w14:textId="1BC6B00C" w:rsidTr="19741C53">
        <w:tc>
          <w:tcPr>
            <w:tcW w:w="1250" w:type="dxa"/>
            <w:vMerge w:val="restart"/>
          </w:tcPr>
          <w:p w14:paraId="55C0E8D4" w14:textId="6D9C223B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2376">
              <w:rPr>
                <w:rFonts w:ascii="Arial" w:hAnsi="Arial" w:cs="Arial"/>
                <w:sz w:val="18"/>
                <w:szCs w:val="18"/>
              </w:rPr>
              <w:t>Centrate</w:t>
            </w:r>
            <w:proofErr w:type="spellEnd"/>
            <w:r w:rsidRPr="00FB2376">
              <w:rPr>
                <w:rFonts w:ascii="Arial" w:hAnsi="Arial" w:cs="Arial"/>
                <w:sz w:val="18"/>
                <w:szCs w:val="18"/>
              </w:rPr>
              <w:t xml:space="preserve"> balance tank</w:t>
            </w:r>
            <w:r>
              <w:rPr>
                <w:rFonts w:ascii="Arial" w:hAnsi="Arial" w:cs="Arial"/>
                <w:sz w:val="18"/>
                <w:szCs w:val="18"/>
              </w:rPr>
              <w:t xml:space="preserve"> (CBT)</w:t>
            </w:r>
          </w:p>
        </w:tc>
        <w:tc>
          <w:tcPr>
            <w:tcW w:w="1752" w:type="dxa"/>
            <w:vMerge w:val="restart"/>
          </w:tcPr>
          <w:p w14:paraId="64B0E102" w14:textId="1C37D7AC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Liquor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centrate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generated from digested sludge dewatering</w:t>
            </w:r>
            <w:r w:rsidRPr="009E4603">
              <w:rPr>
                <w:rFonts w:ascii="Arial" w:hAnsi="Arial" w:cs="Arial"/>
                <w:sz w:val="18"/>
                <w:szCs w:val="18"/>
              </w:rPr>
              <w:t xml:space="preserve"> is collected in 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4603">
              <w:rPr>
                <w:rFonts w:ascii="Arial" w:hAnsi="Arial" w:cs="Arial"/>
                <w:sz w:val="18"/>
                <w:szCs w:val="18"/>
              </w:rPr>
              <w:t xml:space="preserve">drains beneath the </w:t>
            </w:r>
            <w:r>
              <w:rPr>
                <w:rFonts w:ascii="Arial" w:hAnsi="Arial" w:cs="Arial"/>
                <w:sz w:val="18"/>
                <w:szCs w:val="18"/>
              </w:rPr>
              <w:t>centrifuge</w:t>
            </w:r>
            <w:r w:rsidRPr="009E4603">
              <w:rPr>
                <w:rFonts w:ascii="Arial" w:hAnsi="Arial" w:cs="Arial"/>
                <w:sz w:val="18"/>
                <w:szCs w:val="18"/>
              </w:rPr>
              <w:t xml:space="preserve"> platforms and directed to the CBT </w:t>
            </w:r>
            <w:r>
              <w:rPr>
                <w:rFonts w:ascii="Arial" w:hAnsi="Arial" w:cs="Arial"/>
                <w:sz w:val="18"/>
                <w:szCs w:val="18"/>
              </w:rPr>
              <w:t>via a pumping station.  The balance tank provides buffering capability prior to the reactor vessels.</w:t>
            </w:r>
          </w:p>
        </w:tc>
        <w:tc>
          <w:tcPr>
            <w:tcW w:w="1671" w:type="dxa"/>
          </w:tcPr>
          <w:p w14:paraId="70B4FB51" w14:textId="182C5BDA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Ammonia</w:t>
            </w:r>
            <w:r>
              <w:rPr>
                <w:rFonts w:ascii="Arial" w:hAnsi="Arial" w:cs="Arial"/>
                <w:sz w:val="18"/>
                <w:szCs w:val="18"/>
              </w:rPr>
              <w:t xml:space="preserve"> (ppm)</w:t>
            </w:r>
          </w:p>
        </w:tc>
        <w:tc>
          <w:tcPr>
            <w:tcW w:w="1418" w:type="dxa"/>
          </w:tcPr>
          <w:p w14:paraId="6A1A3A59" w14:textId="73E98F18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0.5</w:t>
            </w:r>
            <w:bookmarkStart w:id="0" w:name="_Ref104541213"/>
            <w:r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  <w:bookmarkEnd w:id="0"/>
          </w:p>
        </w:tc>
        <w:tc>
          <w:tcPr>
            <w:tcW w:w="2268" w:type="dxa"/>
            <w:vMerge w:val="restart"/>
          </w:tcPr>
          <w:p w14:paraId="66DDE334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Material derived from treated sludge, which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is considered to be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lower risk source than raw sludge. </w:t>
            </w:r>
          </w:p>
          <w:p w14:paraId="69622FCF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D103F1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Odour monitoring results indicate that odour emissions are low.</w:t>
            </w:r>
          </w:p>
          <w:p w14:paraId="4B913C65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6D8C89" w14:textId="1DC6D4AC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787A2F">
              <w:rPr>
                <w:rFonts w:ascii="Arial" w:hAnsi="Arial" w:cs="Arial"/>
                <w:sz w:val="18"/>
                <w:szCs w:val="18"/>
              </w:rPr>
              <w:t>ORA classified this source as medium odour offensiveness and medium source odour potential</w:t>
            </w:r>
          </w:p>
        </w:tc>
        <w:tc>
          <w:tcPr>
            <w:tcW w:w="4528" w:type="dxa"/>
            <w:vMerge w:val="restart"/>
          </w:tcPr>
          <w:p w14:paraId="18BB9D50" w14:textId="5BED0444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Tank is mixed to ensure that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centrate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borne solids are kept evenly distributed and in suspension, this prevents blockages which could lead to overtopping,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and also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reduces the risk of material build up and septicity. </w:t>
            </w:r>
          </w:p>
          <w:p w14:paraId="3D8CD68F" w14:textId="5F100C9B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C07C4A" w14:textId="4DDA9D3C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tank is equipped with an array of sensors to manage level control and overtopping or foaming over; this includes level switches and transmitters and foam radar. </w:t>
            </w:r>
          </w:p>
          <w:p w14:paraId="2FA446F8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77B10C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Outflow is provided with sulphuric acid dosing for pH control; this acts to provide good ‘whole system’ control by supporting the maintenance of a healthy biological population in the downstream LTP.</w:t>
            </w:r>
          </w:p>
          <w:p w14:paraId="012E3131" w14:textId="670F7D69" w:rsidR="00200195" w:rsidRPr="00787A2F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A735A1" w14:textId="383AF5B8" w:rsidR="00200195" w:rsidRPr="00FB2376" w:rsidRDefault="00200195" w:rsidP="00200195">
            <w:pPr>
              <w:pStyle w:val="pf0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</w:t>
            </w:r>
            <w:r w:rsidRPr="00787A2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ank is designed to store no more than 24 hours of </w:t>
            </w:r>
            <w:proofErr w:type="spellStart"/>
            <w:r w:rsidRPr="00787A2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centrate</w:t>
            </w:r>
            <w:proofErr w:type="spellEnd"/>
            <w:r w:rsidRPr="00787A2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 so liquor is always being passed forward and thus is fresh/non-septic.</w:t>
            </w:r>
          </w:p>
        </w:tc>
        <w:tc>
          <w:tcPr>
            <w:tcW w:w="2842" w:type="dxa"/>
            <w:vMerge w:val="restart"/>
          </w:tcPr>
          <w:p w14:paraId="55CB7CED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Retain tank as per current configuration and operating profile</w:t>
            </w:r>
          </w:p>
          <w:p w14:paraId="7A8485CF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A5CC1D" w14:textId="4D78717C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Cover tank and extract and treat </w:t>
            </w:r>
            <w:proofErr w:type="gramStart"/>
            <w:r w:rsidR="002403EB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="002403E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via multi-stage OCU.</w:t>
            </w:r>
          </w:p>
        </w:tc>
        <w:tc>
          <w:tcPr>
            <w:tcW w:w="2127" w:type="dxa"/>
            <w:vMerge w:val="restart"/>
          </w:tcPr>
          <w:p w14:paraId="0B3D6624" w14:textId="544826D6" w:rsidR="00031846" w:rsidRPr="00FB2376" w:rsidRDefault="00031846" w:rsidP="008B0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Visual inspections </w:t>
            </w:r>
            <w:r w:rsidR="008B09CD">
              <w:rPr>
                <w:rFonts w:ascii="Arial" w:hAnsi="Arial" w:cs="Arial"/>
                <w:sz w:val="18"/>
                <w:szCs w:val="18"/>
              </w:rPr>
              <w:t xml:space="preserve">of plant operations </w:t>
            </w:r>
            <w:r>
              <w:rPr>
                <w:rFonts w:ascii="Arial" w:hAnsi="Arial" w:cs="Arial"/>
                <w:sz w:val="18"/>
                <w:szCs w:val="18"/>
              </w:rPr>
              <w:t>would not be possible</w:t>
            </w:r>
            <w:r w:rsidR="008B09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65" w:type="dxa"/>
            <w:vMerge w:val="restart"/>
          </w:tcPr>
          <w:p w14:paraId="305C886A" w14:textId="36D8E6DB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further mitigation proposed – emissions of key compounds demonstrated to be low.  Retain tank as per current configuration and operating profile.</w:t>
            </w:r>
          </w:p>
        </w:tc>
      </w:tr>
      <w:tr w:rsidR="002403EB" w:rsidRPr="00FB2376" w14:paraId="2AA9FB7D" w14:textId="68EA0BFE" w:rsidTr="19741C53">
        <w:tc>
          <w:tcPr>
            <w:tcW w:w="1250" w:type="dxa"/>
            <w:vMerge/>
          </w:tcPr>
          <w:p w14:paraId="202E575C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14:paraId="2CDA3559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</w:tcPr>
          <w:p w14:paraId="4A3D5167" w14:textId="1F88A6AE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H</w:t>
            </w:r>
            <w:r w:rsidRPr="00C36C1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FB2376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(ppm)</w:t>
            </w:r>
          </w:p>
        </w:tc>
        <w:tc>
          <w:tcPr>
            <w:tcW w:w="1418" w:type="dxa"/>
          </w:tcPr>
          <w:p w14:paraId="2D68AD7E" w14:textId="306625FB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0.011</w:t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begin"/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NOTEREF _Ref104541213 \h </w:instrTex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\* MERGEFORMAT </w:instrText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separate"/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268" w:type="dxa"/>
            <w:vMerge/>
          </w:tcPr>
          <w:p w14:paraId="7B5CE31A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Merge/>
          </w:tcPr>
          <w:p w14:paraId="111A5BBC" w14:textId="02F16D35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5C903896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23D482C8" w14:textId="7C9433B2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vMerge/>
          </w:tcPr>
          <w:p w14:paraId="75DB0608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3EB" w:rsidRPr="00FB2376" w14:paraId="4F019902" w14:textId="77777777" w:rsidTr="19741C53">
        <w:trPr>
          <w:trHeight w:val="1327"/>
        </w:trPr>
        <w:tc>
          <w:tcPr>
            <w:tcW w:w="1250" w:type="dxa"/>
            <w:vMerge/>
          </w:tcPr>
          <w:p w14:paraId="287E4919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14:paraId="0FC71861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</w:tcPr>
          <w:p w14:paraId="63FF01F9" w14:textId="6EAC9CD3" w:rsidR="00200195" w:rsidRPr="009A7243" w:rsidRDefault="00200195" w:rsidP="0020019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63EEF">
              <w:rPr>
                <w:rFonts w:ascii="Arial" w:hAnsi="Arial" w:cs="Arial"/>
                <w:sz w:val="18"/>
                <w:szCs w:val="18"/>
              </w:rPr>
              <w:t>Odour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077FE5"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 w:rsidRPr="00077FE5">
              <w:rPr>
                <w:rFonts w:ascii="Arial" w:hAnsi="Arial" w:cs="Arial"/>
                <w:spacing w:val="-1"/>
                <w:sz w:val="18"/>
                <w:szCs w:val="18"/>
                <w:vertAlign w:val="subscript"/>
              </w:rPr>
              <w:t>Ε</w:t>
            </w:r>
            <w:proofErr w:type="spellEnd"/>
            <w:r w:rsidRPr="00077FE5">
              <w:rPr>
                <w:rFonts w:ascii="Arial" w:hAnsi="Arial" w:cs="Arial"/>
                <w:spacing w:val="-1"/>
                <w:sz w:val="18"/>
                <w:szCs w:val="18"/>
              </w:rPr>
              <w:t>/m</w:t>
            </w:r>
            <w:r w:rsidRPr="00077FE5">
              <w:rPr>
                <w:rFonts w:ascii="Arial" w:hAnsi="Arial" w:cs="Arial"/>
                <w:spacing w:val="-1"/>
                <w:sz w:val="18"/>
                <w:szCs w:val="18"/>
                <w:vertAlign w:val="superscript"/>
              </w:rPr>
              <w:t>3</w:t>
            </w:r>
            <w:r w:rsidRPr="00F47125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79E60234" w14:textId="106EC400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begin"/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NOTEREF _Ref104541213 \h </w:instrTex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\* MERGEFORMAT </w:instrText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separate"/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268" w:type="dxa"/>
            <w:vMerge/>
          </w:tcPr>
          <w:p w14:paraId="3B8A838E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Merge/>
          </w:tcPr>
          <w:p w14:paraId="07EF6F11" w14:textId="6127CAB2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0784A17E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063408BD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vMerge/>
          </w:tcPr>
          <w:p w14:paraId="153FE359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3EB" w:rsidRPr="00FB2376" w14:paraId="163FC43C" w14:textId="77777777" w:rsidTr="19741C53">
        <w:trPr>
          <w:trHeight w:val="1327"/>
        </w:trPr>
        <w:tc>
          <w:tcPr>
            <w:tcW w:w="1250" w:type="dxa"/>
            <w:vMerge/>
          </w:tcPr>
          <w:p w14:paraId="143591ED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14:paraId="662BF8BA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</w:tcPr>
          <w:p w14:paraId="3FF1EA49" w14:textId="6718DCF6" w:rsidR="00200195" w:rsidRPr="00B63EEF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VOCs (ppm)</w:t>
            </w:r>
          </w:p>
        </w:tc>
        <w:tc>
          <w:tcPr>
            <w:tcW w:w="1418" w:type="dxa"/>
          </w:tcPr>
          <w:p w14:paraId="5FF4D104" w14:textId="52B70674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</w:t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begin"/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NOTEREF _Ref104541213 \h </w:instrTex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\* MERGEFORMAT </w:instrText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separate"/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268" w:type="dxa"/>
            <w:vMerge/>
          </w:tcPr>
          <w:p w14:paraId="48BB49EE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Merge/>
          </w:tcPr>
          <w:p w14:paraId="4E035DF8" w14:textId="348E62BB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7238D2ED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0900B427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vMerge/>
          </w:tcPr>
          <w:p w14:paraId="7B0BFEED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3EB" w:rsidRPr="00FB2376" w14:paraId="0B90C987" w14:textId="77777777" w:rsidTr="19741C53">
        <w:tc>
          <w:tcPr>
            <w:tcW w:w="1250" w:type="dxa"/>
            <w:vMerge w:val="restart"/>
          </w:tcPr>
          <w:p w14:paraId="6947F0A4" w14:textId="6289FC95" w:rsidR="00200195" w:rsidRPr="00FB2376" w:rsidRDefault="002403EB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Liquor treatment plant (</w:t>
            </w:r>
            <w:r w:rsidR="00200195">
              <w:rPr>
                <w:rFonts w:ascii="Arial" w:hAnsi="Arial" w:cs="Arial"/>
                <w:sz w:val="18"/>
                <w:szCs w:val="18"/>
              </w:rPr>
              <w:t>LTP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2001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0195">
              <w:rPr>
                <w:rFonts w:ascii="Arial" w:hAnsi="Arial" w:cs="Arial"/>
                <w:sz w:val="18"/>
                <w:szCs w:val="18"/>
              </w:rPr>
              <w:t>rimary settlement tank (PST)</w:t>
            </w:r>
          </w:p>
        </w:tc>
        <w:tc>
          <w:tcPr>
            <w:tcW w:w="1752" w:type="dxa"/>
            <w:vMerge w:val="restart"/>
          </w:tcPr>
          <w:p w14:paraId="424B494E" w14:textId="26B6948E" w:rsidR="00200195" w:rsidRDefault="00257760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Liquor flow</w:t>
            </w:r>
            <w:r w:rsidR="00200195">
              <w:rPr>
                <w:rFonts w:ascii="Arial" w:hAnsi="Arial" w:cs="Arial"/>
                <w:sz w:val="18"/>
                <w:szCs w:val="18"/>
              </w:rPr>
              <w:t xml:space="preserve"> from the </w:t>
            </w:r>
            <w:proofErr w:type="spellStart"/>
            <w:r w:rsidR="00200195">
              <w:rPr>
                <w:rFonts w:ascii="Arial" w:hAnsi="Arial" w:cs="Arial"/>
                <w:sz w:val="18"/>
                <w:szCs w:val="18"/>
              </w:rPr>
              <w:t>centrate</w:t>
            </w:r>
            <w:proofErr w:type="spellEnd"/>
            <w:r w:rsidR="00200195">
              <w:rPr>
                <w:rFonts w:ascii="Arial" w:hAnsi="Arial" w:cs="Arial"/>
                <w:sz w:val="18"/>
                <w:szCs w:val="18"/>
              </w:rPr>
              <w:t xml:space="preserve"> balance tanks</w:t>
            </w:r>
            <w:r>
              <w:rPr>
                <w:rFonts w:ascii="Arial" w:hAnsi="Arial" w:cs="Arial"/>
                <w:sz w:val="18"/>
                <w:szCs w:val="18"/>
              </w:rPr>
              <w:t>. This</w:t>
            </w:r>
            <w:r w:rsidR="00200195">
              <w:rPr>
                <w:rFonts w:ascii="Arial" w:hAnsi="Arial" w:cs="Arial"/>
                <w:sz w:val="18"/>
                <w:szCs w:val="18"/>
              </w:rPr>
              <w:t xml:space="preserve"> is fed by gravity to the PST.</w:t>
            </w:r>
          </w:p>
          <w:p w14:paraId="1EF429BB" w14:textId="77777777" w:rsidR="00257760" w:rsidRDefault="00257760" w:rsidP="002403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E7B8FF" w14:textId="6EC19FF2" w:rsidR="00200195" w:rsidRDefault="00200195" w:rsidP="002403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Excess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centrate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solids</w:t>
            </w:r>
            <w:r w:rsidR="00257760">
              <w:rPr>
                <w:rFonts w:ascii="Arial" w:hAnsi="Arial" w:cs="Arial"/>
                <w:sz w:val="18"/>
                <w:szCs w:val="18"/>
              </w:rPr>
              <w:t>.  These</w:t>
            </w:r>
            <w:r>
              <w:rPr>
                <w:rFonts w:ascii="Arial" w:hAnsi="Arial" w:cs="Arial"/>
                <w:sz w:val="18"/>
                <w:szCs w:val="18"/>
              </w:rPr>
              <w:t xml:space="preserve"> are captured and settled out by the PST.  The tank is equipped with a half bridge scraper and automatic de-scum facility.</w:t>
            </w:r>
          </w:p>
        </w:tc>
        <w:tc>
          <w:tcPr>
            <w:tcW w:w="1671" w:type="dxa"/>
          </w:tcPr>
          <w:p w14:paraId="5FB0B3F3" w14:textId="4EBCACA8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Ammonia</w:t>
            </w:r>
            <w:r>
              <w:rPr>
                <w:rFonts w:ascii="Arial" w:hAnsi="Arial" w:cs="Arial"/>
                <w:sz w:val="18"/>
                <w:szCs w:val="18"/>
              </w:rPr>
              <w:t xml:space="preserve"> (ppm)</w:t>
            </w:r>
          </w:p>
        </w:tc>
        <w:tc>
          <w:tcPr>
            <w:tcW w:w="1418" w:type="dxa"/>
          </w:tcPr>
          <w:p w14:paraId="7193314E" w14:textId="74D47572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2268" w:type="dxa"/>
            <w:vMerge w:val="restart"/>
          </w:tcPr>
          <w:p w14:paraId="6FD98620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Material derived from treated sludge, which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is considered to be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lower risk source than raw sludge. </w:t>
            </w:r>
          </w:p>
          <w:p w14:paraId="06FB69F2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1C272D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Odour monitoring results from other LTP sources suggest that odour emissions will be low.</w:t>
            </w:r>
          </w:p>
          <w:p w14:paraId="3117E761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C5AF30" w14:textId="56FAD6DB" w:rsidR="00B404E9" w:rsidRDefault="00200195" w:rsidP="002403EB">
            <w:pPr>
              <w:rPr>
                <w:rFonts w:ascii="Arial" w:hAnsi="Arial" w:cs="Arial"/>
                <w:sz w:val="18"/>
                <w:szCs w:val="18"/>
              </w:rPr>
            </w:pPr>
            <w:r w:rsidRPr="00787A2F">
              <w:rPr>
                <w:rFonts w:ascii="Arial" w:hAnsi="Arial" w:cs="Arial"/>
                <w:sz w:val="18"/>
                <w:szCs w:val="18"/>
              </w:rPr>
              <w:t>ORA classified this source as medium odour offensiveness and medium source odour potential</w:t>
            </w:r>
          </w:p>
        </w:tc>
        <w:tc>
          <w:tcPr>
            <w:tcW w:w="4528" w:type="dxa"/>
            <w:vMerge w:val="restart"/>
          </w:tcPr>
          <w:p w14:paraId="53F8782B" w14:textId="169EDCC1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Materials comprise liquids derived from digested sludge (inherently lower odour generation potential).  Solids and scum are </w:t>
            </w:r>
            <w:r w:rsidR="002403EB">
              <w:rPr>
                <w:rFonts w:ascii="Arial" w:hAnsi="Arial" w:cs="Arial"/>
                <w:sz w:val="18"/>
                <w:szCs w:val="18"/>
              </w:rPr>
              <w:t>automatically</w:t>
            </w:r>
            <w:r>
              <w:rPr>
                <w:rFonts w:ascii="Arial" w:hAnsi="Arial" w:cs="Arial"/>
                <w:sz w:val="18"/>
                <w:szCs w:val="18"/>
              </w:rPr>
              <w:t xml:space="preserve"> removed from the tank </w:t>
            </w:r>
            <w:r w:rsidR="00E70442">
              <w:rPr>
                <w:rFonts w:ascii="Arial" w:hAnsi="Arial" w:cs="Arial"/>
                <w:sz w:val="18"/>
                <w:szCs w:val="18"/>
              </w:rPr>
              <w:t xml:space="preserve">using scraper </w:t>
            </w:r>
            <w:r w:rsidR="002403EB">
              <w:rPr>
                <w:rFonts w:ascii="Arial" w:hAnsi="Arial" w:cs="Arial"/>
                <w:sz w:val="18"/>
                <w:szCs w:val="18"/>
              </w:rPr>
              <w:t xml:space="preserve">and transferred </w:t>
            </w:r>
            <w:r w:rsidR="00E70442">
              <w:rPr>
                <w:rFonts w:ascii="Arial" w:hAnsi="Arial" w:cs="Arial"/>
                <w:sz w:val="18"/>
                <w:szCs w:val="18"/>
              </w:rPr>
              <w:t xml:space="preserve">via de-sludge pumps </w:t>
            </w:r>
            <w:r>
              <w:rPr>
                <w:rFonts w:ascii="Arial" w:hAnsi="Arial" w:cs="Arial"/>
                <w:sz w:val="18"/>
                <w:szCs w:val="18"/>
              </w:rPr>
              <w:t>thereby minimising diffuse emissions.</w:t>
            </w:r>
          </w:p>
          <w:p w14:paraId="7E26FBE2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D777D8" w14:textId="0CA4DA4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tank is equipped with an array of sensors to manage level control and overtopping or foaming over; this includes level switches and transmitters and foam radar. </w:t>
            </w:r>
          </w:p>
        </w:tc>
        <w:tc>
          <w:tcPr>
            <w:tcW w:w="2842" w:type="dxa"/>
            <w:vMerge w:val="restart"/>
          </w:tcPr>
          <w:p w14:paraId="7B0CF204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Retain tank as per current configuration and operating profile</w:t>
            </w:r>
          </w:p>
          <w:p w14:paraId="3AAD7126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1D72B6" w14:textId="682545E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Cover tank and extract and treat </w:t>
            </w:r>
            <w:proofErr w:type="gramStart"/>
            <w:r w:rsidR="002403EB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="002403E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via multi-stage OCU.</w:t>
            </w:r>
          </w:p>
        </w:tc>
        <w:tc>
          <w:tcPr>
            <w:tcW w:w="2127" w:type="dxa"/>
            <w:vMerge w:val="restart"/>
          </w:tcPr>
          <w:p w14:paraId="3F247CDA" w14:textId="77777777" w:rsidR="00EA1CF9" w:rsidRDefault="00EA1CF9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Visual inspections would not be possible increasing potential spill and odour risks associated with uncontrolled build up.</w:t>
            </w:r>
          </w:p>
          <w:p w14:paraId="41BDCC81" w14:textId="77777777" w:rsidR="00EA1CF9" w:rsidRDefault="00EA1CF9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C67068" w14:textId="312DF9E6" w:rsidR="00C36C10" w:rsidRPr="00847E7E" w:rsidRDefault="00C36C10" w:rsidP="008B09C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065" w:type="dxa"/>
            <w:vMerge w:val="restart"/>
          </w:tcPr>
          <w:p w14:paraId="28A2FD5E" w14:textId="28FE478B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Carry out monitoring of tank headspace (odour and speciated) to confirm that emissions are similar level to other LTP sources.  Method to be determined by monitoring specialist </w:t>
            </w:r>
          </w:p>
          <w:p w14:paraId="0FDECCB4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5FC8CA" w14:textId="5F40E89C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Review findings and submit interim report to EA, to include formal staging of further activities (if required)</w:t>
            </w:r>
          </w:p>
          <w:p w14:paraId="02A6DE74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D319C8" w14:textId="58289FBB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If determined necessary by (2) carry out an engineering options appraisal including cost-benefit BAT assessment, supported by air dispersion modelling if required.</w:t>
            </w:r>
          </w:p>
        </w:tc>
      </w:tr>
      <w:tr w:rsidR="002403EB" w:rsidRPr="00FB2376" w14:paraId="6BCAA617" w14:textId="77777777" w:rsidTr="19741C53">
        <w:tc>
          <w:tcPr>
            <w:tcW w:w="1250" w:type="dxa"/>
            <w:vMerge/>
          </w:tcPr>
          <w:p w14:paraId="72FD8589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14:paraId="02F8C8CB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</w:tcPr>
          <w:p w14:paraId="1D3BB624" w14:textId="6C1F778A" w:rsidR="00200195" w:rsidRPr="00FB2376" w:rsidRDefault="00C36C10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H</w:t>
            </w:r>
            <w:r w:rsidRPr="00C36C1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FB2376">
              <w:rPr>
                <w:rFonts w:ascii="Arial" w:hAnsi="Arial" w:cs="Arial"/>
                <w:sz w:val="18"/>
                <w:szCs w:val="18"/>
              </w:rPr>
              <w:t>S</w:t>
            </w:r>
            <w:r w:rsidR="00200195">
              <w:rPr>
                <w:rFonts w:ascii="Arial" w:hAnsi="Arial" w:cs="Arial"/>
                <w:sz w:val="18"/>
                <w:szCs w:val="18"/>
              </w:rPr>
              <w:t xml:space="preserve"> (ppm)</w:t>
            </w:r>
          </w:p>
        </w:tc>
        <w:tc>
          <w:tcPr>
            <w:tcW w:w="1418" w:type="dxa"/>
          </w:tcPr>
          <w:p w14:paraId="75A9D58E" w14:textId="15AA798C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2268" w:type="dxa"/>
            <w:vMerge/>
          </w:tcPr>
          <w:p w14:paraId="0576DD7B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Merge/>
          </w:tcPr>
          <w:p w14:paraId="0F72B1C8" w14:textId="42DBF275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3E1B0F9C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2F32B83A" w14:textId="77777777" w:rsidR="00200195" w:rsidRPr="00847E7E" w:rsidRDefault="00200195" w:rsidP="0020019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065" w:type="dxa"/>
            <w:vMerge/>
          </w:tcPr>
          <w:p w14:paraId="47D259C5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3EB" w:rsidRPr="00FB2376" w14:paraId="4E87CCE1" w14:textId="77777777" w:rsidTr="19741C53">
        <w:trPr>
          <w:trHeight w:val="912"/>
        </w:trPr>
        <w:tc>
          <w:tcPr>
            <w:tcW w:w="1250" w:type="dxa"/>
            <w:vMerge/>
          </w:tcPr>
          <w:p w14:paraId="7C38B287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14:paraId="2625F1E9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</w:tcPr>
          <w:p w14:paraId="18BE3DB5" w14:textId="109C58AF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B63EEF">
              <w:rPr>
                <w:rFonts w:ascii="Arial" w:hAnsi="Arial" w:cs="Arial"/>
                <w:sz w:val="18"/>
                <w:szCs w:val="18"/>
              </w:rPr>
              <w:t>Odour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077FE5"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 w:rsidRPr="00077FE5">
              <w:rPr>
                <w:rFonts w:ascii="Arial" w:hAnsi="Arial" w:cs="Arial"/>
                <w:spacing w:val="-1"/>
                <w:sz w:val="18"/>
                <w:szCs w:val="18"/>
                <w:vertAlign w:val="subscript"/>
              </w:rPr>
              <w:t>Ε</w:t>
            </w:r>
            <w:proofErr w:type="spellEnd"/>
            <w:r w:rsidRPr="00077FE5">
              <w:rPr>
                <w:rFonts w:ascii="Arial" w:hAnsi="Arial" w:cs="Arial"/>
                <w:spacing w:val="-1"/>
                <w:sz w:val="18"/>
                <w:szCs w:val="18"/>
              </w:rPr>
              <w:t>/m</w:t>
            </w:r>
            <w:r w:rsidRPr="00077FE5">
              <w:rPr>
                <w:rFonts w:ascii="Arial" w:hAnsi="Arial" w:cs="Arial"/>
                <w:spacing w:val="-1"/>
                <w:sz w:val="18"/>
                <w:szCs w:val="18"/>
                <w:vertAlign w:val="superscript"/>
              </w:rPr>
              <w:t>3</w:t>
            </w:r>
            <w:r w:rsidRPr="00F47125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4451E019" w14:textId="4805AF53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2268" w:type="dxa"/>
            <w:vMerge/>
          </w:tcPr>
          <w:p w14:paraId="044C65AA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Merge/>
          </w:tcPr>
          <w:p w14:paraId="140EFD7F" w14:textId="66D99454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1E1F9F85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3E377580" w14:textId="77777777" w:rsidR="00200195" w:rsidRPr="00847E7E" w:rsidRDefault="00200195" w:rsidP="0020019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065" w:type="dxa"/>
            <w:vMerge/>
          </w:tcPr>
          <w:p w14:paraId="70A39493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3EB" w:rsidRPr="00FB2376" w14:paraId="57403B34" w14:textId="77777777" w:rsidTr="19741C53">
        <w:trPr>
          <w:trHeight w:val="911"/>
        </w:trPr>
        <w:tc>
          <w:tcPr>
            <w:tcW w:w="1250" w:type="dxa"/>
            <w:vMerge/>
          </w:tcPr>
          <w:p w14:paraId="24010392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14:paraId="55F2C18B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</w:tcPr>
          <w:p w14:paraId="5CF7D29A" w14:textId="5B15BA48" w:rsidR="00200195" w:rsidRPr="00B63EEF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VOCs</w:t>
            </w:r>
          </w:p>
        </w:tc>
        <w:tc>
          <w:tcPr>
            <w:tcW w:w="1418" w:type="dxa"/>
          </w:tcPr>
          <w:p w14:paraId="7159D0CA" w14:textId="54343F8A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2268" w:type="dxa"/>
            <w:vMerge/>
          </w:tcPr>
          <w:p w14:paraId="42E3E457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Merge/>
          </w:tcPr>
          <w:p w14:paraId="1DABC7F3" w14:textId="0A8707EC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622284C6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614C956A" w14:textId="77777777" w:rsidR="00200195" w:rsidRPr="00847E7E" w:rsidRDefault="00200195" w:rsidP="0020019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065" w:type="dxa"/>
            <w:vMerge/>
          </w:tcPr>
          <w:p w14:paraId="520CFC84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3EB" w:rsidRPr="00FB2376" w14:paraId="1D8B2728" w14:textId="23645CA2" w:rsidTr="19741C53">
        <w:tc>
          <w:tcPr>
            <w:tcW w:w="1250" w:type="dxa"/>
            <w:vMerge w:val="restart"/>
          </w:tcPr>
          <w:p w14:paraId="191FC0AD" w14:textId="6476489E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lastRenderedPageBreak/>
              <w:t>LTP reactor vessels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52" w:type="dxa"/>
            <w:vMerge w:val="restart"/>
          </w:tcPr>
          <w:p w14:paraId="722F5D06" w14:textId="4DC8EDD6" w:rsidR="00200195" w:rsidRPr="00FB2376" w:rsidRDefault="00257760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Liquor flow from the PST.  </w:t>
            </w:r>
            <w:r w:rsidR="00200195">
              <w:rPr>
                <w:rFonts w:ascii="Arial" w:hAnsi="Arial" w:cs="Arial"/>
                <w:sz w:val="18"/>
                <w:szCs w:val="18"/>
              </w:rPr>
              <w:t xml:space="preserve">Aeration is provided in the two reactors that have been seeded with anammox bacteria.  The reactors provide treatment to reduce dissolved ammonia within the </w:t>
            </w:r>
            <w:proofErr w:type="spellStart"/>
            <w:r w:rsidR="00200195">
              <w:rPr>
                <w:rFonts w:ascii="Arial" w:hAnsi="Arial" w:cs="Arial"/>
                <w:sz w:val="18"/>
                <w:szCs w:val="18"/>
              </w:rPr>
              <w:t>centrate</w:t>
            </w:r>
            <w:proofErr w:type="spellEnd"/>
            <w:r w:rsidR="00200195">
              <w:rPr>
                <w:rFonts w:ascii="Arial" w:hAnsi="Arial" w:cs="Arial"/>
                <w:sz w:val="18"/>
                <w:szCs w:val="18"/>
              </w:rPr>
              <w:t xml:space="preserve">.  Liquors flow by gravity to the settlement tanks. </w:t>
            </w:r>
          </w:p>
        </w:tc>
        <w:tc>
          <w:tcPr>
            <w:tcW w:w="1671" w:type="dxa"/>
          </w:tcPr>
          <w:p w14:paraId="1E10A784" w14:textId="4AEEC3E8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Ammonia</w:t>
            </w:r>
            <w:r>
              <w:rPr>
                <w:rFonts w:ascii="Arial" w:hAnsi="Arial" w:cs="Arial"/>
                <w:sz w:val="18"/>
                <w:szCs w:val="18"/>
              </w:rPr>
              <w:t xml:space="preserve"> (ppm)</w:t>
            </w:r>
          </w:p>
        </w:tc>
        <w:tc>
          <w:tcPr>
            <w:tcW w:w="1418" w:type="dxa"/>
          </w:tcPr>
          <w:p w14:paraId="7FF74200" w14:textId="7BA1A585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3.0</w:t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begin"/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NOTEREF _Ref104541213 \h </w:instrTex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\* MERGEFORMAT </w:instrText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separate"/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14:paraId="0C46C67F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Material derived from treated sludge, which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is considered to be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lower risk source than raw sludge. </w:t>
            </w:r>
          </w:p>
          <w:p w14:paraId="1239B168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57B042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Odour monitoring results indicate that odour emissions are low.</w:t>
            </w:r>
          </w:p>
          <w:p w14:paraId="2111A6C6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708275" w14:textId="3D37C8C1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ORA </w:t>
            </w:r>
            <w:r w:rsidRPr="00CD247E">
              <w:rPr>
                <w:rFonts w:ascii="Arial" w:hAnsi="Arial" w:cs="Arial"/>
                <w:sz w:val="18"/>
                <w:szCs w:val="18"/>
              </w:rPr>
              <w:t>classified this source as medium odour offensiveness and medium source odour potential</w:t>
            </w:r>
          </w:p>
        </w:tc>
        <w:tc>
          <w:tcPr>
            <w:tcW w:w="4528" w:type="dxa"/>
            <w:vMerge w:val="restart"/>
          </w:tcPr>
          <w:p w14:paraId="64F9DEFF" w14:textId="4B6313BD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Tank is mixed to ensure that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centrate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borne solids are kept evenly distributed and in suspension, this prevents blockages which could lead to overtopping,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and also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reduces the risk of material build up and septicity. </w:t>
            </w:r>
          </w:p>
          <w:p w14:paraId="60ECCE27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AD8F1F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tank is equipped with an array of sensors to manage level control and overtopping or foaming over; this includes level switches and transmitters and foam radar. </w:t>
            </w:r>
          </w:p>
          <w:p w14:paraId="5A1D1C21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413977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Reactors are continually monitored to ensure a healthy bacterial population is maintained and that the processes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operating efficiently and effectively.</w:t>
            </w:r>
          </w:p>
          <w:p w14:paraId="71A4F620" w14:textId="498091F5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vMerge w:val="restart"/>
          </w:tcPr>
          <w:p w14:paraId="16A224B2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Retain tank as per current configuration and operating profile</w:t>
            </w:r>
          </w:p>
          <w:p w14:paraId="65667B8E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4A4879" w14:textId="48DE170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Cover tank and extract and treat via multi-stage OCU.</w:t>
            </w:r>
          </w:p>
        </w:tc>
        <w:tc>
          <w:tcPr>
            <w:tcW w:w="2127" w:type="dxa"/>
            <w:vMerge w:val="restart"/>
          </w:tcPr>
          <w:p w14:paraId="4BABEC0A" w14:textId="4303D354" w:rsidR="00200195" w:rsidRPr="00FB2376" w:rsidRDefault="008B09CD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Visual inspections of plant operations would not be possible.</w:t>
            </w:r>
          </w:p>
        </w:tc>
        <w:tc>
          <w:tcPr>
            <w:tcW w:w="3065" w:type="dxa"/>
            <w:vMerge w:val="restart"/>
          </w:tcPr>
          <w:p w14:paraId="5C4267E6" w14:textId="2578599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further mitigation proposed – emissions of key compounds demonstrated to be low.  Retain tank as per current configuration and operating profile.</w:t>
            </w:r>
          </w:p>
        </w:tc>
      </w:tr>
      <w:tr w:rsidR="002403EB" w:rsidRPr="00FB2376" w14:paraId="66E8550D" w14:textId="77777777" w:rsidTr="19741C53">
        <w:tc>
          <w:tcPr>
            <w:tcW w:w="1250" w:type="dxa"/>
            <w:vMerge/>
          </w:tcPr>
          <w:p w14:paraId="1E622403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14:paraId="360C4E0C" w14:textId="77777777" w:rsidR="00200195" w:rsidRPr="007B7AE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</w:tcPr>
          <w:p w14:paraId="111AFCBA" w14:textId="2862C640" w:rsidR="00200195" w:rsidRPr="00FB2376" w:rsidRDefault="002708A9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H</w:t>
            </w:r>
            <w:r w:rsidRPr="00C36C1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FB2376">
              <w:rPr>
                <w:rFonts w:ascii="Arial" w:hAnsi="Arial" w:cs="Arial"/>
                <w:sz w:val="18"/>
                <w:szCs w:val="18"/>
              </w:rPr>
              <w:t>S</w:t>
            </w:r>
            <w:r w:rsidR="00200195">
              <w:rPr>
                <w:rFonts w:ascii="Arial" w:hAnsi="Arial" w:cs="Arial"/>
                <w:sz w:val="18"/>
                <w:szCs w:val="18"/>
              </w:rPr>
              <w:t xml:space="preserve"> (ppm)</w:t>
            </w:r>
          </w:p>
        </w:tc>
        <w:tc>
          <w:tcPr>
            <w:tcW w:w="1418" w:type="dxa"/>
          </w:tcPr>
          <w:p w14:paraId="5D301D26" w14:textId="41CEB19A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0.012</w:t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begin"/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NOTEREF _Ref104541213 \h </w:instrTex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\* MERGEFORMAT </w:instrText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separate"/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268" w:type="dxa"/>
            <w:vMerge/>
          </w:tcPr>
          <w:p w14:paraId="32BAB0BF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Merge/>
          </w:tcPr>
          <w:p w14:paraId="19DB3205" w14:textId="16B8FAD5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091A9CEC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5D02B890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vMerge/>
          </w:tcPr>
          <w:p w14:paraId="4C6F5A4F" w14:textId="78B67341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3EB" w:rsidRPr="00FB2376" w14:paraId="2739D7ED" w14:textId="7A98D378" w:rsidTr="19741C53">
        <w:trPr>
          <w:trHeight w:val="912"/>
        </w:trPr>
        <w:tc>
          <w:tcPr>
            <w:tcW w:w="1250" w:type="dxa"/>
            <w:vMerge/>
          </w:tcPr>
          <w:p w14:paraId="0FEDB8FA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14:paraId="2DDE12C8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</w:tcPr>
          <w:p w14:paraId="3B8352D5" w14:textId="56CEEF8C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Odour (</w:t>
            </w:r>
            <w:proofErr w:type="spellStart"/>
            <w:r w:rsidRPr="00077FE5"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 w:rsidRPr="00077FE5">
              <w:rPr>
                <w:rFonts w:ascii="Arial" w:hAnsi="Arial" w:cs="Arial"/>
                <w:spacing w:val="-1"/>
                <w:sz w:val="18"/>
                <w:szCs w:val="18"/>
                <w:vertAlign w:val="subscript"/>
              </w:rPr>
              <w:t>Ε</w:t>
            </w:r>
            <w:proofErr w:type="spellEnd"/>
            <w:r w:rsidRPr="00077FE5">
              <w:rPr>
                <w:rFonts w:ascii="Arial" w:hAnsi="Arial" w:cs="Arial"/>
                <w:spacing w:val="-1"/>
                <w:sz w:val="18"/>
                <w:szCs w:val="18"/>
              </w:rPr>
              <w:t>/m</w:t>
            </w:r>
            <w:r w:rsidRPr="00077FE5">
              <w:rPr>
                <w:rFonts w:ascii="Arial" w:hAnsi="Arial" w:cs="Arial"/>
                <w:spacing w:val="-1"/>
                <w:sz w:val="18"/>
                <w:szCs w:val="18"/>
                <w:vertAlign w:val="superscript"/>
              </w:rPr>
              <w:t>3</w:t>
            </w:r>
            <w:r w:rsidRPr="00F47125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380D767E" w14:textId="56904325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begin"/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NOTEREF _Ref104541213 \h </w:instrTex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\* MERGEFORMAT </w:instrText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separate"/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268" w:type="dxa"/>
            <w:vMerge/>
          </w:tcPr>
          <w:p w14:paraId="17228475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Merge/>
          </w:tcPr>
          <w:p w14:paraId="1F8742C4" w14:textId="0976FE49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4FAE59E4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778793B1" w14:textId="5DCAFF3B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vMerge/>
          </w:tcPr>
          <w:p w14:paraId="53F59888" w14:textId="7BA39A0B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3EB" w:rsidRPr="00FB2376" w14:paraId="0C84D252" w14:textId="77777777" w:rsidTr="19741C53">
        <w:trPr>
          <w:trHeight w:val="911"/>
        </w:trPr>
        <w:tc>
          <w:tcPr>
            <w:tcW w:w="1250" w:type="dxa"/>
            <w:vMerge/>
          </w:tcPr>
          <w:p w14:paraId="0C3CB8C9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14:paraId="1089BE81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</w:tcPr>
          <w:p w14:paraId="0F5E1948" w14:textId="52198CF5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VOCs</w:t>
            </w:r>
          </w:p>
        </w:tc>
        <w:tc>
          <w:tcPr>
            <w:tcW w:w="1418" w:type="dxa"/>
          </w:tcPr>
          <w:p w14:paraId="21556E39" w14:textId="42D2EDAB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2A1E20">
              <w:rPr>
                <w:rFonts w:ascii="Arial" w:hAnsi="Arial" w:cs="Arial"/>
                <w:sz w:val="18"/>
                <w:szCs w:val="18"/>
              </w:rPr>
              <w:t>0.4</w:t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begin"/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NOTEREF _Ref104541213 \h </w:instrTex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\* MERGEFORMAT </w:instrText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separate"/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81FD8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268" w:type="dxa"/>
            <w:vMerge/>
          </w:tcPr>
          <w:p w14:paraId="128C0CB9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Merge/>
          </w:tcPr>
          <w:p w14:paraId="657238E7" w14:textId="3C8D48BA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69FDD899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4A6B47E3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vMerge/>
          </w:tcPr>
          <w:p w14:paraId="10B1B54C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3EB" w:rsidRPr="00FB2376" w14:paraId="2F20B91D" w14:textId="77777777" w:rsidTr="19741C53">
        <w:tc>
          <w:tcPr>
            <w:tcW w:w="1250" w:type="dxa"/>
            <w:vMerge w:val="restart"/>
          </w:tcPr>
          <w:p w14:paraId="0E63B577" w14:textId="2B0B6518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Settlement tank</w:t>
            </w:r>
            <w:r>
              <w:rPr>
                <w:rFonts w:ascii="Arial" w:hAnsi="Arial" w:cs="Arial"/>
                <w:sz w:val="18"/>
                <w:szCs w:val="18"/>
              </w:rPr>
              <w:t>s (post reactor)</w:t>
            </w:r>
          </w:p>
        </w:tc>
        <w:tc>
          <w:tcPr>
            <w:tcW w:w="1752" w:type="dxa"/>
            <w:vMerge w:val="restart"/>
          </w:tcPr>
          <w:p w14:paraId="3A496C9F" w14:textId="387004D4" w:rsidR="001053EE" w:rsidRDefault="001053EE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200195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P-t</w:t>
            </w:r>
            <w:r w:rsidR="00200195">
              <w:rPr>
                <w:rFonts w:ascii="Arial" w:hAnsi="Arial" w:cs="Arial"/>
                <w:sz w:val="18"/>
                <w:szCs w:val="18"/>
              </w:rPr>
              <w:t>reated effluent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2001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liquor </w:t>
            </w:r>
            <w:r w:rsidR="00200195">
              <w:rPr>
                <w:rFonts w:ascii="Arial" w:hAnsi="Arial" w:cs="Arial"/>
                <w:sz w:val="18"/>
                <w:szCs w:val="18"/>
              </w:rPr>
              <w:t xml:space="preserve">leaves the reactor vessels and flows by gravity to the two settlement tanks.  </w:t>
            </w:r>
          </w:p>
          <w:p w14:paraId="75C2E7E6" w14:textId="77777777" w:rsidR="001053EE" w:rsidRDefault="001053EE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353D1F" w14:textId="2DD8EB2D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Sludge from the settlement tanks is returned to the reactors.  Surplus sludge and treated effluent are discharged to the return pumping station and pumped back to Knostrop WwTW.</w:t>
            </w:r>
          </w:p>
        </w:tc>
        <w:tc>
          <w:tcPr>
            <w:tcW w:w="1671" w:type="dxa"/>
          </w:tcPr>
          <w:p w14:paraId="6F768C26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Ammonia</w:t>
            </w:r>
            <w:r>
              <w:rPr>
                <w:rFonts w:ascii="Arial" w:hAnsi="Arial" w:cs="Arial"/>
                <w:sz w:val="18"/>
                <w:szCs w:val="18"/>
              </w:rPr>
              <w:t xml:space="preserve"> (ppm)</w:t>
            </w:r>
          </w:p>
        </w:tc>
        <w:tc>
          <w:tcPr>
            <w:tcW w:w="1418" w:type="dxa"/>
          </w:tcPr>
          <w:p w14:paraId="24029F2F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2268" w:type="dxa"/>
            <w:vMerge w:val="restart"/>
          </w:tcPr>
          <w:p w14:paraId="201D7140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Material derived from treated sludge, which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is considered to be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lower risk source than raw sludge. </w:t>
            </w:r>
          </w:p>
          <w:p w14:paraId="248E75A0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4338A5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Odour monitoring results from other LTP sources suggest that odour emissions will be low.</w:t>
            </w:r>
          </w:p>
          <w:p w14:paraId="15E0CA4A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C0F278" w14:textId="6BBD4322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ORA classified this </w:t>
            </w:r>
            <w:r w:rsidRPr="00CD247E">
              <w:rPr>
                <w:rFonts w:ascii="Arial" w:hAnsi="Arial" w:cs="Arial"/>
                <w:sz w:val="18"/>
                <w:szCs w:val="18"/>
              </w:rPr>
              <w:t>source as medium odour offensiveness and medium source odour potential</w:t>
            </w:r>
          </w:p>
        </w:tc>
        <w:tc>
          <w:tcPr>
            <w:tcW w:w="4528" w:type="dxa"/>
            <w:vMerge w:val="restart"/>
          </w:tcPr>
          <w:p w14:paraId="38F74C94" w14:textId="14149A99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Treated effluent from each reactor flows under gravity.  Materials comprise liquids derived from digested sludge (inherently lower odour generation potential) which has been further treated to reduce ammonia.</w:t>
            </w:r>
          </w:p>
          <w:p w14:paraId="28CCDE66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40F14A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tank is equipped with an array of sensors to manage level control and overtopping or foaming over; this includes level switches and transmitters and foam radar. </w:t>
            </w:r>
          </w:p>
          <w:p w14:paraId="13A1812E" w14:textId="2E5CEC2F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vMerge w:val="restart"/>
          </w:tcPr>
          <w:p w14:paraId="0E83CA13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Retain tank as per current configuration and operating profile</w:t>
            </w:r>
          </w:p>
          <w:p w14:paraId="70EBEF0D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E5708B" w14:textId="0B9CA6F1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Cover tank and extract and treat via multi-stage OCU.</w:t>
            </w:r>
          </w:p>
        </w:tc>
        <w:tc>
          <w:tcPr>
            <w:tcW w:w="2127" w:type="dxa"/>
            <w:vMerge w:val="restart"/>
          </w:tcPr>
          <w:p w14:paraId="3E1B4C21" w14:textId="168C3D92" w:rsidR="00C36C10" w:rsidRPr="00FB2376" w:rsidRDefault="008B09CD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Visual inspections of plant operations would not be possible.</w:t>
            </w:r>
          </w:p>
        </w:tc>
        <w:tc>
          <w:tcPr>
            <w:tcW w:w="3065" w:type="dxa"/>
            <w:vMerge w:val="restart"/>
          </w:tcPr>
          <w:p w14:paraId="26544959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Carry out monitoring of tank headspace (odour and speciated) to confirm that emissions are similar level to other LTP sources.  Method to be determined by monitoring specialist </w:t>
            </w:r>
          </w:p>
          <w:p w14:paraId="0A8EAFC8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FA33F8" w14:textId="2984BAD4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Review findings and submit interim report to EA, to include formal staging of further activities (if required)</w:t>
            </w:r>
          </w:p>
          <w:p w14:paraId="7FA8804A" w14:textId="77777777" w:rsidR="00200195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5BF05C" w14:textId="64000E16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If determined necessary by (2) carry out an engineering options appraisal including cost-benefit BAT assessment, supported by air dispersion modelling if required.</w:t>
            </w:r>
          </w:p>
        </w:tc>
      </w:tr>
      <w:tr w:rsidR="002403EB" w:rsidRPr="00FB2376" w14:paraId="257F7C72" w14:textId="77777777" w:rsidTr="19741C53">
        <w:tc>
          <w:tcPr>
            <w:tcW w:w="1250" w:type="dxa"/>
            <w:vMerge/>
          </w:tcPr>
          <w:p w14:paraId="156A5026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14:paraId="2A9187A4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</w:tcPr>
          <w:p w14:paraId="2C0D5D25" w14:textId="20B37550" w:rsidR="00200195" w:rsidRPr="00FB2376" w:rsidRDefault="002708A9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H</w:t>
            </w:r>
            <w:r w:rsidRPr="00C36C10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FB2376">
              <w:rPr>
                <w:rFonts w:ascii="Arial" w:hAnsi="Arial" w:cs="Arial"/>
                <w:sz w:val="18"/>
                <w:szCs w:val="18"/>
              </w:rPr>
              <w:t>S</w:t>
            </w:r>
            <w:r w:rsidR="00200195">
              <w:rPr>
                <w:rFonts w:ascii="Arial" w:hAnsi="Arial" w:cs="Arial"/>
                <w:sz w:val="18"/>
                <w:szCs w:val="18"/>
              </w:rPr>
              <w:t xml:space="preserve"> (ppm)</w:t>
            </w:r>
          </w:p>
        </w:tc>
        <w:tc>
          <w:tcPr>
            <w:tcW w:w="1418" w:type="dxa"/>
          </w:tcPr>
          <w:p w14:paraId="010587B0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2268" w:type="dxa"/>
            <w:vMerge/>
          </w:tcPr>
          <w:p w14:paraId="4C10C03C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Merge/>
          </w:tcPr>
          <w:p w14:paraId="4C3323E2" w14:textId="214F71EA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60F470BD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1C95ED96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vMerge/>
          </w:tcPr>
          <w:p w14:paraId="3EC84EB0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3EB" w:rsidRPr="00FB2376" w14:paraId="6703D50D" w14:textId="77777777" w:rsidTr="19741C53">
        <w:trPr>
          <w:trHeight w:val="912"/>
        </w:trPr>
        <w:tc>
          <w:tcPr>
            <w:tcW w:w="1250" w:type="dxa"/>
            <w:vMerge/>
          </w:tcPr>
          <w:p w14:paraId="26D5F855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14:paraId="79A4A353" w14:textId="77777777" w:rsidR="00200195" w:rsidRPr="007B7AE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</w:tcPr>
          <w:p w14:paraId="3C1AAE2C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B63EEF">
              <w:rPr>
                <w:rFonts w:ascii="Arial" w:hAnsi="Arial" w:cs="Arial"/>
                <w:sz w:val="18"/>
                <w:szCs w:val="18"/>
              </w:rPr>
              <w:t>Odour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077FE5"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 w:rsidRPr="00077FE5">
              <w:rPr>
                <w:rFonts w:ascii="Arial" w:hAnsi="Arial" w:cs="Arial"/>
                <w:spacing w:val="-1"/>
                <w:sz w:val="18"/>
                <w:szCs w:val="18"/>
                <w:vertAlign w:val="subscript"/>
              </w:rPr>
              <w:t>Ε</w:t>
            </w:r>
            <w:proofErr w:type="spellEnd"/>
            <w:r w:rsidRPr="00077FE5">
              <w:rPr>
                <w:rFonts w:ascii="Arial" w:hAnsi="Arial" w:cs="Arial"/>
                <w:spacing w:val="-1"/>
                <w:sz w:val="18"/>
                <w:szCs w:val="18"/>
              </w:rPr>
              <w:t>/m</w:t>
            </w:r>
            <w:r w:rsidRPr="00077FE5">
              <w:rPr>
                <w:rFonts w:ascii="Arial" w:hAnsi="Arial" w:cs="Arial"/>
                <w:spacing w:val="-1"/>
                <w:sz w:val="18"/>
                <w:szCs w:val="18"/>
                <w:vertAlign w:val="superscript"/>
              </w:rPr>
              <w:t>3</w:t>
            </w:r>
            <w:r w:rsidRPr="00F47125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0B42861E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2268" w:type="dxa"/>
            <w:vMerge/>
          </w:tcPr>
          <w:p w14:paraId="075DD475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Merge/>
          </w:tcPr>
          <w:p w14:paraId="121FEE9D" w14:textId="342C9C5E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6E11BBF9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39652F7A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vMerge/>
          </w:tcPr>
          <w:p w14:paraId="79DB2413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3EB" w:rsidRPr="00FB2376" w14:paraId="7BECDDEC" w14:textId="77777777" w:rsidTr="19741C53">
        <w:trPr>
          <w:trHeight w:val="911"/>
        </w:trPr>
        <w:tc>
          <w:tcPr>
            <w:tcW w:w="1250" w:type="dxa"/>
            <w:vMerge/>
          </w:tcPr>
          <w:p w14:paraId="310A8318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14:paraId="7B54000A" w14:textId="77777777" w:rsidR="00200195" w:rsidRPr="007B7AE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</w:tcPr>
          <w:p w14:paraId="6092750B" w14:textId="5D2FACDA" w:rsidR="00200195" w:rsidRPr="00B63EEF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VOCs</w:t>
            </w:r>
          </w:p>
        </w:tc>
        <w:tc>
          <w:tcPr>
            <w:tcW w:w="1418" w:type="dxa"/>
          </w:tcPr>
          <w:p w14:paraId="584D3983" w14:textId="636EF07C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  <w:r w:rsidRPr="00FB2376"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2268" w:type="dxa"/>
            <w:vMerge/>
          </w:tcPr>
          <w:p w14:paraId="2EDCB24D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  <w:vMerge/>
          </w:tcPr>
          <w:p w14:paraId="25A437A0" w14:textId="3DBF098C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27F6B138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3DF97EBF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vMerge/>
          </w:tcPr>
          <w:p w14:paraId="27803137" w14:textId="77777777" w:rsidR="00200195" w:rsidRPr="00FB2376" w:rsidRDefault="00200195" w:rsidP="00200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22800D" w14:textId="77777777" w:rsidR="00DF6626" w:rsidRDefault="00DF6626" w:rsidP="00B1248E"/>
    <w:sectPr w:rsidR="00DF6626" w:rsidSect="00FB23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DCEA" w14:textId="77777777" w:rsidR="00B66C26" w:rsidRDefault="00B66C26" w:rsidP="00B63EEF">
      <w:pPr>
        <w:spacing w:after="0" w:line="240" w:lineRule="auto"/>
      </w:pPr>
      <w:r>
        <w:separator/>
      </w:r>
    </w:p>
  </w:endnote>
  <w:endnote w:type="continuationSeparator" w:id="0">
    <w:p w14:paraId="2D880D43" w14:textId="77777777" w:rsidR="00B66C26" w:rsidRDefault="00B66C26" w:rsidP="00B6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8B67" w14:textId="77777777" w:rsidR="00D3092D" w:rsidRDefault="00D30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670B" w14:textId="23EEFAB8" w:rsidR="001053EE" w:rsidRPr="001053EE" w:rsidRDefault="001053EE">
    <w:pPr>
      <w:pStyle w:val="Footer"/>
      <w:rPr>
        <w:rFonts w:ascii="Arial" w:hAnsi="Arial" w:cs="Arial"/>
        <w:sz w:val="18"/>
        <w:szCs w:val="18"/>
        <w:lang w:val="en-US"/>
      </w:rPr>
    </w:pPr>
    <w:r w:rsidRPr="001053EE">
      <w:rPr>
        <w:rFonts w:ascii="Arial" w:hAnsi="Arial" w:cs="Arial"/>
        <w:sz w:val="18"/>
        <w:szCs w:val="18"/>
        <w:lang w:val="en-US"/>
      </w:rPr>
      <w:t>Version 1, 09/06/22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C7C3" w14:textId="77777777" w:rsidR="00D3092D" w:rsidRDefault="00D30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AF3F" w14:textId="77777777" w:rsidR="00B66C26" w:rsidRDefault="00B66C26" w:rsidP="00B63EEF">
      <w:pPr>
        <w:spacing w:after="0" w:line="240" w:lineRule="auto"/>
      </w:pPr>
      <w:r>
        <w:separator/>
      </w:r>
    </w:p>
  </w:footnote>
  <w:footnote w:type="continuationSeparator" w:id="0">
    <w:p w14:paraId="2BB9A52E" w14:textId="77777777" w:rsidR="00B66C26" w:rsidRDefault="00B66C26" w:rsidP="00B63EEF">
      <w:pPr>
        <w:spacing w:after="0" w:line="240" w:lineRule="auto"/>
      </w:pPr>
      <w:r>
        <w:continuationSeparator/>
      </w:r>
    </w:p>
  </w:footnote>
  <w:footnote w:id="1">
    <w:p w14:paraId="71465BA9" w14:textId="42576E16" w:rsidR="00200195" w:rsidRPr="00187F0F" w:rsidRDefault="00200195" w:rsidP="00200195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187F0F">
        <w:rPr>
          <w:rStyle w:val="FootnoteReference"/>
          <w:rFonts w:ascii="Arial" w:hAnsi="Arial" w:cs="Arial"/>
          <w:sz w:val="18"/>
          <w:szCs w:val="18"/>
        </w:rPr>
        <w:footnoteRef/>
      </w:r>
      <w:r w:rsidRPr="00187F0F">
        <w:rPr>
          <w:rFonts w:ascii="Arial" w:hAnsi="Arial" w:cs="Arial"/>
          <w:sz w:val="18"/>
          <w:szCs w:val="18"/>
        </w:rPr>
        <w:t xml:space="preserve"> </w:t>
      </w:r>
      <w:r w:rsidRPr="00187F0F">
        <w:rPr>
          <w:rFonts w:ascii="Arial" w:hAnsi="Arial" w:cs="Arial"/>
          <w:sz w:val="18"/>
          <w:szCs w:val="18"/>
          <w:lang w:val="en-US"/>
        </w:rPr>
        <w:t>No monitoring has been undertaken at this location at Knostrop.  Data range presented is taken from monitoring of emissions from dewatering feed tanks at other comparable YW AD sites (</w:t>
      </w:r>
      <w:proofErr w:type="spellStart"/>
      <w:r w:rsidRPr="00187F0F">
        <w:rPr>
          <w:rFonts w:ascii="Arial" w:hAnsi="Arial" w:cs="Arial"/>
          <w:sz w:val="18"/>
          <w:szCs w:val="18"/>
          <w:lang w:val="en-US"/>
        </w:rPr>
        <w:t>Lundwood</w:t>
      </w:r>
      <w:proofErr w:type="spellEnd"/>
      <w:r w:rsidRPr="00187F0F">
        <w:rPr>
          <w:rFonts w:ascii="Arial" w:hAnsi="Arial" w:cs="Arial"/>
          <w:sz w:val="18"/>
          <w:szCs w:val="18"/>
          <w:lang w:val="en-US"/>
        </w:rPr>
        <w:t xml:space="preserve">, Woodhouse Mill, Mitchell </w:t>
      </w:r>
      <w:proofErr w:type="spellStart"/>
      <w:r w:rsidRPr="00187F0F">
        <w:rPr>
          <w:rFonts w:ascii="Arial" w:hAnsi="Arial" w:cs="Arial"/>
          <w:sz w:val="18"/>
          <w:szCs w:val="18"/>
          <w:lang w:val="en-US"/>
        </w:rPr>
        <w:t>Laithes</w:t>
      </w:r>
      <w:proofErr w:type="spellEnd"/>
      <w:r w:rsidRPr="00187F0F">
        <w:rPr>
          <w:rFonts w:ascii="Arial" w:hAnsi="Arial" w:cs="Arial"/>
          <w:sz w:val="18"/>
          <w:szCs w:val="18"/>
          <w:lang w:val="en-US"/>
        </w:rPr>
        <w:t>, Old Whittington, Sandall and Calder Vale).</w:t>
      </w:r>
    </w:p>
  </w:footnote>
  <w:footnote w:id="2">
    <w:p w14:paraId="62237DE8" w14:textId="2B0F955E" w:rsidR="00200195" w:rsidRPr="00187F0F" w:rsidRDefault="00200195" w:rsidP="00200195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187F0F">
        <w:rPr>
          <w:rStyle w:val="FootnoteReference"/>
          <w:rFonts w:ascii="Arial" w:hAnsi="Arial" w:cs="Arial"/>
          <w:sz w:val="18"/>
          <w:szCs w:val="18"/>
        </w:rPr>
        <w:footnoteRef/>
      </w:r>
      <w:r w:rsidRPr="00187F0F">
        <w:rPr>
          <w:rFonts w:ascii="Arial" w:hAnsi="Arial" w:cs="Arial"/>
          <w:sz w:val="18"/>
          <w:szCs w:val="18"/>
        </w:rPr>
        <w:t xml:space="preserve"> </w:t>
      </w:r>
      <w:r w:rsidRPr="00187F0F">
        <w:rPr>
          <w:rFonts w:ascii="Arial" w:hAnsi="Arial" w:cs="Arial"/>
          <w:sz w:val="18"/>
          <w:szCs w:val="18"/>
          <w:lang w:val="en-US"/>
        </w:rPr>
        <w:t xml:space="preserve">Data taken from average of 4 samples taken </w:t>
      </w:r>
      <w:r w:rsidR="00187F0F" w:rsidRPr="00187F0F">
        <w:rPr>
          <w:rFonts w:ascii="Arial" w:hAnsi="Arial" w:cs="Arial"/>
          <w:sz w:val="18"/>
          <w:szCs w:val="18"/>
          <w:lang w:val="en-US"/>
        </w:rPr>
        <w:t xml:space="preserve">at Knostrop STF </w:t>
      </w:r>
      <w:r w:rsidRPr="00187F0F">
        <w:rPr>
          <w:rFonts w:ascii="Arial" w:hAnsi="Arial" w:cs="Arial"/>
          <w:sz w:val="18"/>
          <w:szCs w:val="18"/>
          <w:lang w:val="en-US"/>
        </w:rPr>
        <w:t>on 26</w:t>
      </w:r>
      <w:r w:rsidRPr="00187F0F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 w:rsidRPr="00187F0F">
        <w:rPr>
          <w:rFonts w:ascii="Arial" w:hAnsi="Arial" w:cs="Arial"/>
          <w:sz w:val="18"/>
          <w:szCs w:val="18"/>
          <w:lang w:val="en-US"/>
        </w:rPr>
        <w:t xml:space="preserve"> May and 3</w:t>
      </w:r>
      <w:r w:rsidRPr="00187F0F">
        <w:rPr>
          <w:rFonts w:ascii="Arial" w:hAnsi="Arial" w:cs="Arial"/>
          <w:sz w:val="18"/>
          <w:szCs w:val="18"/>
          <w:vertAlign w:val="superscript"/>
          <w:lang w:val="en-US"/>
        </w:rPr>
        <w:t>rd</w:t>
      </w:r>
      <w:r w:rsidRPr="00187F0F">
        <w:rPr>
          <w:rFonts w:ascii="Arial" w:hAnsi="Arial" w:cs="Arial"/>
          <w:sz w:val="18"/>
          <w:szCs w:val="18"/>
          <w:lang w:val="en-US"/>
        </w:rPr>
        <w:t xml:space="preserve"> June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635A" w14:textId="77777777" w:rsidR="00D3092D" w:rsidRDefault="00D30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2348" w14:textId="4F88FFAD" w:rsidR="001053EE" w:rsidRPr="001053EE" w:rsidRDefault="001053EE">
    <w:pPr>
      <w:pStyle w:val="Header"/>
      <w:rPr>
        <w:rFonts w:ascii="Arial" w:hAnsi="Arial" w:cs="Arial"/>
        <w:lang w:val="en-US"/>
      </w:rPr>
    </w:pPr>
    <w:r w:rsidRPr="001053EE">
      <w:rPr>
        <w:rFonts w:ascii="Arial" w:hAnsi="Arial" w:cs="Arial"/>
        <w:lang w:val="en-US"/>
      </w:rPr>
      <w:t>Knostrop STF Diffuse Emissions Risk Assessment, Yorkshire Water Services Ltd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5025" w14:textId="77777777" w:rsidR="00D3092D" w:rsidRDefault="00D30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E2CA8"/>
    <w:multiLevelType w:val="hybridMultilevel"/>
    <w:tmpl w:val="A1C46A0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26"/>
    <w:rsid w:val="00030649"/>
    <w:rsid w:val="00031846"/>
    <w:rsid w:val="00071D90"/>
    <w:rsid w:val="001053EE"/>
    <w:rsid w:val="0012195D"/>
    <w:rsid w:val="00187F0F"/>
    <w:rsid w:val="00200195"/>
    <w:rsid w:val="00214DB6"/>
    <w:rsid w:val="002403EB"/>
    <w:rsid w:val="00257760"/>
    <w:rsid w:val="002708A9"/>
    <w:rsid w:val="00295C74"/>
    <w:rsid w:val="002A1E20"/>
    <w:rsid w:val="003765E2"/>
    <w:rsid w:val="003F75D0"/>
    <w:rsid w:val="004006D1"/>
    <w:rsid w:val="00417C01"/>
    <w:rsid w:val="00454A8E"/>
    <w:rsid w:val="00455DF3"/>
    <w:rsid w:val="004A259E"/>
    <w:rsid w:val="004C6C73"/>
    <w:rsid w:val="004E68C3"/>
    <w:rsid w:val="00581FD8"/>
    <w:rsid w:val="00583265"/>
    <w:rsid w:val="006525D5"/>
    <w:rsid w:val="00697E34"/>
    <w:rsid w:val="007075A6"/>
    <w:rsid w:val="00715A9D"/>
    <w:rsid w:val="00787A2F"/>
    <w:rsid w:val="007B7AE6"/>
    <w:rsid w:val="007C48D5"/>
    <w:rsid w:val="00844F09"/>
    <w:rsid w:val="00847E7E"/>
    <w:rsid w:val="00866177"/>
    <w:rsid w:val="008764AD"/>
    <w:rsid w:val="008B09CD"/>
    <w:rsid w:val="008B1CFA"/>
    <w:rsid w:val="008C5D82"/>
    <w:rsid w:val="00996807"/>
    <w:rsid w:val="009A7243"/>
    <w:rsid w:val="009D27E3"/>
    <w:rsid w:val="009D41FC"/>
    <w:rsid w:val="009E0410"/>
    <w:rsid w:val="009E4603"/>
    <w:rsid w:val="009F7601"/>
    <w:rsid w:val="00A331F1"/>
    <w:rsid w:val="00A34B2A"/>
    <w:rsid w:val="00A35AB2"/>
    <w:rsid w:val="00A77917"/>
    <w:rsid w:val="00AC69DD"/>
    <w:rsid w:val="00AE0DBD"/>
    <w:rsid w:val="00B1248E"/>
    <w:rsid w:val="00B404E9"/>
    <w:rsid w:val="00B63EEF"/>
    <w:rsid w:val="00B663C0"/>
    <w:rsid w:val="00B66C26"/>
    <w:rsid w:val="00B7109A"/>
    <w:rsid w:val="00C36C10"/>
    <w:rsid w:val="00C76907"/>
    <w:rsid w:val="00CD247E"/>
    <w:rsid w:val="00D147A9"/>
    <w:rsid w:val="00D3092D"/>
    <w:rsid w:val="00D71814"/>
    <w:rsid w:val="00D8078B"/>
    <w:rsid w:val="00DF6626"/>
    <w:rsid w:val="00E70442"/>
    <w:rsid w:val="00EA1CF9"/>
    <w:rsid w:val="00EC5254"/>
    <w:rsid w:val="00EE2601"/>
    <w:rsid w:val="00EF5954"/>
    <w:rsid w:val="00F110AE"/>
    <w:rsid w:val="00F45AE0"/>
    <w:rsid w:val="00F47125"/>
    <w:rsid w:val="00F752B2"/>
    <w:rsid w:val="00FB2376"/>
    <w:rsid w:val="1974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A239A1"/>
  <w15:chartTrackingRefBased/>
  <w15:docId w15:val="{8CBFFB69-4891-4CF1-A4B7-AC4A3D28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1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1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CF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8078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3E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3E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3EEF"/>
    <w:rPr>
      <w:vertAlign w:val="superscript"/>
    </w:rPr>
  </w:style>
  <w:style w:type="paragraph" w:styleId="Revision">
    <w:name w:val="Revision"/>
    <w:hidden/>
    <w:uiPriority w:val="99"/>
    <w:semiHidden/>
    <w:rsid w:val="00C76907"/>
    <w:pPr>
      <w:spacing w:after="0" w:line="240" w:lineRule="auto"/>
    </w:pPr>
  </w:style>
  <w:style w:type="paragraph" w:customStyle="1" w:styleId="pf0">
    <w:name w:val="pf0"/>
    <w:basedOn w:val="Normal"/>
    <w:rsid w:val="009F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9F7601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3EE"/>
  </w:style>
  <w:style w:type="paragraph" w:styleId="Footer">
    <w:name w:val="footer"/>
    <w:basedOn w:val="Normal"/>
    <w:link w:val="FooterChar"/>
    <w:uiPriority w:val="99"/>
    <w:unhideWhenUsed/>
    <w:rsid w:val="00105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2745e8-e224-48e8-a2e3-254862b8c2f5">
      <Value>32</Value>
      <Value>49</Value>
      <Value>14</Value>
      <Value>11</Value>
      <Value>41</Value>
      <Value>40</Value>
    </TaxCatchAll>
    <EAReceivedDate xmlns="eebef177-55b5-4448-a5fb-28ea454417ee">2022-06-08T23:00:00+00:00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EPR-FB3809MM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EPR/EP3705MY</OtherReference>
    <EventLink xmlns="5ffd8e36-f429-4edc-ab50-c5be84842779" xsi:nil="true"/>
    <Customer_x002f_OperatorName xmlns="eebef177-55b5-4448-a5fb-28ea454417ee">Yorkshire Water Services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2022-06-08T23:00:00+00:00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EPR/FB3809MM</EPRNumber>
    <FacilityAddressPostcode xmlns="eebef177-55b5-4448-a5fb-28ea454417ee">LS9 0PJ</FacilityAddressPostcode>
    <ed3cfd1978f244c4af5dc9d642a18018 xmlns="dbe221e7-66db-4bdb-a92c-aa517c005f15">
      <Terms xmlns="http://schemas.microsoft.com/office/infopath/2007/PartnerControls"/>
    </ed3cfd1978f244c4af5dc9d642a18018>
    <ExternalAuthor xmlns="eebef177-55b5-4448-a5fb-28ea454417ee">Yorkshire Water Services Limited</ExternalAuthor>
    <SiteName xmlns="eebef177-55b5-4448-a5fb-28ea454417ee">Knostrop Sludge Treatment Facility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FacilityAddress xmlns="eebef177-55b5-4448-a5fb-28ea454417ee">Knostrop Sludge Treatment Facility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571E3-68A2-4A64-878C-82EA49374E6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98B6CC5-6469-487A-8F67-419D3E59D316"/>
    <ds:schemaRef ds:uri="http://schemas.openxmlformats.org/package/2006/metadata/core-properties"/>
    <ds:schemaRef ds:uri="http://purl.org/dc/terms/"/>
    <ds:schemaRef ds:uri="47afae09-7df9-4dae-a6c8-754594ec5a10"/>
    <ds:schemaRef ds:uri="598b6cc5-6469-487a-8f67-419d3e59d316"/>
    <ds:schemaRef ds:uri="http://schemas.microsoft.com/office/2006/documentManagement/types"/>
    <ds:schemaRef ds:uri="55191d1c-566a-44bc-9ec1-8d3b9aa217be"/>
    <ds:schemaRef ds:uri="http://www.w3.org/XML/1998/namespace"/>
    <ds:schemaRef ds:uri="http://purl.org/dc/dcmitype/"/>
    <ds:schemaRef ds:uri="662745e8-e224-48e8-a2e3-254862b8c2f5"/>
    <ds:schemaRef ds:uri="eebef177-55b5-4448-a5fb-28ea454417ee"/>
    <ds:schemaRef ds:uri="dbe221e7-66db-4bdb-a92c-aa517c005f15"/>
    <ds:schemaRef ds:uri="da21e935-9c4e-465c-9eca-732bd850eeb1"/>
    <ds:schemaRef ds:uri="5ffd8e36-f429-4edc-ab50-c5be84842779"/>
  </ds:schemaRefs>
</ds:datastoreItem>
</file>

<file path=customXml/itemProps2.xml><?xml version="1.0" encoding="utf-8"?>
<ds:datastoreItem xmlns:ds="http://schemas.openxmlformats.org/officeDocument/2006/customXml" ds:itemID="{A5A6F0F7-E052-4EA2-87E9-6DC6B3541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9BFCB-CA35-4575-AB4B-31B82332E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da21e935-9c4e-465c-9eca-732bd85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65E456-9403-4DD6-8252-86194F79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1442</Words>
  <Characters>8221</Characters>
  <Application>Microsoft Office Word</Application>
  <DocSecurity>0</DocSecurity>
  <Lines>68</Lines>
  <Paragraphs>19</Paragraphs>
  <ScaleCrop>false</ScaleCrop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Stewart</dc:creator>
  <cp:keywords/>
  <dc:description/>
  <cp:lastModifiedBy>Wight, Jonathan Robert</cp:lastModifiedBy>
  <cp:revision>2</cp:revision>
  <dcterms:created xsi:type="dcterms:W3CDTF">2022-08-09T12:41:00Z</dcterms:created>
  <dcterms:modified xsi:type="dcterms:W3CDTF">2022-08-09T12:41:00Z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MSIP_Label_d04dfc70-0289-4bbf-a1df-2e48919102f8_Enabled">
    <vt:lpwstr>true</vt:lpwstr>
  </property>
  <property fmtid="{D5CDD505-2E9C-101B-9397-08002B2CF9AE}" pid="4" name="MSIP_Label_d04dfc70-0289-4bbf-a1df-2e48919102f8_SetDate">
    <vt:lpwstr>2022-06-09T14:13:18Z</vt:lpwstr>
  </property>
  <property fmtid="{D5CDD505-2E9C-101B-9397-08002B2CF9AE}" pid="5" name="MSIP_Label_d04dfc70-0289-4bbf-a1df-2e48919102f8_Method">
    <vt:lpwstr>Standard</vt:lpwstr>
  </property>
  <property fmtid="{D5CDD505-2E9C-101B-9397-08002B2CF9AE}" pid="6" name="MSIP_Label_d04dfc70-0289-4bbf-a1df-2e48919102f8_Name">
    <vt:lpwstr>Private2</vt:lpwstr>
  </property>
  <property fmtid="{D5CDD505-2E9C-101B-9397-08002B2CF9AE}" pid="7" name="MSIP_Label_d04dfc70-0289-4bbf-a1df-2e48919102f8_SiteId">
    <vt:lpwstr>92ebd22d-0a9c-4516-a68f-ba966853a8f3</vt:lpwstr>
  </property>
  <property fmtid="{D5CDD505-2E9C-101B-9397-08002B2CF9AE}" pid="8" name="MSIP_Label_d04dfc70-0289-4bbf-a1df-2e48919102f8_ActionId">
    <vt:lpwstr>5311f148-c232-400e-88cb-5b54dcc74910</vt:lpwstr>
  </property>
  <property fmtid="{D5CDD505-2E9C-101B-9397-08002B2CF9AE}" pid="9" name="MSIP_Label_d04dfc70-0289-4bbf-a1df-2e48919102f8_ContentBits">
    <vt:lpwstr>0</vt:lpwstr>
  </property>
  <property fmtid="{D5CDD505-2E9C-101B-9397-08002B2CF9AE}" pid="10" name="YWSProjectReference">
    <vt:lpwstr>4;#New Project Scheme|05367ec5-9e2d-46cb-8506-3b5d57a47452</vt:lpwstr>
  </property>
  <property fmtid="{D5CDD505-2E9C-101B-9397-08002B2CF9AE}" pid="11" name="PermitDocumentType">
    <vt:lpwstr/>
  </property>
  <property fmtid="{D5CDD505-2E9C-101B-9397-08002B2CF9AE}" pid="12" name="MediaServiceImageTags">
    <vt:lpwstr/>
  </property>
  <property fmtid="{D5CDD505-2E9C-101B-9397-08002B2CF9AE}" pid="13" name="TypeofPermit">
    <vt:lpwstr>32;#Bespoke|743fbb82-64b4-442a-8bac-afa632175399</vt:lpwstr>
  </property>
  <property fmtid="{D5CDD505-2E9C-101B-9397-08002B2CF9AE}" pid="14" name="DisclosureStatus">
    <vt:lpwstr>41;#Public Register|f1fcf6a6-5d97-4f1d-964e-a2f916eb1f18</vt:lpwstr>
  </property>
  <property fmtid="{D5CDD505-2E9C-101B-9397-08002B2CF9AE}" pid="15" name="RegulatedActivitySub-Class">
    <vt:lpwstr/>
  </property>
  <property fmtid="{D5CDD505-2E9C-101B-9397-08002B2CF9AE}" pid="16" name="EventType1">
    <vt:lpwstr/>
  </property>
  <property fmtid="{D5CDD505-2E9C-101B-9397-08002B2CF9AE}" pid="17" name="ActivityGrouping">
    <vt:lpwstr>14;#Application ＆ Associated Docs|5eadfd3c-6deb-44e1-b7e1-16accd427bec</vt:lpwstr>
  </property>
  <property fmtid="{D5CDD505-2E9C-101B-9397-08002B2CF9AE}" pid="18" name="RegulatedActivityClass">
    <vt:lpwstr>49;#Installations|645f1c9c-65df-490a-9ce3-4a2aa7c5ff7f;#40;#Waste Operations|dc63c9b7-da6e-463c-b2cf-265b08d49156</vt:lpwstr>
  </property>
  <property fmtid="{D5CDD505-2E9C-101B-9397-08002B2CF9AE}" pid="19" name="Catchment">
    <vt:lpwstr/>
  </property>
  <property fmtid="{D5CDD505-2E9C-101B-9397-08002B2CF9AE}" pid="20" name="MajorProjectID">
    <vt:lpwstr/>
  </property>
  <property fmtid="{D5CDD505-2E9C-101B-9397-08002B2CF9AE}" pid="21" name="StandardRulesID">
    <vt:lpwstr/>
  </property>
  <property fmtid="{D5CDD505-2E9C-101B-9397-08002B2CF9AE}" pid="22" name="CessationStatus">
    <vt:lpwstr/>
  </property>
  <property fmtid="{D5CDD505-2E9C-101B-9397-08002B2CF9AE}" pid="23" name="Regime">
    <vt:lpwstr>11;#EPR|0e5af97d-1a8c-4d8f-a20b-528a11cab1f6</vt:lpwstr>
  </property>
</Properties>
</file>