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B1A5" w14:textId="77777777" w:rsidR="00E01A86" w:rsidRDefault="00D14F67">
      <w:pPr>
        <w:jc w:val="both"/>
      </w:pPr>
      <w:r>
        <w:rPr>
          <w:rFonts w:cs="Times New Roman"/>
          <w:b/>
          <w:bCs/>
        </w:rPr>
        <w:t xml:space="preserve">Non-Technical Summary </w:t>
      </w:r>
    </w:p>
    <w:p w14:paraId="1957FC95" w14:textId="77777777" w:rsidR="00E01A86" w:rsidRDefault="00D14F67">
      <w:pPr>
        <w:jc w:val="both"/>
      </w:pPr>
      <w:r>
        <w:rPr>
          <w:rFonts w:cs="Times New Roman"/>
          <w:b/>
          <w:bCs/>
        </w:rPr>
        <w:t>EPR/</w:t>
      </w:r>
      <w:r>
        <w:rPr>
          <w:rFonts w:cs="Times New Roman"/>
          <w:b/>
          <w:bCs/>
          <w:color w:val="FF0000"/>
        </w:rPr>
        <w:t xml:space="preserve"> </w:t>
      </w:r>
    </w:p>
    <w:p w14:paraId="5F819A59" w14:textId="77777777" w:rsidR="00E01A86" w:rsidRDefault="00D14F67">
      <w:pPr>
        <w:jc w:val="both"/>
      </w:pPr>
      <w:r>
        <w:rPr>
          <w:rFonts w:cs="Times New Roman"/>
          <w:b/>
          <w:bCs/>
        </w:rPr>
        <w:t>Lincolnshire Pork Co Ltd, Happylands Farm</w:t>
      </w:r>
    </w:p>
    <w:p w14:paraId="0A0B2758" w14:textId="77777777" w:rsidR="00E01A86" w:rsidRDefault="00D14F67">
      <w:pPr>
        <w:jc w:val="both"/>
      </w:pPr>
      <w:r>
        <w:rPr>
          <w:rFonts w:cs="Times New Roman"/>
        </w:rPr>
        <w:t xml:space="preserve">Happylands Farm is owned and operated by Lincolnshire Pork Co. Ltd. Happylands Farm currently has places for 1995 40-110 kg pig places in existing buildings, but the proposal is to extend one pig building to provide an additional 700 places for pigs 40-110kg.  Additionally, the proposal of a new pig shed with the capacity of 1300, bringing the total capacity of the site 3995. </w:t>
      </w:r>
    </w:p>
    <w:p w14:paraId="68F11ABB" w14:textId="77777777" w:rsidR="00E01A86" w:rsidRDefault="00D14F67">
      <w:pPr>
        <w:jc w:val="both"/>
      </w:pPr>
      <w:r>
        <w:rPr>
          <w:rFonts w:cs="Times New Roman"/>
        </w:rPr>
        <w:t>The pig enterprise is run on all in all out batch system with pigs arriving on the unit at 40kg and finishing at around 110kg.</w:t>
      </w:r>
    </w:p>
    <w:p w14:paraId="049B67E1" w14:textId="77777777" w:rsidR="00E01A86" w:rsidRDefault="00D14F67">
      <w:pPr>
        <w:jc w:val="both"/>
      </w:pPr>
      <w:r>
        <w:rPr>
          <w:rFonts w:cs="Times New Roman"/>
        </w:rPr>
        <w:t xml:space="preserve">There is an average downtime between batches of 2 weeks at around 3.5 batches per annum, i.e. 13% downtime.5 </w:t>
      </w:r>
    </w:p>
    <w:p w14:paraId="58ECE473" w14:textId="77777777" w:rsidR="00E01A86" w:rsidRDefault="00D14F67">
      <w:pPr>
        <w:jc w:val="both"/>
      </w:pPr>
      <w:r>
        <w:rPr>
          <w:rFonts w:cs="Times New Roman"/>
        </w:rPr>
        <w:t xml:space="preserve">The existing and proposed buildings are solid floored and straw bedded all buildings are naturally ventilated. </w:t>
      </w:r>
    </w:p>
    <w:p w14:paraId="1304F515" w14:textId="77777777" w:rsidR="00E01A86" w:rsidRDefault="00D14F67">
      <w:pPr>
        <w:jc w:val="both"/>
      </w:pPr>
      <w:r>
        <w:rPr>
          <w:rFonts w:cs="Times New Roman"/>
        </w:rPr>
        <w:t>Water for the existing sheds is provided by mains, in addition 2 25,000l water tanks are  provided as a back-up water supply.</w:t>
      </w:r>
    </w:p>
    <w:p w14:paraId="403AF049" w14:textId="77777777" w:rsidR="00E01A86" w:rsidRDefault="00D14F67">
      <w:pPr>
        <w:jc w:val="both"/>
      </w:pPr>
      <w:r>
        <w:rPr>
          <w:rFonts w:cs="Times New Roman"/>
        </w:rPr>
        <w:t>All feed is rations are dry and bought in, with diets formulated to match the growth stage of the pigs and fed ad lib.  Water is provided via nipple and river systems.</w:t>
      </w:r>
    </w:p>
    <w:p w14:paraId="3020E934" w14:textId="77777777" w:rsidR="00E01A86" w:rsidRDefault="00D14F67">
      <w:pPr>
        <w:jc w:val="both"/>
      </w:pPr>
      <w:r>
        <w:rPr>
          <w:rFonts w:cs="Times New Roman"/>
        </w:rPr>
        <w:t xml:space="preserve">Deadstock is stored in covered refrigerated storage on site and removed ad hoc by licenced deadstock collector. There is no incinerator on site. </w:t>
      </w:r>
    </w:p>
    <w:p w14:paraId="799F2AB5" w14:textId="77777777" w:rsidR="00E01A86" w:rsidRDefault="00D14F67">
      <w:pPr>
        <w:jc w:val="both"/>
      </w:pPr>
      <w:r>
        <w:rPr>
          <w:rFonts w:cs="Times New Roman"/>
        </w:rPr>
        <w:t xml:space="preserve">There is no fuel or oil storage on the site. Electricity for the site is currently provided from the grid. </w:t>
      </w:r>
    </w:p>
    <w:p w14:paraId="6A365225" w14:textId="77777777" w:rsidR="00E01A86" w:rsidRDefault="00D14F67">
      <w:pPr>
        <w:jc w:val="both"/>
      </w:pPr>
      <w:r>
        <w:rPr>
          <w:rFonts w:cs="Times New Roman"/>
        </w:rPr>
        <w:t xml:space="preserve">Muck is stored short-term on the midden and it is proposed that an additional muck pad is provided with the new building.  The current and proposed FYM stores will each have maximum storage of 466 tonnes each with a total available storage of 932t. Manure is loaded into trailers from the muck pad and transported to field heaps away from the site.  Muck pad drainage is directed to the slurry lagoon.  </w:t>
      </w:r>
    </w:p>
    <w:p w14:paraId="40FA40F7" w14:textId="77777777" w:rsidR="00E01A86" w:rsidRDefault="00D14F67">
      <w:pPr>
        <w:jc w:val="both"/>
      </w:pPr>
      <w:r>
        <w:rPr>
          <w:rFonts w:cs="Times New Roman"/>
        </w:rPr>
        <w:t xml:space="preserve">The muck from the existing buildings is used on the surrounding owned fields. The FYM produced from the new build and extension will be done on a Muck for Straw arrangement with the neighbouring arable farm Holton Farms- see Manure Management Plan </w:t>
      </w:r>
    </w:p>
    <w:p w14:paraId="5B9B104E" w14:textId="77777777" w:rsidR="00E01A86" w:rsidRDefault="00D14F67">
      <w:pPr>
        <w:jc w:val="both"/>
      </w:pPr>
      <w:r>
        <w:rPr>
          <w:rFonts w:cs="Times New Roman"/>
        </w:rPr>
        <w:t>The manure management plan is in place and confirms that Happylands Farm is compliant with the requirements of the NVZ Regulations..</w:t>
      </w:r>
    </w:p>
    <w:p w14:paraId="66CD7299" w14:textId="77777777" w:rsidR="00E01A86" w:rsidRDefault="00D14F67">
      <w:pPr>
        <w:jc w:val="both"/>
      </w:pPr>
      <w:r>
        <w:rPr>
          <w:rFonts w:cs="Times New Roman"/>
        </w:rPr>
        <w:t xml:space="preserve">Clean water from roof areas to the out side of the site is directed to water collection tanks for blocks 1 and 2 and to ditches on blocks 3 and 4 . Rainwater draining into the centre yard areas is directed to a ditch to the north of the site via a silt trap.  When yard areas are dirty all water draining to the central hardstanding is drained to the slurry lagoon by use of a diverter. </w:t>
      </w:r>
      <w:r>
        <w:rPr>
          <w:rFonts w:cs="Times New Roman"/>
          <w:color w:val="C9211E"/>
        </w:rPr>
        <w:t xml:space="preserve"> </w:t>
      </w:r>
    </w:p>
    <w:p w14:paraId="72B257DB" w14:textId="77777777" w:rsidR="00E01A86" w:rsidRDefault="00D14F67">
      <w:pPr>
        <w:jc w:val="both"/>
      </w:pPr>
      <w:r>
        <w:rPr>
          <w:rFonts w:cs="Times New Roman"/>
        </w:rPr>
        <w:t>An odour impact assessment and odour modelling has been completed as part of the planning application, the odour modelling predicted that odour exposure would be below the Environment Agency’s benchmark for moderately offensive odours.</w:t>
      </w:r>
    </w:p>
    <w:p w14:paraId="3EE16B90" w14:textId="77777777" w:rsidR="00E01A86" w:rsidRDefault="00D14F67">
      <w:pPr>
        <w:jc w:val="both"/>
      </w:pPr>
      <w:r>
        <w:rPr>
          <w:rFonts w:cs="Times New Roman"/>
        </w:rPr>
        <w:t>In addition an ammonia impact assessment has been undertaken using SCAIL.</w:t>
      </w:r>
    </w:p>
    <w:p w14:paraId="68E848A7" w14:textId="77777777" w:rsidR="00E01A86" w:rsidRDefault="00E01A86">
      <w:pPr>
        <w:jc w:val="both"/>
        <w:rPr>
          <w:rFonts w:cs="Times New Roman"/>
          <w:b/>
          <w:bCs/>
          <w:u w:val="single"/>
        </w:rPr>
      </w:pPr>
    </w:p>
    <w:p w14:paraId="32382A9A" w14:textId="77777777" w:rsidR="00E01A86" w:rsidRDefault="00E01A86">
      <w:pPr>
        <w:jc w:val="both"/>
        <w:rPr>
          <w:rFonts w:cs="Times New Roman"/>
          <w:b/>
          <w:bCs/>
          <w:u w:val="single"/>
        </w:rPr>
      </w:pPr>
    </w:p>
    <w:p w14:paraId="2FC71A0E" w14:textId="77777777" w:rsidR="00E01A86" w:rsidRDefault="00D14F67">
      <w:pPr>
        <w:jc w:val="both"/>
      </w:pPr>
      <w:r>
        <w:rPr>
          <w:rFonts w:cs="Times New Roman"/>
          <w:b/>
          <w:bCs/>
          <w:u w:val="single"/>
        </w:rPr>
        <w:t xml:space="preserve">Site Location </w:t>
      </w:r>
    </w:p>
    <w:p w14:paraId="043F6933" w14:textId="77777777" w:rsidR="00E01A86" w:rsidRDefault="00D14F67">
      <w:pPr>
        <w:jc w:val="both"/>
      </w:pPr>
      <w:r>
        <w:rPr>
          <w:rFonts w:cs="Times New Roman"/>
        </w:rPr>
        <w:t>The site is located at GR 507680 695910</w:t>
      </w:r>
      <w:r>
        <w:rPr>
          <w:rFonts w:cs="Times New Roman"/>
          <w:lang w:val="en-US"/>
        </w:rPr>
        <w:t xml:space="preserve"> is located to the NE of North Owersby and 1.6km S of Holten-le-Moor with open countryside. Located within Flood Zone 1. and is adjacent to a wooded area and small  irrigation reservoir. </w:t>
      </w:r>
    </w:p>
    <w:p w14:paraId="0FB38267" w14:textId="77777777" w:rsidR="00E01A86" w:rsidRDefault="00D14F67">
      <w:pPr>
        <w:jc w:val="both"/>
      </w:pPr>
      <w:r>
        <w:rPr>
          <w:rFonts w:cs="Times New Roman"/>
        </w:rPr>
        <w:t>There is</w:t>
      </w:r>
      <w:r>
        <w:rPr>
          <w:rFonts w:cs="Times New Roman"/>
          <w:color w:val="C9211E"/>
        </w:rPr>
        <w:t xml:space="preserve"> </w:t>
      </w:r>
      <w:r>
        <w:rPr>
          <w:rFonts w:cs="Times New Roman"/>
        </w:rPr>
        <w:t>one</w:t>
      </w:r>
      <w:r>
        <w:rPr>
          <w:rFonts w:cs="Times New Roman"/>
          <w:color w:val="C9211E"/>
        </w:rPr>
        <w:t xml:space="preserve"> </w:t>
      </w:r>
      <w:r>
        <w:rPr>
          <w:rFonts w:cs="Times New Roman"/>
          <w:color w:val="000000"/>
        </w:rPr>
        <w:t xml:space="preserve">sensitive receptor within 400m distance from the installation boundary. The closest is a </w:t>
      </w:r>
      <w:r>
        <w:rPr>
          <w:color w:val="000000"/>
        </w:rPr>
        <w:t xml:space="preserve">farmhouse residence which are owned by the operators of the site. </w:t>
      </w:r>
      <w:r>
        <w:rPr>
          <w:rFonts w:cs="Times New Roman"/>
          <w:color w:val="000000"/>
        </w:rPr>
        <w:t>The nearest other residential dwelling is at 690m to the South-west (Red Wing Farm).</w:t>
      </w:r>
    </w:p>
    <w:p w14:paraId="749E57B9" w14:textId="77777777" w:rsidR="00E01A86" w:rsidRDefault="00D14F67">
      <w:pPr>
        <w:jc w:val="both"/>
      </w:pPr>
      <w:r>
        <w:rPr>
          <w:rFonts w:cs="Times New Roman"/>
        </w:rPr>
        <w:t xml:space="preserve">There have been no previous issues relating to odour, noise or flies in relation to the farm. </w:t>
      </w:r>
    </w:p>
    <w:p w14:paraId="799837C9" w14:textId="77777777" w:rsidR="00E01A86" w:rsidRDefault="00D14F67">
      <w:pPr>
        <w:jc w:val="both"/>
      </w:pPr>
      <w:r>
        <w:rPr>
          <w:rFonts w:cs="Times New Roman"/>
          <w:color w:val="000000"/>
        </w:rPr>
        <w:t>The site is not within a flood risk zone and there are no ecological constraints within or adjacent to the site.  In addition there are no statutory designations within or adjacent to the site.</w:t>
      </w:r>
    </w:p>
    <w:p w14:paraId="5FA1034B" w14:textId="77777777" w:rsidR="00E01A86" w:rsidRDefault="00D14F67">
      <w:pPr>
        <w:jc w:val="both"/>
      </w:pPr>
      <w:r>
        <w:rPr>
          <w:rFonts w:cs="Times New Roman"/>
          <w:color w:val="000000"/>
        </w:rPr>
        <w:t xml:space="preserve">The site is within 5km of one SSSI designated site, Kingerby Beck Meadows (approx. 3.2km at closest point). There are no Ramsar, or SPA designations within 5km.  </w:t>
      </w:r>
    </w:p>
    <w:p w14:paraId="3F083607" w14:textId="77777777" w:rsidR="00E01A86" w:rsidRDefault="00D14F67">
      <w:pPr>
        <w:jc w:val="both"/>
      </w:pPr>
      <w:r>
        <w:rPr>
          <w:rFonts w:cs="Times New Roman"/>
          <w:color w:val="000000"/>
        </w:rPr>
        <w:t>There are other SSSI/SAC’s located at greater distance as below:</w:t>
      </w:r>
    </w:p>
    <w:p w14:paraId="390D85F5" w14:textId="77777777" w:rsidR="00E01A86" w:rsidRDefault="00D14F67">
      <w:pPr>
        <w:jc w:val="both"/>
      </w:pPr>
      <w:r>
        <w:rPr>
          <w:rFonts w:cs="Times New Roman"/>
          <w:color w:val="000000"/>
        </w:rPr>
        <w:t>Nettleton Chalk Pit (5.24km)</w:t>
      </w:r>
    </w:p>
    <w:p w14:paraId="56D8D28E" w14:textId="77777777" w:rsidR="00E01A86" w:rsidRDefault="00D14F67">
      <w:pPr>
        <w:jc w:val="both"/>
      </w:pPr>
      <w:r>
        <w:rPr>
          <w:rFonts w:cs="Times New Roman"/>
          <w:color w:val="000000"/>
        </w:rPr>
        <w:t>Normanby Meadow (8.15km)</w:t>
      </w:r>
    </w:p>
    <w:p w14:paraId="57128786" w14:textId="77777777" w:rsidR="00E01A86" w:rsidRDefault="00D14F67">
      <w:pPr>
        <w:jc w:val="both"/>
      </w:pPr>
      <w:r>
        <w:rPr>
          <w:rFonts w:cs="Times New Roman"/>
          <w:color w:val="000000"/>
        </w:rPr>
        <w:t>Linwood Warren (9.53km)</w:t>
      </w:r>
    </w:p>
    <w:p w14:paraId="7CE5F5C5" w14:textId="77777777" w:rsidR="00E01A86" w:rsidRDefault="00E01A86">
      <w:pPr>
        <w:jc w:val="both"/>
        <w:rPr>
          <w:rFonts w:cs="Times New Roman"/>
          <w:b/>
          <w:bCs/>
          <w:color w:val="C9211E"/>
          <w:u w:val="single"/>
        </w:rPr>
      </w:pPr>
    </w:p>
    <w:p w14:paraId="1D127B75" w14:textId="77777777" w:rsidR="00E01A86" w:rsidRDefault="00D14F67">
      <w:pPr>
        <w:jc w:val="both"/>
      </w:pPr>
      <w:r>
        <w:rPr>
          <w:rFonts w:cs="Times New Roman"/>
          <w:b/>
          <w:bCs/>
          <w:u w:val="single"/>
        </w:rPr>
        <w:t xml:space="preserve">BAT Compliance </w:t>
      </w:r>
    </w:p>
    <w:p w14:paraId="6916F8C4" w14:textId="77777777" w:rsidR="00E01A86" w:rsidRDefault="00D14F67">
      <w:pPr>
        <w:spacing w:after="120"/>
        <w:jc w:val="both"/>
      </w:pPr>
      <w:r>
        <w:rPr>
          <w:rFonts w:eastAsia="Arial" w:cs="Times New Roman"/>
        </w:rPr>
        <w:t>Referring to the IRPP BAT Conclusions document</w:t>
      </w:r>
      <w:r>
        <w:rPr>
          <w:rFonts w:cs="Times New Roman"/>
          <w:lang w:eastAsia="en-GB"/>
        </w:rPr>
        <w:t>, published on the 21st February 2017</w:t>
      </w:r>
      <w:r>
        <w:rPr>
          <w:rFonts w:eastAsia="Arial" w:cs="Times New Roman"/>
        </w:rPr>
        <w:t xml:space="preserve">, we can confirm that we will be able comply with all relevant BAT conclusions, including the revised BAT Associated Emission Levels (BAT-AEL).  </w:t>
      </w:r>
    </w:p>
    <w:p w14:paraId="31525910" w14:textId="77777777" w:rsidR="00E01A86" w:rsidRDefault="00D14F67">
      <w:pPr>
        <w:spacing w:after="120"/>
        <w:jc w:val="both"/>
      </w:pPr>
      <w:r>
        <w:rPr>
          <w:rFonts w:eastAsia="Arial" w:cs="Times New Roman"/>
          <w:u w:val="single"/>
        </w:rPr>
        <w:t xml:space="preserve">BAT conclusion 3 and 4: </w:t>
      </w:r>
    </w:p>
    <w:p w14:paraId="3F2F76D5" w14:textId="77777777" w:rsidR="00E01A86" w:rsidRDefault="00D14F67">
      <w:pPr>
        <w:spacing w:after="120"/>
        <w:jc w:val="both"/>
      </w:pPr>
      <w:r>
        <w:rPr>
          <w:rFonts w:eastAsia="Arial" w:cs="Times New Roman"/>
        </w:rPr>
        <w:t xml:space="preserve">We adopt a nutritional strategy to reduce levels of nitrogen (N) and phosphorus (P) excretion and can demonstrate we are meeting the BAT associated excretion levels. Feed dockets and a current generic statement can be provided to demonstrate a reducing protein (N) and phosphorus (P or total P) diet over the whole life cycle. </w:t>
      </w:r>
    </w:p>
    <w:p w14:paraId="1AEE8FD0" w14:textId="77777777" w:rsidR="00E01A86" w:rsidRDefault="00D14F67">
      <w:pPr>
        <w:spacing w:after="120"/>
        <w:jc w:val="both"/>
      </w:pPr>
      <w:r>
        <w:rPr>
          <w:rFonts w:eastAsia="Arial" w:cs="Times New Roman"/>
          <w:u w:val="single"/>
        </w:rPr>
        <w:t>BAT conclusion 24:</w:t>
      </w:r>
    </w:p>
    <w:p w14:paraId="4D0FEE83" w14:textId="77777777" w:rsidR="00E01A86" w:rsidRDefault="00D14F67">
      <w:pPr>
        <w:jc w:val="both"/>
      </w:pPr>
      <w:r>
        <w:rPr>
          <w:rFonts w:cs="Times New Roman"/>
        </w:rPr>
        <w:t xml:space="preserve">We will use manure analysis to estimate total N and P content in manure and will report this to you annually. </w:t>
      </w:r>
    </w:p>
    <w:p w14:paraId="773DEA28" w14:textId="77777777" w:rsidR="00E01A86" w:rsidRDefault="00D14F67">
      <w:pPr>
        <w:jc w:val="both"/>
      </w:pPr>
      <w:r>
        <w:rPr>
          <w:rFonts w:cs="Times New Roman"/>
          <w:u w:val="single"/>
        </w:rPr>
        <w:t>BAT conclusion 25</w:t>
      </w:r>
      <w:r>
        <w:rPr>
          <w:rFonts w:cs="Times New Roman"/>
        </w:rPr>
        <w:t xml:space="preserve"> </w:t>
      </w:r>
    </w:p>
    <w:p w14:paraId="1D4D072E" w14:textId="77777777" w:rsidR="00E01A86" w:rsidRDefault="00D14F67">
      <w:pPr>
        <w:jc w:val="both"/>
      </w:pPr>
      <w:r>
        <w:rPr>
          <w:rFonts w:cs="Times New Roman"/>
        </w:rPr>
        <w:t xml:space="preserve">We will monitor ammonium emissions and demonstrate emission levels through use of emission factors. </w:t>
      </w:r>
    </w:p>
    <w:p w14:paraId="2F1932EC" w14:textId="77777777" w:rsidR="00E01A86" w:rsidRDefault="00D14F67">
      <w:pPr>
        <w:jc w:val="both"/>
      </w:pPr>
      <w:r>
        <w:rPr>
          <w:rFonts w:cs="Times New Roman"/>
          <w:u w:val="single"/>
        </w:rPr>
        <w:t>BAT conclusions 27:</w:t>
      </w:r>
    </w:p>
    <w:p w14:paraId="74C35EF3" w14:textId="77777777" w:rsidR="00E01A86" w:rsidRDefault="00D14F67">
      <w:pPr>
        <w:jc w:val="both"/>
      </w:pPr>
      <w:r>
        <w:rPr>
          <w:rFonts w:cs="Times New Roman"/>
        </w:rPr>
        <w:t xml:space="preserve">We will monitor and demonstrate dust emissions from each animal housed, by use of emission factors. </w:t>
      </w:r>
    </w:p>
    <w:p w14:paraId="061E7A9B" w14:textId="77777777" w:rsidR="00E01A86" w:rsidRDefault="00E01A86">
      <w:pPr>
        <w:jc w:val="both"/>
        <w:rPr>
          <w:rFonts w:cs="Times New Roman"/>
          <w:color w:val="000000"/>
          <w:u w:val="single"/>
        </w:rPr>
      </w:pPr>
    </w:p>
    <w:p w14:paraId="5A523631" w14:textId="77777777" w:rsidR="00E01A86" w:rsidRDefault="00E01A86">
      <w:pPr>
        <w:jc w:val="both"/>
        <w:rPr>
          <w:rFonts w:cs="Times New Roman"/>
          <w:color w:val="000000"/>
          <w:u w:val="single"/>
        </w:rPr>
      </w:pPr>
    </w:p>
    <w:p w14:paraId="1EF5E43F" w14:textId="77777777" w:rsidR="00E01A86" w:rsidRDefault="00D14F67">
      <w:pPr>
        <w:jc w:val="both"/>
      </w:pPr>
      <w:r>
        <w:rPr>
          <w:rFonts w:cs="Times New Roman"/>
          <w:color w:val="000000"/>
          <w:u w:val="single"/>
        </w:rPr>
        <w:t>BAT conclusions 30:</w:t>
      </w:r>
    </w:p>
    <w:p w14:paraId="5A4214AF" w14:textId="77777777" w:rsidR="00E01A86" w:rsidRDefault="00D14F67">
      <w:pPr>
        <w:jc w:val="both"/>
      </w:pPr>
      <w:r>
        <w:rPr>
          <w:rFonts w:cs="Times New Roman"/>
          <w:color w:val="000000"/>
        </w:rPr>
        <w:t xml:space="preserve">Solid floor, straw bedded system, with bedding kept clean and dry and wet areas removed frequently. The maximum FYM storage at any one time on site is 932t which is exported directly when weather and ground conditions allow.  These measures reduce the ammonia emitting surface.  </w:t>
      </w:r>
    </w:p>
    <w:p w14:paraId="34206893" w14:textId="77777777" w:rsidR="00E01A86" w:rsidRDefault="00E01A86">
      <w:pPr>
        <w:jc w:val="both"/>
        <w:rPr>
          <w:rFonts w:cs="Times New Roman"/>
          <w:color w:val="000000"/>
          <w:u w:val="single"/>
        </w:rPr>
      </w:pPr>
    </w:p>
    <w:p w14:paraId="5A589190" w14:textId="77777777" w:rsidR="00E01A86" w:rsidRDefault="00D14F67">
      <w:pPr>
        <w:jc w:val="both"/>
      </w:pPr>
      <w:r>
        <w:rPr>
          <w:rFonts w:cs="Times New Roman"/>
          <w:color w:val="000000"/>
          <w:u w:val="single"/>
        </w:rPr>
        <w:t>BAT AEL(s)</w:t>
      </w:r>
    </w:p>
    <w:p w14:paraId="12D52A11" w14:textId="77777777" w:rsidR="00E01A86" w:rsidRDefault="00D14F67">
      <w:pPr>
        <w:jc w:val="both"/>
      </w:pPr>
      <w:r>
        <w:rPr>
          <w:rFonts w:cs="Times New Roman"/>
          <w:color w:val="000000"/>
        </w:rPr>
        <w:t>The ammonia screening report that was issued on the 17</w:t>
      </w:r>
      <w:r>
        <w:rPr>
          <w:rFonts w:cs="Times New Roman"/>
          <w:color w:val="000000"/>
          <w:vertAlign w:val="superscript"/>
        </w:rPr>
        <w:t>th</w:t>
      </w:r>
      <w:r>
        <w:rPr>
          <w:rFonts w:cs="Times New Roman"/>
          <w:color w:val="000000"/>
        </w:rPr>
        <w:t xml:space="preserve"> July 2024 shows that the proposal screens out. This screening was based on an emission factor of 2 (kg NH3/animal place/yr). Since November 2024, the emission factor for pigs on solid floored, straw bedded, systems has been revised to 1.888. </w:t>
      </w:r>
    </w:p>
    <w:sectPr w:rsidR="00E01A86">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86"/>
    <w:rsid w:val="00586942"/>
    <w:rsid w:val="00D14F67"/>
    <w:rsid w:val="00E01A8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94F9"/>
  <w15:docId w15:val="{290610B9-88FD-47BD-B37D-27B738C8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B24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5E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5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45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45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45E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45E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45E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24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24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245E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245E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qFormat/>
    <w:rsid w:val="00B245E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qFormat/>
    <w:rsid w:val="00B245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sid w:val="00B245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sid w:val="00B245E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qFormat/>
    <w:rsid w:val="00B245E9"/>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qFormat/>
    <w:rsid w:val="00B245E9"/>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245E9"/>
    <w:rPr>
      <w:rFonts w:asciiTheme="minorHAnsi" w:eastAsiaTheme="majorEastAsia" w:hAnsiTheme="minorHAnsi"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245E9"/>
    <w:rPr>
      <w:i/>
      <w:iCs/>
      <w:color w:val="404040" w:themeColor="text1" w:themeTint="BF"/>
    </w:rPr>
  </w:style>
  <w:style w:type="character" w:styleId="IntenseEmphasis">
    <w:name w:val="Intense Emphasis"/>
    <w:basedOn w:val="DefaultParagraphFont"/>
    <w:uiPriority w:val="21"/>
    <w:qFormat/>
    <w:rsid w:val="00B245E9"/>
    <w:rPr>
      <w:i/>
      <w:iCs/>
      <w:color w:val="0F4761" w:themeColor="accent1" w:themeShade="BF"/>
    </w:rPr>
  </w:style>
  <w:style w:type="character" w:customStyle="1" w:styleId="IntenseQuoteChar">
    <w:name w:val="Intense Quote Char"/>
    <w:basedOn w:val="DefaultParagraphFont"/>
    <w:link w:val="IntenseQuote"/>
    <w:uiPriority w:val="30"/>
    <w:qFormat/>
    <w:rsid w:val="00B245E9"/>
    <w:rPr>
      <w:i/>
      <w:iCs/>
      <w:color w:val="0F4761" w:themeColor="accent1" w:themeShade="BF"/>
    </w:rPr>
  </w:style>
  <w:style w:type="character" w:styleId="IntenseReference">
    <w:name w:val="Intense Reference"/>
    <w:basedOn w:val="DefaultParagraphFont"/>
    <w:uiPriority w:val="32"/>
    <w:qFormat/>
    <w:rsid w:val="00B245E9"/>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B245E9"/>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245E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45E9"/>
    <w:pPr>
      <w:spacing w:before="160"/>
      <w:jc w:val="center"/>
    </w:pPr>
    <w:rPr>
      <w:i/>
      <w:iCs/>
      <w:color w:val="404040" w:themeColor="text1" w:themeTint="BF"/>
    </w:rPr>
  </w:style>
  <w:style w:type="paragraph" w:styleId="ListParagraph">
    <w:name w:val="List Paragraph"/>
    <w:basedOn w:val="Normal"/>
    <w:uiPriority w:val="34"/>
    <w:qFormat/>
    <w:rsid w:val="00B245E9"/>
    <w:pPr>
      <w:ind w:left="720"/>
      <w:contextualSpacing/>
    </w:pPr>
  </w:style>
  <w:style w:type="paragraph" w:styleId="IntenseQuote">
    <w:name w:val="Intense Quote"/>
    <w:basedOn w:val="Normal"/>
    <w:next w:val="Normal"/>
    <w:link w:val="IntenseQuoteChar"/>
    <w:uiPriority w:val="30"/>
    <w:qFormat/>
    <w:rsid w:val="00B24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2025-04-14T23:00:00+00:00</EAReceivedDate>
    <ga477587807b4e8dbd9d142e03c014fa xmlns="dbe221e7-66db-4bdb-a92c-aa517c005f15">
      <Terms xmlns="http://schemas.microsoft.com/office/infopath/2007/PartnerControls"/>
    </ga477587807b4e8dbd9d142e03c014fa>
    <PermitNumber xmlns="eebef177-55b5-4448-a5fb-28ea454417ee">EPR-GP3828LK</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Lincolnshire Pork Co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2025-04-14T23:00:00+00:00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EPR/GP3828LK</EPRNumber>
    <FacilityAddressPostcode xmlns="eebef177-55b5-4448-a5fb-28ea454417ee">LN8 3YN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PSA</ExternalAuthor>
    <SiteName xmlns="eebef177-55b5-4448-a5fb-28ea454417ee">Happylands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Happylands Farm Market Rasen Lincolnshire LN8 3YN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83417873-DF85-49D6-AFE4-36C239383F30}"/>
</file>

<file path=customXml/itemProps2.xml><?xml version="1.0" encoding="utf-8"?>
<ds:datastoreItem xmlns:ds="http://schemas.openxmlformats.org/officeDocument/2006/customXml" ds:itemID="{9F40434E-39D2-4AAB-A462-39443900DC16}"/>
</file>

<file path=customXml/itemProps3.xml><?xml version="1.0" encoding="utf-8"?>
<ds:datastoreItem xmlns:ds="http://schemas.openxmlformats.org/officeDocument/2006/customXml" ds:itemID="{C323CC2C-8418-417C-8EB3-C32110171CB1}"/>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4687</Characters>
  <Application>Microsoft Office Word</Application>
  <DocSecurity>4</DocSecurity>
  <Lines>39</Lines>
  <Paragraphs>10</Paragraphs>
  <ScaleCrop>false</ScaleCrop>
  <Company>Defra</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Brito</dc:creator>
  <cp:lastModifiedBy>Gabriela Brito</cp:lastModifiedBy>
  <cp:revision>2</cp:revision>
  <dcterms:created xsi:type="dcterms:W3CDTF">2025-04-29T07:57:00Z</dcterms:created>
  <dcterms:modified xsi:type="dcterms:W3CDTF">2025-04-29T07:57:00Z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2025-02-11T10:18:00Z</dcterms:created>
  <dc:creator>Emma Holmes</dc:creator>
  <dc:description/>
  <dc:language>en-GB</dc:language>
  <cp:lastModifiedBy/>
  <cp:lastPrinted>2025-01-09T11:31:00Z</cp:lastPrinted>
  <dcterms:modified xsi:type="dcterms:W3CDTF">2025-04-10T10:00:49Z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