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sz w:val="24"/>
          <w:szCs w:val="24"/>
        </w:rPr>
      </w:pPr>
      <w:r>
        <w:rPr>
          <w:rFonts w:cs="Times New Roman" w:ascii="Times New Roman" w:hAnsi="Times New Roman"/>
          <w:b/>
          <w:sz w:val="24"/>
          <w:szCs w:val="24"/>
        </w:rPr>
        <w:t>aAppendix 6: Technical Standards – Happylands Farm</w:t>
      </w:r>
    </w:p>
    <w:p>
      <w:pPr>
        <w:pStyle w:val="Normal"/>
        <w:rPr>
          <w:rFonts w:ascii="Times New Roman" w:hAnsi="Times New Roman" w:cs="Times New Roman"/>
          <w:b/>
          <w:sz w:val="24"/>
          <w:szCs w:val="24"/>
        </w:rPr>
      </w:pPr>
      <w:r>
        <w:rPr>
          <w:rFonts w:cs="Times New Roman" w:ascii="Times New Roman" w:hAnsi="Times New Roman"/>
          <w:b/>
          <w:sz w:val="24"/>
          <w:szCs w:val="24"/>
        </w:rPr>
      </w:r>
    </w:p>
    <w:tbl>
      <w:tblPr>
        <w:tblW w:w="14977" w:type="dxa"/>
        <w:jc w:val="start"/>
        <w:tblInd w:w="-75" w:type="dxa"/>
        <w:tblLayout w:type="fixed"/>
        <w:tblCellMar>
          <w:top w:w="0" w:type="dxa"/>
          <w:start w:w="33" w:type="dxa"/>
          <w:bottom w:w="0" w:type="dxa"/>
          <w:end w:w="108" w:type="dxa"/>
        </w:tblCellMar>
        <w:tblLook w:firstRow="1" w:noVBand="1" w:lastRow="0" w:firstColumn="1" w:lastColumn="0" w:noHBand="0" w:val="04a0"/>
      </w:tblPr>
      <w:tblGrid>
        <w:gridCol w:w="7488"/>
        <w:gridCol w:w="7488"/>
      </w:tblGrid>
      <w:tr>
        <w:trPr/>
        <w:tc>
          <w:tcPr>
            <w:tcW w:w="14976" w:type="dxa"/>
            <w:gridSpan w:val="2"/>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b/>
                <w:sz w:val="24"/>
                <w:szCs w:val="24"/>
              </w:rPr>
            </w:pPr>
            <w:r>
              <w:rPr>
                <w:rFonts w:cs="Times New Roman" w:ascii="Times New Roman" w:hAnsi="Times New Roman"/>
                <w:b/>
                <w:sz w:val="24"/>
                <w:szCs w:val="24"/>
              </w:rPr>
              <w:t>Installation Name:   Happylands Farm</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b/>
                <w:sz w:val="24"/>
                <w:szCs w:val="24"/>
              </w:rPr>
            </w:pPr>
            <w:r>
              <w:rPr>
                <w:rFonts w:cs="Times New Roman" w:ascii="Times New Roman" w:hAnsi="Times New Roman"/>
                <w:b/>
                <w:sz w:val="24"/>
                <w:szCs w:val="24"/>
              </w:rPr>
              <w:t>Schedule 1 Activity or DAA description</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b/>
                <w:sz w:val="24"/>
                <w:szCs w:val="24"/>
              </w:rPr>
            </w:pPr>
            <w:r>
              <w:rPr>
                <w:rFonts w:cs="Times New Roman" w:ascii="Times New Roman" w:hAnsi="Times New Roman"/>
                <w:b/>
                <w:sz w:val="24"/>
                <w:szCs w:val="24"/>
              </w:rPr>
              <w:t>Relevant Technical Guidance note</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Section 6.9A (1) (a) (ii)</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How to comply EPR 6.09 Version 2</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Pig production</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b/>
                <w:sz w:val="24"/>
                <w:szCs w:val="24"/>
              </w:rPr>
            </w:pPr>
            <w:r>
              <w:rPr>
                <w:rFonts w:cs="Times New Roman" w:ascii="Times New Roman" w:hAnsi="Times New Roman"/>
                <w:b/>
                <w:sz w:val="24"/>
                <w:szCs w:val="24"/>
              </w:rPr>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Pig feed storage and preparation</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Selection and use of feed is in accordance with SGN EPR6.09 ‘How to comply with your environmental permit for intensive farming’</w:t>
            </w:r>
          </w:p>
          <w:p>
            <w:pPr>
              <w:pStyle w:val="Normal"/>
              <w:spacing w:lineRule="atLeast" w:line="100" w:before="0" w:after="0"/>
              <w:rPr>
                <w:rFonts w:ascii="Times New Roman" w:hAnsi="Times New Roman" w:cs="Times New Roman"/>
                <w:color w:themeColor="text1"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Feed is stored in purpose built, covered, feed silos as shown. Dry feed is delivered to the farm by lorry from feed suppliers. Feed is blown directly from the lorry into the relevant storage silos. </w:t>
            </w:r>
            <w:r>
              <w:rPr>
                <w:rFonts w:cs="Times New Roman" w:ascii="Times New Roman" w:hAnsi="Times New Roman"/>
                <w:color w:themeColor="text1" w:val="000000"/>
                <w:sz w:val="24"/>
                <w:szCs w:val="24"/>
              </w:rPr>
              <w:t>Feed is piped in sealed system to the sheds minimising creation of dust.</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Feed storage vessels are protected from collision damage by curbing and barriers.</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No liquid feed storage</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Areas around buildings are kept free from build-up of  spilt feed</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Selection and use of feed is in accordance with SGN EPR6.09 ‘How to comply with your environmental permit for intensive farming’</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Protein and phosphorus levels in the rations are matched to the animals’ needs by providing at least two different feed formulations. A nutritionist is employed to regularly review and reformulate diets in order to optimise production and minimise excretion of nutrients.</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F</w:t>
            </w:r>
            <w:r>
              <w:rPr>
                <w:rFonts w:cs="Times New Roman" w:ascii="Times New Roman" w:hAnsi="Times New Roman"/>
                <w:color w:themeColor="text1" w:val="000000"/>
                <w:sz w:val="24"/>
                <w:szCs w:val="24"/>
              </w:rPr>
              <w:t>eed never falls any great distance as it is topping up little and often</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Slurry and manure storage</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color w:val="FF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Manure is removed directly but the proposed site layout includes an existing and new muck store for temporary storage with total capacity of 932</w:t>
            </w:r>
            <w:r>
              <w:rPr>
                <w:rFonts w:cs="Times New Roman" w:ascii="Times New Roman" w:hAnsi="Times New Roman"/>
                <w:color w:val="auto"/>
                <w:sz w:val="24"/>
                <w:szCs w:val="24"/>
              </w:rPr>
              <w:t>t</w:t>
            </w:r>
            <w:r>
              <w:rPr>
                <w:rFonts w:cs="Times New Roman" w:ascii="Times New Roman" w:hAnsi="Times New Roman"/>
                <w:color w:val="FF0000"/>
                <w:sz w:val="24"/>
                <w:szCs w:val="24"/>
              </w:rPr>
              <w:t>.</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color w:val="FF0000"/>
                <w:sz w:val="24"/>
                <w:szCs w:val="24"/>
                <w:shd w:fill="FFFFFF" w:val="clear"/>
              </w:rPr>
            </w:pPr>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t>Wash water transferred into slurry lagoon.</w:t>
            </w:r>
          </w:p>
          <w:p>
            <w:pPr>
              <w:pStyle w:val="Normal"/>
              <w:spacing w:before="0" w:after="200"/>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Roof water is collected via gutters and down pipes into yard to ditch via a silt trap. Water to external facing roofs is collected in rainwater tanks or directed to ditch.</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Slurry spreading and manure management</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color w:val="auto"/>
                <w:sz w:val="24"/>
                <w:szCs w:val="24"/>
              </w:rPr>
            </w:pPr>
            <w:r>
              <w:rPr>
                <w:rFonts w:cs="Times New Roman" w:ascii="Times New Roman" w:hAnsi="Times New Roman"/>
                <w:sz w:val="24"/>
                <w:szCs w:val="24"/>
              </w:rPr>
              <w:t xml:space="preserve"> </w:t>
            </w:r>
            <w:r>
              <w:rPr>
                <w:rFonts w:cs="Times New Roman" w:ascii="Times New Roman" w:hAnsi="Times New Roman"/>
                <w:color w:val="auto"/>
                <w:sz w:val="24"/>
                <w:szCs w:val="24"/>
              </w:rPr>
              <w:t>Manure is exported directly but there is a muck store located behind the new build sheds and muck will be trailered from the existing sheds to this muck store where needed.</w:t>
            </w:r>
          </w:p>
          <w:p>
            <w:pPr>
              <w:pStyle w:val="Normal"/>
              <w:spacing w:lineRule="atLeast" w:line="100" w:before="0" w:after="0"/>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Fuel oil &amp; chemical storage, low capacity non SRM</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color w:val="auto"/>
                <w:sz w:val="24"/>
                <w:szCs w:val="24"/>
              </w:rPr>
            </w:pPr>
            <w:r>
              <w:rPr>
                <w:rFonts w:cs="Times New Roman" w:ascii="Times New Roman" w:hAnsi="Times New Roman"/>
                <w:sz w:val="24"/>
                <w:szCs w:val="24"/>
              </w:rPr>
              <w:t xml:space="preserve"> </w:t>
            </w:r>
            <w:r>
              <w:rPr>
                <w:rFonts w:cs="Times New Roman" w:ascii="Times New Roman" w:hAnsi="Times New Roman"/>
                <w:color w:val="auto"/>
                <w:sz w:val="24"/>
                <w:szCs w:val="24"/>
              </w:rPr>
              <w:t>There is no fuel oil or oil storage on the installation.</w:t>
            </w:r>
          </w:p>
          <w:p>
            <w:pPr>
              <w:pStyle w:val="Normal"/>
              <w:spacing w:lineRule="atLeast" w:line="100" w:before="0" w:after="0"/>
              <w:rPr>
                <w:color w:val="auto"/>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There are no agrochemicals stored on installation. Veterinary medicines are stored in the site welfare office.</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There is no incinerator</w:t>
            </w:r>
          </w:p>
          <w:p>
            <w:pPr>
              <w:pStyle w:val="Normal"/>
              <w:spacing w:lineRule="atLeast" w:line="100" w:before="0" w:after="0"/>
              <w:rPr>
                <w:rFonts w:ascii="Times New Roman" w:hAnsi="Times New Roman" w:cs="Times New Roman"/>
                <w:b/>
                <w:sz w:val="24"/>
                <w:szCs w:val="24"/>
              </w:rPr>
            </w:pPr>
            <w:r>
              <w:rPr>
                <w:rFonts w:cs="Times New Roman" w:ascii="Times New Roman" w:hAnsi="Times New Roman"/>
                <w:b/>
                <w:sz w:val="24"/>
                <w:szCs w:val="24"/>
              </w:rPr>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Housing</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Housing design and management is in accordance with SGN EPR6.09 ‘How to comply with your environmental permit for intensive farming’</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The buildings and associated drainage have all been built to BAT standards, with a strong focus on resource saving and efficiency</w:t>
            </w:r>
          </w:p>
          <w:p>
            <w:pPr>
              <w:pStyle w:val="TextBody"/>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All pigs at all stages are kept on solid floored and straw bedded.  </w:t>
            </w:r>
            <w:r>
              <w:rPr>
                <w:rFonts w:cs="Times New Roman" w:ascii="Times New Roman" w:hAnsi="Times New Roman"/>
                <w:color w:val="000000"/>
                <w:sz w:val="24"/>
                <w:szCs w:val="24"/>
              </w:rPr>
              <w:t>The buildings are all naturally ventilated</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auto"/>
                <w:sz w:val="24"/>
                <w:szCs w:val="24"/>
              </w:rPr>
              <w:t>LED lighting is used throughout, and no heating is applied.</w:t>
            </w:r>
          </w:p>
          <w:p>
            <w:pPr>
              <w:pStyle w:val="TextBody"/>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All buildings and structures on site are maintained in good repair. In accordance with the management system. There is a programme of inspection and planned preventative maintenance for the housing, drainage and all equipment. Floors and walls are kept clean. Any cracks and damaged areas of yards and walls are repaired.</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Drinkers have been designed to prevent leakage to minimise the amount of dirty water going to the slurry storage. Water nipple drinkers </w:t>
            </w:r>
            <w:r>
              <w:rPr>
                <w:rFonts w:cs="Times New Roman" w:ascii="Times New Roman" w:hAnsi="Times New Roman"/>
                <w:color w:val="000000"/>
                <w:sz w:val="24"/>
                <w:szCs w:val="24"/>
                <w:shd w:fill="FFFFFF" w:val="clear"/>
              </w:rPr>
              <w:t>are used,</w:t>
            </w:r>
            <w:r>
              <w:rPr>
                <w:rFonts w:cs="Times New Roman" w:ascii="Times New Roman" w:hAnsi="Times New Roman"/>
                <w:color w:val="000000"/>
                <w:sz w:val="24"/>
                <w:szCs w:val="24"/>
              </w:rPr>
              <w:t xml:space="preserve"> and water consumption is monitored.</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b/>
                <w:sz w:val="24"/>
                <w:szCs w:val="24"/>
              </w:rPr>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Low capacity non SRM</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N/A</w:t>
            </w:r>
          </w:p>
        </w:tc>
      </w:tr>
      <w:tr>
        <w:trPr/>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Drainage</w:t>
            </w:r>
          </w:p>
        </w:tc>
        <w:tc>
          <w:tcPr>
            <w:tcW w:w="7488" w:type="dxa"/>
            <w:tcBorders>
              <w:top w:val="single" w:sz="4" w:space="0" w:color="00000A"/>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There are no direct or indirect releases to ground water.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Refer to the drainage plan (Appendix 4). A copy of the drainage plan is also kept with the accident management plan.</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T</w:t>
            </w:r>
            <w:r>
              <w:rPr>
                <w:rFonts w:cs="Times New Roman" w:ascii="Times New Roman" w:hAnsi="Times New Roman"/>
                <w:color w:val="000000"/>
                <w:sz w:val="24"/>
                <w:szCs w:val="24"/>
              </w:rPr>
              <w:t xml:space="preserve">he clean water drainage systems are not contaminated.  </w:t>
            </w:r>
            <w:r>
              <w:rPr>
                <w:rFonts w:cs="Times New Roman" w:ascii="Times New Roman" w:hAnsi="Times New Roman"/>
                <w:color w:val="auto"/>
                <w:sz w:val="24"/>
                <w:szCs w:val="24"/>
              </w:rPr>
              <w:t xml:space="preserve">Clean water from roof areas to the outside of the site is directed to water collection tanks for blocks 1 and 2 and to </w:t>
            </w:r>
            <w:r>
              <w:rPr>
                <w:rFonts w:cs="Times New Roman" w:ascii="Times New Roman" w:hAnsi="Times New Roman"/>
                <w:color w:val="auto"/>
                <w:sz w:val="24"/>
                <w:szCs w:val="24"/>
              </w:rPr>
              <w:t>ditch</w:t>
            </w:r>
            <w:r>
              <w:rPr>
                <w:rFonts w:cs="Times New Roman" w:ascii="Times New Roman" w:hAnsi="Times New Roman"/>
                <w:color w:val="auto"/>
                <w:sz w:val="24"/>
                <w:szCs w:val="24"/>
              </w:rPr>
              <w:t xml:space="preserve"> on blocks 3 and 4 . Rainwater draining into the centre yard areas is directed to the ditch.  When yard areas are dirty all water draining to the central hardstanding is drained to the slurry lagoon by use of a diverter. Contaminated water and wash water is diverted to the slurry lagoon. </w:t>
            </w:r>
            <w:r>
              <w:rPr>
                <w:rFonts w:cs="Times New Roman" w:ascii="Times New Roman" w:hAnsi="Times New Roman"/>
                <w:color w:val="C9211E"/>
                <w:sz w:val="24"/>
                <w:szCs w:val="24"/>
              </w:rPr>
              <w:t xml:space="preserve"> </w:t>
            </w:r>
            <w:r>
              <w:rPr>
                <w:rFonts w:cs="Times New Roman" w:ascii="Times New Roman" w:hAnsi="Times New Roman"/>
                <w:color w:val="auto"/>
                <w:sz w:val="24"/>
                <w:szCs w:val="24"/>
              </w:rPr>
              <w:t>A silt trap will be used for water being diverted into the ditch.</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Yard areas are kept visibly clean; drainage channels/pipes are kept clear and spilt feed and dust are cleaned up</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Disinfectant footbaths are designed not to overflow.</w:t>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Livestock numbers and movements</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A system is in place to record the number of animals on the farm at any one time. Animal movements on and off the farm are also recorded; these records will be available for inspection.</w:t>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Deadstock disposal</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Fallen stock is disposed of in accordance with the current Animal By-Products Regulations. It is collected by a licenced contractor once per week, or sooner if required. Deadstock collection vehicles are kept to the perimeter of the site to reduce disease risk.</w:t>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Veterinary medicines and pest control</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Pesticides/rodenticide and veterinary medicines are kept in a store capable of retaining spillage, resistant to fire and are kept dry, frost free and secure.</w:t>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Pollution Prevention Measures</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All operations are assessed annually for opportunities to reduce pollution risk and implementation schedules developed as appropriate.</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All staff are trained in pollution risk identification, minimisation and emergency procedures for general site activity and activity relating to their work duties.</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There is an accident management plan in place with a procedure to review incidents.</w:t>
            </w:r>
          </w:p>
        </w:tc>
      </w:tr>
      <w:tr>
        <w:trPr/>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Hazardous waste</w:t>
            </w:r>
          </w:p>
        </w:tc>
        <w:tc>
          <w:tcPr>
            <w:tcW w:w="7488" w:type="dxa"/>
            <w:tcBorders>
              <w:start w:val="single" w:sz="4" w:space="0" w:color="00000A"/>
              <w:bottom w:val="single" w:sz="4" w:space="0" w:color="00000A"/>
              <w:end w:val="single" w:sz="4" w:space="0" w:color="00000A"/>
            </w:tcBorders>
            <w:shd w:color="auto" w:fill="FFFFFF" w:val="cle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Veterinary waste is removed by the vet for safe disposal. Other hazardous waste, such as fluorescent light bulbs, waste oil, aerosols, etc. are removed by a licensed contractor with an adequate audit trail, meeting the requirements of the Environmental Permitting Regulations.</w:t>
            </w:r>
          </w:p>
        </w:tc>
      </w:tr>
    </w:tbl>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Table of Emission Points</w:t>
      </w:r>
    </w:p>
    <w:tbl>
      <w:tblPr>
        <w:tblW w:w="15298" w:type="dxa"/>
        <w:jc w:val="start"/>
        <w:tblInd w:w="99" w:type="dxa"/>
        <w:tblLayout w:type="fixed"/>
        <w:tblCellMar>
          <w:top w:w="55" w:type="dxa"/>
          <w:start w:w="15" w:type="dxa"/>
          <w:bottom w:w="55" w:type="dxa"/>
          <w:end w:w="55" w:type="dxa"/>
        </w:tblCellMar>
        <w:tblLook w:firstRow="1" w:noVBand="1" w:lastRow="0" w:firstColumn="1" w:lastColumn="0" w:noHBand="0" w:val="04a0"/>
      </w:tblPr>
      <w:tblGrid>
        <w:gridCol w:w="2374"/>
        <w:gridCol w:w="7777"/>
        <w:gridCol w:w="5147"/>
      </w:tblGrid>
      <w:tr>
        <w:trPr/>
        <w:tc>
          <w:tcPr>
            <w:tcW w:w="2374" w:type="dxa"/>
            <w:tcBorders>
              <w:top w:val="single" w:sz="2" w:space="0" w:color="000001"/>
              <w:start w:val="single" w:sz="2" w:space="0" w:color="000001"/>
              <w:bottom w:val="single" w:sz="2" w:space="0" w:color="000001"/>
            </w:tcBorders>
            <w:shd w:color="auto" w:fill="FFFFFF" w:val="clear"/>
          </w:tcPr>
          <w:p>
            <w:pPr>
              <w:pStyle w:val="TableContents"/>
              <w:spacing w:before="0" w:after="200"/>
              <w:rPr>
                <w:rFonts w:ascii="Times New Roman" w:hAnsi="Times New Roman" w:cs="Times New Roman"/>
                <w:b/>
                <w:bCs/>
                <w:sz w:val="24"/>
                <w:szCs w:val="24"/>
              </w:rPr>
            </w:pPr>
            <w:r>
              <w:rPr>
                <w:rFonts w:cs="Times New Roman" w:ascii="Times New Roman" w:hAnsi="Times New Roman"/>
                <w:b/>
                <w:bCs/>
                <w:sz w:val="24"/>
                <w:szCs w:val="24"/>
              </w:rPr>
              <w:t>Emission Point Reference</w:t>
            </w:r>
          </w:p>
        </w:tc>
        <w:tc>
          <w:tcPr>
            <w:tcW w:w="7777" w:type="dxa"/>
            <w:tcBorders>
              <w:top w:val="single" w:sz="2" w:space="0" w:color="000001"/>
              <w:start w:val="single" w:sz="2" w:space="0" w:color="000001"/>
              <w:bottom w:val="single" w:sz="2" w:space="0" w:color="000001"/>
            </w:tcBorders>
            <w:shd w:color="auto" w:fill="FFFFFF" w:val="clear"/>
          </w:tcPr>
          <w:p>
            <w:pPr>
              <w:pStyle w:val="TableContents"/>
              <w:spacing w:before="0" w:after="200"/>
              <w:rPr>
                <w:rFonts w:ascii="Times New Roman" w:hAnsi="Times New Roman" w:cs="Times New Roman"/>
                <w:b/>
                <w:bCs/>
                <w:sz w:val="24"/>
                <w:szCs w:val="24"/>
              </w:rPr>
            </w:pPr>
            <w:r>
              <w:rPr>
                <w:rFonts w:cs="Times New Roman" w:ascii="Times New Roman" w:hAnsi="Times New Roman"/>
                <w:b/>
                <w:bCs/>
                <w:sz w:val="24"/>
                <w:szCs w:val="24"/>
              </w:rPr>
              <w:t>Emission Point Description and Location</w:t>
            </w:r>
          </w:p>
        </w:tc>
        <w:tc>
          <w:tcPr>
            <w:tcW w:w="5147" w:type="dxa"/>
            <w:tcBorders>
              <w:top w:val="single" w:sz="2" w:space="0" w:color="000001"/>
              <w:start w:val="single" w:sz="2" w:space="0" w:color="000001"/>
              <w:bottom w:val="single" w:sz="2" w:space="0" w:color="000001"/>
              <w:end w:val="single" w:sz="2" w:space="0" w:color="000001"/>
            </w:tcBorders>
            <w:shd w:color="auto" w:fill="FFFFFF" w:val="clear"/>
          </w:tcPr>
          <w:p>
            <w:pPr>
              <w:pStyle w:val="TableContents"/>
              <w:spacing w:before="0" w:after="200"/>
              <w:rPr>
                <w:rFonts w:ascii="Times New Roman" w:hAnsi="Times New Roman" w:cs="Times New Roman"/>
                <w:b/>
                <w:bCs/>
                <w:sz w:val="24"/>
                <w:szCs w:val="24"/>
              </w:rPr>
            </w:pPr>
            <w:r>
              <w:rPr>
                <w:rFonts w:cs="Times New Roman" w:ascii="Times New Roman" w:hAnsi="Times New Roman"/>
                <w:b/>
                <w:bCs/>
                <w:sz w:val="24"/>
                <w:szCs w:val="24"/>
              </w:rPr>
              <w:t>Source</w:t>
            </w:r>
          </w:p>
        </w:tc>
      </w:tr>
      <w:tr>
        <w:trPr/>
        <w:tc>
          <w:tcPr>
            <w:tcW w:w="15298" w:type="dxa"/>
            <w:gridSpan w:val="3"/>
            <w:tcBorders>
              <w:start w:val="single" w:sz="2" w:space="0" w:color="000001"/>
              <w:bottom w:val="single" w:sz="2" w:space="0" w:color="000001"/>
              <w:end w:val="single" w:sz="2" w:space="0" w:color="000001"/>
            </w:tcBorders>
            <w:shd w:color="auto" w:fill="FFFFFF" w:val="clear"/>
          </w:tcPr>
          <w:p>
            <w:pPr>
              <w:pStyle w:val="TableContents"/>
              <w:spacing w:before="0" w:after="200"/>
              <w:rPr>
                <w:rFonts w:ascii="Times New Roman" w:hAnsi="Times New Roman" w:cs="Times New Roman"/>
                <w:b/>
                <w:bCs/>
                <w:color w:val="auto"/>
                <w:sz w:val="24"/>
                <w:szCs w:val="24"/>
              </w:rPr>
            </w:pPr>
            <w:r>
              <w:rPr>
                <w:rFonts w:cs="Times New Roman" w:ascii="Times New Roman" w:hAnsi="Times New Roman"/>
                <w:b/>
                <w:bCs/>
                <w:color w:val="auto"/>
                <w:sz w:val="24"/>
                <w:szCs w:val="24"/>
              </w:rPr>
              <w:t>Air</w:t>
            </w:r>
          </w:p>
        </w:tc>
      </w:tr>
      <w:tr>
        <w:trPr/>
        <w:tc>
          <w:tcPr>
            <w:tcW w:w="2374" w:type="dxa"/>
            <w:tcBorders>
              <w:start w:val="single" w:sz="2" w:space="0" w:color="000001"/>
              <w:bottom w:val="single" w:sz="2" w:space="0" w:color="000001"/>
            </w:tcBorders>
            <w:shd w:color="auto" w:fill="FFFFFF" w:val="clear"/>
          </w:tcPr>
          <w:p>
            <w:pPr>
              <w:pStyle w:val="Normal"/>
              <w:spacing w:before="60" w:after="60"/>
              <w:rPr>
                <w:rFonts w:ascii="Times New Roman" w:hAnsi="Times New Roman" w:cs="Times New Roman"/>
                <w:color w:val="auto"/>
                <w:sz w:val="24"/>
                <w:szCs w:val="24"/>
              </w:rPr>
            </w:pPr>
            <w:r>
              <w:rPr>
                <w:rFonts w:cs="Times New Roman" w:ascii="Times New Roman" w:hAnsi="Times New Roman"/>
                <w:color w:val="auto"/>
                <w:sz w:val="24"/>
                <w:szCs w:val="24"/>
              </w:rPr>
              <w:t>Pig buildings 1, 2, 3,  3a and 4</w:t>
            </w:r>
          </w:p>
        </w:tc>
        <w:tc>
          <w:tcPr>
            <w:tcW w:w="7777"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Production pig accommodation (&gt;40kg) – SFSS – natural ventilation – marked 1-4 on Site Plan (Appendix 4)</w:t>
            </w:r>
          </w:p>
        </w:tc>
        <w:tc>
          <w:tcPr>
            <w:tcW w:w="5147" w:type="dxa"/>
            <w:tcBorders>
              <w:start w:val="single" w:sz="2" w:space="0" w:color="000001"/>
              <w:bottom w:val="single" w:sz="2" w:space="0" w:color="000001"/>
              <w:end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Area source from naturally ventilated pig housing</w:t>
            </w:r>
          </w:p>
        </w:tc>
      </w:tr>
      <w:tr>
        <w:trPr/>
        <w:tc>
          <w:tcPr>
            <w:tcW w:w="2374"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Feed Bins</w:t>
            </w:r>
          </w:p>
        </w:tc>
        <w:tc>
          <w:tcPr>
            <w:tcW w:w="7777"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 xml:space="preserve">Dry feed delivery/storage areas (enclosed system through to feed troughs) – marked on Site Plan </w:t>
            </w:r>
            <w:r>
              <w:rPr>
                <w:rFonts w:cs="Times New Roman" w:ascii="Times New Roman" w:hAnsi="Times New Roman"/>
                <w:color w:val="auto"/>
                <w:sz w:val="24"/>
                <w:szCs w:val="24"/>
              </w:rPr>
              <w:t>(</w:t>
            </w:r>
            <w:r>
              <w:rPr>
                <w:rFonts w:cs="Times New Roman" w:ascii="Times New Roman" w:hAnsi="Times New Roman"/>
                <w:color w:val="auto"/>
                <w:sz w:val="24"/>
                <w:szCs w:val="24"/>
              </w:rPr>
              <w:t>Appendix 4</w:t>
            </w:r>
            <w:r>
              <w:rPr>
                <w:rFonts w:cs="Times New Roman" w:ascii="Times New Roman" w:hAnsi="Times New Roman"/>
                <w:color w:val="auto"/>
                <w:sz w:val="24"/>
                <w:szCs w:val="24"/>
              </w:rPr>
              <w:t>)</w:t>
            </w:r>
          </w:p>
        </w:tc>
        <w:tc>
          <w:tcPr>
            <w:tcW w:w="5147" w:type="dxa"/>
            <w:tcBorders>
              <w:start w:val="single" w:sz="2" w:space="0" w:color="000001"/>
              <w:bottom w:val="single" w:sz="2" w:space="0" w:color="000001"/>
              <w:end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Pig feed storage</w:t>
            </w:r>
          </w:p>
        </w:tc>
      </w:tr>
      <w:tr>
        <w:trPr/>
        <w:tc>
          <w:tcPr>
            <w:tcW w:w="2374"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Muck pads</w:t>
            </w:r>
          </w:p>
        </w:tc>
        <w:tc>
          <w:tcPr>
            <w:tcW w:w="7777"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Impermeable and bunded muck pad storing pig FYM - marked on Site Layout plan (Appendix 4b)</w:t>
            </w:r>
          </w:p>
        </w:tc>
        <w:tc>
          <w:tcPr>
            <w:tcW w:w="5147" w:type="dxa"/>
            <w:tcBorders>
              <w:start w:val="single" w:sz="2" w:space="0" w:color="000001"/>
              <w:bottom w:val="single" w:sz="2" w:space="0" w:color="000001"/>
              <w:end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Pig FYM storage</w:t>
            </w:r>
          </w:p>
        </w:tc>
      </w:tr>
      <w:tr>
        <w:trPr/>
        <w:tc>
          <w:tcPr>
            <w:tcW w:w="2374"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Waste water</w:t>
            </w:r>
          </w:p>
        </w:tc>
        <w:tc>
          <w:tcPr>
            <w:tcW w:w="7777" w:type="dxa"/>
            <w:tcBorders>
              <w:start w:val="single" w:sz="2" w:space="0" w:color="000001"/>
              <w:bottom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Dirty water directed to slurry lagoon.</w:t>
            </w:r>
          </w:p>
        </w:tc>
        <w:tc>
          <w:tcPr>
            <w:tcW w:w="5147" w:type="dxa"/>
            <w:tcBorders>
              <w:start w:val="single" w:sz="2" w:space="0" w:color="000001"/>
              <w:bottom w:val="single" w:sz="2" w:space="0" w:color="000001"/>
              <w:end w:val="single" w:sz="2" w:space="0" w:color="000001"/>
            </w:tcBorders>
            <w:shd w:color="auto" w:fill="FFFFFF" w:val="clear"/>
          </w:tcPr>
          <w:p>
            <w:pPr>
              <w:pStyle w:val="Normal"/>
              <w:spacing w:before="60" w:after="60"/>
              <w:rPr>
                <w:color w:val="auto"/>
              </w:rPr>
            </w:pPr>
            <w:r>
              <w:rPr>
                <w:rFonts w:cs="Times New Roman" w:ascii="Times New Roman" w:hAnsi="Times New Roman"/>
                <w:color w:val="auto"/>
                <w:sz w:val="24"/>
                <w:szCs w:val="24"/>
              </w:rPr>
              <w:t>Wash down, FYM</w:t>
            </w:r>
          </w:p>
        </w:tc>
      </w:tr>
      <w:tr>
        <w:trPr/>
        <w:tc>
          <w:tcPr>
            <w:tcW w:w="15298" w:type="dxa"/>
            <w:gridSpan w:val="3"/>
            <w:tcBorders>
              <w:start w:val="single" w:sz="2" w:space="0" w:color="000001"/>
              <w:bottom w:val="single" w:sz="2" w:space="0" w:color="000001"/>
              <w:end w:val="single" w:sz="2" w:space="0" w:color="000001"/>
            </w:tcBorders>
            <w:shd w:color="auto" w:fill="FFFFFF" w:val="clear"/>
          </w:tcPr>
          <w:p>
            <w:pPr>
              <w:pStyle w:val="TableContents"/>
              <w:spacing w:before="0" w:after="200"/>
              <w:rPr>
                <w:rFonts w:ascii="Times New Roman" w:hAnsi="Times New Roman" w:cs="Times New Roman"/>
                <w:b/>
                <w:bCs/>
                <w:color w:val="auto"/>
                <w:sz w:val="24"/>
                <w:szCs w:val="24"/>
              </w:rPr>
            </w:pPr>
            <w:r>
              <w:rPr>
                <w:rFonts w:cs="Times New Roman" w:ascii="Times New Roman" w:hAnsi="Times New Roman"/>
                <w:b/>
                <w:bCs/>
                <w:color w:val="auto"/>
                <w:sz w:val="24"/>
                <w:szCs w:val="24"/>
              </w:rPr>
              <w:t>Water</w:t>
            </w:r>
          </w:p>
        </w:tc>
      </w:tr>
      <w:tr>
        <w:trPr/>
        <w:tc>
          <w:tcPr>
            <w:tcW w:w="2374" w:type="dxa"/>
            <w:tcBorders>
              <w:start w:val="single" w:sz="2" w:space="0" w:color="000001"/>
              <w:bottom w:val="single" w:sz="4" w:space="0" w:color="000000"/>
            </w:tcBorders>
            <w:shd w:color="auto" w:fill="FFFFFF" w:val="clear"/>
          </w:tcPr>
          <w:p>
            <w:pPr>
              <w:pStyle w:val="TableContents"/>
              <w:spacing w:before="0" w:after="200"/>
              <w:rPr>
                <w:rFonts w:ascii="Times New Roman" w:hAnsi="Times New Roman" w:cs="Times New Roman"/>
                <w:color w:val="auto"/>
                <w:sz w:val="24"/>
                <w:szCs w:val="24"/>
              </w:rPr>
            </w:pPr>
            <w:r>
              <w:rPr>
                <w:rFonts w:cs="Times New Roman" w:ascii="Times New Roman" w:hAnsi="Times New Roman"/>
                <w:color w:val="auto"/>
                <w:sz w:val="24"/>
                <w:szCs w:val="24"/>
              </w:rPr>
              <w:t>Slurry lagoon</w:t>
            </w:r>
          </w:p>
        </w:tc>
        <w:tc>
          <w:tcPr>
            <w:tcW w:w="7777" w:type="dxa"/>
            <w:tcBorders>
              <w:start w:val="single" w:sz="2" w:space="0" w:color="000001"/>
              <w:bottom w:val="single" w:sz="4" w:space="0" w:color="000000"/>
            </w:tcBorders>
            <w:shd w:color="auto" w:fill="FFFFFF" w:val="clear"/>
          </w:tcPr>
          <w:p>
            <w:pPr>
              <w:pStyle w:val="Normal"/>
              <w:spacing w:before="60" w:after="60"/>
              <w:rPr>
                <w:color w:val="auto"/>
              </w:rPr>
            </w:pPr>
            <w:r>
              <w:rPr>
                <w:rFonts w:eastAsia="Times New Roman" w:cs="Times New Roman" w:ascii="Times New Roman" w:hAnsi="Times New Roman"/>
                <w:color w:val="auto"/>
                <w:sz w:val="24"/>
                <w:szCs w:val="24"/>
              </w:rPr>
              <w:t xml:space="preserve">All wash water, effluent and rainwater on to contaminated concrete is directed to slurry lagoon. </w:t>
            </w:r>
            <w:r>
              <w:rPr>
                <w:rFonts w:cs="Times New Roman" w:ascii="Times New Roman" w:hAnsi="Times New Roman"/>
                <w:color w:val="auto"/>
                <w:sz w:val="24"/>
                <w:szCs w:val="24"/>
              </w:rPr>
              <w:t>(There are no emissions to groundwater.)</w:t>
            </w:r>
          </w:p>
        </w:tc>
        <w:tc>
          <w:tcPr>
            <w:tcW w:w="5147" w:type="dxa"/>
            <w:tcBorders>
              <w:start w:val="single" w:sz="2" w:space="0" w:color="000001"/>
              <w:bottom w:val="single" w:sz="4" w:space="0" w:color="000000"/>
              <w:end w:val="single" w:sz="2" w:space="0" w:color="000001"/>
            </w:tcBorders>
            <w:shd w:color="auto" w:fill="FFFFFF" w:val="clear"/>
          </w:tcPr>
          <w:p>
            <w:pPr>
              <w:pStyle w:val="TableContents"/>
              <w:spacing w:before="0" w:after="200"/>
              <w:rPr>
                <w:color w:val="auto"/>
              </w:rPr>
            </w:pPr>
            <w:r>
              <w:rPr>
                <w:rFonts w:cs="Times New Roman" w:ascii="Times New Roman" w:hAnsi="Times New Roman"/>
                <w:color w:val="auto"/>
                <w:sz w:val="24"/>
                <w:szCs w:val="24"/>
              </w:rPr>
              <w:t>Slurry lagoon</w:t>
            </w:r>
          </w:p>
        </w:tc>
      </w:tr>
      <w:tr>
        <w:trPr/>
        <w:tc>
          <w:tcPr>
            <w:tcW w:w="2374" w:type="dxa"/>
            <w:tcBorders>
              <w:top w:val="single" w:sz="4" w:space="0" w:color="000000"/>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sz w:val="24"/>
                <w:szCs w:val="24"/>
              </w:rPr>
            </w:pPr>
            <w:r>
              <w:rPr>
                <w:rFonts w:cs="Times New Roman" w:ascii="Times New Roman" w:hAnsi="Times New Roman"/>
                <w:color w:val="auto"/>
                <w:sz w:val="24"/>
                <w:szCs w:val="24"/>
              </w:rPr>
              <w:t>D1 – ditch to North of installation</w:t>
            </w:r>
          </w:p>
        </w:tc>
        <w:tc>
          <w:tcPr>
            <w:tcW w:w="7777" w:type="dxa"/>
            <w:tcBorders>
              <w:top w:val="single" w:sz="4" w:space="0" w:color="000000"/>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sz w:val="24"/>
                <w:szCs w:val="24"/>
              </w:rPr>
            </w:pPr>
            <w:r>
              <w:rPr>
                <w:rFonts w:cs="Times New Roman" w:ascii="Times New Roman" w:hAnsi="Times New Roman"/>
                <w:color w:val="auto"/>
                <w:sz w:val="24"/>
                <w:szCs w:val="24"/>
              </w:rPr>
              <w:t xml:space="preserve">Rainwater from concrete yard areas between </w:t>
            </w:r>
            <w:r>
              <w:rPr>
                <w:rFonts w:cs="Times New Roman" w:ascii="Times New Roman" w:hAnsi="Times New Roman"/>
                <w:color w:val="auto"/>
                <w:sz w:val="24"/>
                <w:szCs w:val="24"/>
              </w:rPr>
              <w:t>buildings when clean</w:t>
            </w:r>
            <w:r>
              <w:rPr>
                <w:rFonts w:cs="Times New Roman" w:ascii="Times New Roman" w:hAnsi="Times New Roman"/>
                <w:color w:val="auto"/>
                <w:sz w:val="24"/>
                <w:szCs w:val="24"/>
              </w:rPr>
              <w:t xml:space="preserve">, all draining - via silt trap tank – to </w:t>
            </w:r>
            <w:r>
              <w:rPr>
                <w:rFonts w:cs="Times New Roman" w:ascii="Times New Roman" w:hAnsi="Times New Roman"/>
                <w:color w:val="auto"/>
                <w:sz w:val="24"/>
                <w:szCs w:val="24"/>
              </w:rPr>
              <w:t>ditch</w:t>
            </w:r>
            <w:r>
              <w:rPr>
                <w:rFonts w:cs="Times New Roman" w:ascii="Times New Roman" w:hAnsi="Times New Roman"/>
                <w:color w:val="auto"/>
                <w:sz w:val="24"/>
                <w:szCs w:val="24"/>
              </w:rPr>
              <w:t xml:space="preserve"> located at the North of the site. </w:t>
            </w:r>
            <w:r>
              <w:rPr>
                <w:rFonts w:cs="Times New Roman" w:ascii="Times New Roman" w:hAnsi="Times New Roman"/>
                <w:color w:val="auto"/>
                <w:sz w:val="24"/>
                <w:szCs w:val="24"/>
              </w:rPr>
              <w:t>Rainwater from South side roof on building 4</w:t>
            </w:r>
          </w:p>
        </w:tc>
        <w:tc>
          <w:tcPr>
            <w:tcW w:w="5147" w:type="dxa"/>
            <w:tcBorders>
              <w:top w:val="single" w:sz="4" w:space="0" w:color="000000"/>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sz w:val="24"/>
                <w:szCs w:val="24"/>
              </w:rPr>
            </w:pPr>
            <w:r>
              <w:rPr>
                <w:rFonts w:cs="Times New Roman" w:ascii="Times New Roman" w:hAnsi="Times New Roman"/>
                <w:color w:val="auto"/>
                <w:sz w:val="24"/>
                <w:szCs w:val="24"/>
              </w:rPr>
              <w:t>Roof water f</w:t>
            </w:r>
            <w:r>
              <w:rPr>
                <w:rFonts w:cs="Times New Roman" w:ascii="Times New Roman" w:hAnsi="Times New Roman"/>
                <w:color w:val="auto"/>
                <w:sz w:val="24"/>
                <w:szCs w:val="24"/>
              </w:rPr>
              <w:t>rom buildings 1,2,3, 3a and 4</w:t>
            </w:r>
          </w:p>
        </w:tc>
      </w:tr>
      <w:tr>
        <w:trPr/>
        <w:tc>
          <w:tcPr>
            <w:tcW w:w="2374" w:type="dxa"/>
            <w:tcBorders>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cs="Times New Roman"/>
                <w:color w:val="auto"/>
                <w:sz w:val="24"/>
                <w:szCs w:val="24"/>
              </w:rPr>
            </w:pPr>
            <w:r>
              <w:rPr>
                <w:rFonts w:cs="Times New Roman" w:ascii="Times New Roman" w:hAnsi="Times New Roman"/>
                <w:color w:val="auto"/>
                <w:sz w:val="24"/>
                <w:szCs w:val="24"/>
              </w:rPr>
              <w:t>D2- ditch to North of installation</w:t>
            </w:r>
          </w:p>
        </w:tc>
        <w:tc>
          <w:tcPr>
            <w:tcW w:w="7777" w:type="dxa"/>
            <w:tcBorders>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color w:val="auto"/>
                <w:sz w:val="24"/>
                <w:szCs w:val="24"/>
              </w:rPr>
            </w:pPr>
            <w:r>
              <w:rPr>
                <w:rFonts w:ascii="Times New Roman" w:hAnsi="Times New Roman"/>
                <w:color w:val="auto"/>
                <w:sz w:val="24"/>
                <w:szCs w:val="24"/>
              </w:rPr>
              <w:t>Rainwater from roof</w:t>
            </w:r>
          </w:p>
        </w:tc>
        <w:tc>
          <w:tcPr>
            <w:tcW w:w="5147" w:type="dxa"/>
            <w:tcBorders>
              <w:start w:val="single" w:sz="4" w:space="0" w:color="000000"/>
              <w:bottom w:val="single" w:sz="4" w:space="0" w:color="000000"/>
              <w:end w:val="single" w:sz="4" w:space="0" w:color="000000"/>
            </w:tcBorders>
            <w:shd w:color="auto" w:fill="FFFFFF" w:val="clear"/>
          </w:tcPr>
          <w:p>
            <w:pPr>
              <w:pStyle w:val="TableContents"/>
              <w:spacing w:before="0" w:after="200"/>
              <w:rPr>
                <w:rFonts w:ascii="Times New Roman" w:hAnsi="Times New Roman"/>
                <w:color w:val="auto"/>
                <w:sz w:val="24"/>
                <w:szCs w:val="24"/>
              </w:rPr>
            </w:pPr>
            <w:r>
              <w:rPr>
                <w:rFonts w:ascii="Times New Roman" w:hAnsi="Times New Roman"/>
                <w:color w:val="auto"/>
                <w:sz w:val="24"/>
                <w:szCs w:val="24"/>
              </w:rPr>
              <w:t>Roof water from North side on building 3 and 3a</w:t>
            </w:r>
          </w:p>
        </w:tc>
      </w:tr>
    </w:tbl>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tLeast" w:line="10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tLeast" w:line="10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Fugitive Emissions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Appropriate measures for preventing and minimising fugitive emissions are in place in accordance with the SGN EPR6.09 ‘How to comply with your environmental permit for intensive farming’. Buildings are maintained in good repair. Areas around buildings are kept free from build-up of slurry and spilt feed. Footbaths are managed so that they do not overflow.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Drainage from animal housing and water from cleaning out is transferred to a dirty water tanks as shown on the site drainage plan. Clean drainage systems are not contaminated. </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1"/>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Dust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Feed is stored in purpose built covered feed silos. These diets are delivered in via sealed system. Feed is piped from the feed bins to the ad lib feeders in the sheds, minimising dust emissions.</w:t>
      </w:r>
    </w:p>
    <w:p>
      <w:pPr>
        <w:pStyle w:val="Normal"/>
        <w:rPr>
          <w:color w:val="auto"/>
        </w:rPr>
      </w:pPr>
      <w:r>
        <w:rPr>
          <w:rFonts w:cs="Times New Roman" w:ascii="Times New Roman" w:hAnsi="Times New Roman"/>
          <w:color w:val="auto"/>
          <w:sz w:val="24"/>
          <w:szCs w:val="24"/>
        </w:rPr>
        <w:t xml:space="preserve">Rainwater run-off is collected by the guttering system and routed to  ditch via silt trap or the rainwater harvesting tanks.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There is no incinerator or generator on installation. </w:t>
      </w:r>
    </w:p>
    <w:p>
      <w:pPr>
        <w:pStyle w:val="Heading1"/>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Carcass management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Fallen stock is disposed of in accordance with the current Animal By-Products Regulations. Carcasses are stored in a locked and sealed refrigerated bin before collection by a licenced contractor. </w:t>
      </w:r>
    </w:p>
    <w:p>
      <w:pPr>
        <w:pStyle w:val="Heading1"/>
        <w:rPr>
          <w:rFonts w:ascii="Times New Roman" w:hAnsi="Times New Roman" w:cs="Times New Roman"/>
          <w:b/>
          <w:bCs/>
          <w:color w:val="000000"/>
          <w:sz w:val="24"/>
          <w:szCs w:val="24"/>
        </w:rPr>
      </w:pPr>
      <w:r>
        <w:rPr>
          <w:rFonts w:cs="Times New Roman" w:ascii="Times New Roman" w:hAnsi="Times New Roman"/>
          <w:b/>
          <w:bCs/>
          <w:color w:val="000000"/>
          <w:sz w:val="24"/>
          <w:szCs w:val="24"/>
        </w:rPr>
        <w:t xml:space="preserve">Flies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Appropriate actions will be put into place to prevent and control flies should a nuisance arise. </w:t>
      </w:r>
    </w:p>
    <w:p>
      <w:pPr>
        <w:pStyle w:val="Heading1"/>
        <w:rPr>
          <w:rFonts w:ascii="Times New Roman" w:hAnsi="Times New Roman" w:cs="Times New Roman"/>
          <w:b/>
          <w:bCs/>
          <w:color w:val="000000"/>
          <w:sz w:val="24"/>
          <w:szCs w:val="24"/>
        </w:rPr>
      </w:pPr>
      <w:r>
        <w:rPr>
          <w:rFonts w:cs="Times New Roman" w:ascii="Times New Roman" w:hAnsi="Times New Roman"/>
          <w:b/>
          <w:bCs/>
          <w:color w:val="000000"/>
          <w:sz w:val="24"/>
          <w:szCs w:val="24"/>
          <w:u w:val="single"/>
        </w:rPr>
        <w:t>Bunding and containment</w:t>
      </w:r>
      <w:r>
        <w:rPr>
          <w:rFonts w:cs="Times New Roman" w:ascii="Times New Roman" w:hAnsi="Times New Roman"/>
          <w:b/>
          <w:bCs/>
          <w:color w:val="000000"/>
          <w:sz w:val="24"/>
          <w:szCs w:val="24"/>
        </w:rPr>
        <w:t xml:space="preserve"> </w:t>
      </w:r>
    </w:p>
    <w:p>
      <w:pPr>
        <w:pStyle w:val="Normal"/>
        <w:rPr>
          <w:color w:val="auto"/>
        </w:rPr>
      </w:pPr>
      <w:r>
        <w:rPr>
          <w:rFonts w:cs="Times New Roman" w:ascii="Times New Roman" w:hAnsi="Times New Roman"/>
          <w:b/>
          <w:bCs/>
          <w:color w:val="auto"/>
          <w:sz w:val="24"/>
          <w:szCs w:val="24"/>
        </w:rPr>
        <w:t xml:space="preserve">Agriculture Fuel oil and other chemical storage </w:t>
      </w:r>
    </w:p>
    <w:p>
      <w:pPr>
        <w:pStyle w:val="Normal"/>
        <w:rPr>
          <w:color w:val="auto"/>
        </w:rPr>
      </w:pPr>
      <w:r>
        <w:rPr>
          <w:rFonts w:cs="Times New Roman" w:ascii="Times New Roman" w:hAnsi="Times New Roman"/>
          <w:color w:val="auto"/>
          <w:sz w:val="24"/>
          <w:szCs w:val="24"/>
        </w:rPr>
        <w:t xml:space="preserve">No fuel oil storage on the installation or related specifically to the pig enterprise. No agrochemicals stored on site. </w:t>
      </w:r>
    </w:p>
    <w:p>
      <w:pPr>
        <w:pStyle w:val="Normal"/>
        <w:rPr>
          <w:rFonts w:ascii="Times New Roman" w:hAnsi="Times New Roman" w:cs="Times New Roman"/>
          <w:b/>
          <w:bCs/>
          <w:sz w:val="24"/>
          <w:szCs w:val="24"/>
        </w:rPr>
      </w:pPr>
      <w:r>
        <w:rPr>
          <w:rFonts w:cs="Times New Roman" w:ascii="Times New Roman" w:hAnsi="Times New Roman"/>
          <w:b/>
          <w:bCs/>
          <w:sz w:val="24"/>
          <w:szCs w:val="24"/>
        </w:rPr>
        <w:t xml:space="preserve">Foodstuffs </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Feed is stored in purpose built covered feed silos. All feed is delivered to the farm by lorry from feed suppliers. Feed is blown directly from the lorry into the storage silos, through sealed system. Feed is piped from the feed bulk bins shown in Appendix 4, to ad lib feeders in the sheds minimising dust emissions. </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There is no liquid feed storage. </w:t>
      </w:r>
    </w:p>
    <w:p>
      <w:pPr>
        <w:pStyle w:val="Normal"/>
        <w:spacing w:lineRule="atLeast" w:line="10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color w:val="000000"/>
          <w:sz w:val="24"/>
          <w:szCs w:val="24"/>
        </w:rPr>
        <w:t xml:space="preserve">Feed storage vessels are protected from collision damage by curbing and barriers. No milling or mixing of food on site. </w:t>
      </w:r>
    </w:p>
    <w:p>
      <w:pPr>
        <w:pStyle w:val="Heading1"/>
        <w:rPr>
          <w:rFonts w:ascii="Times New Roman" w:hAnsi="Times New Roman" w:cs="Times New Roman"/>
          <w:b/>
          <w:bCs/>
          <w:sz w:val="24"/>
          <w:szCs w:val="24"/>
        </w:rPr>
      </w:pPr>
      <w:r>
        <w:rPr>
          <w:rFonts w:cs="Times New Roman" w:ascii="Times New Roman" w:hAnsi="Times New Roman"/>
          <w:b/>
          <w:bCs/>
          <w:sz w:val="24"/>
          <w:szCs w:val="24"/>
        </w:rPr>
      </w:r>
    </w:p>
    <w:p>
      <w:pPr>
        <w:pStyle w:val="Heading1"/>
        <w:rPr>
          <w:rFonts w:ascii="Times New Roman" w:hAnsi="Times New Roman" w:cs="Times New Roman"/>
          <w:b/>
          <w:bCs/>
          <w:sz w:val="24"/>
          <w:szCs w:val="24"/>
        </w:rPr>
      </w:pPr>
      <w:r>
        <w:rPr>
          <w:rFonts w:cs="Times New Roman" w:ascii="Times New Roman" w:hAnsi="Times New Roman"/>
          <w:b/>
          <w:bCs/>
          <w:sz w:val="24"/>
          <w:szCs w:val="24"/>
        </w:rPr>
        <w:t xml:space="preserve">Odour </w:t>
      </w:r>
    </w:p>
    <w:p>
      <w:pPr>
        <w:pStyle w:val="Heading1"/>
        <w:rPr>
          <w:rFonts w:ascii="Times New Roman" w:hAnsi="Times New Roman" w:cs="Times New Roman"/>
          <w:b/>
          <w:bCs/>
          <w:sz w:val="24"/>
          <w:szCs w:val="24"/>
        </w:rPr>
      </w:pPr>
      <w:r>
        <w:rPr>
          <w:rFonts w:cs="Times New Roman" w:ascii="Times New Roman" w:hAnsi="Times New Roman"/>
          <w:sz w:val="24"/>
          <w:szCs w:val="24"/>
        </w:rPr>
        <w:t xml:space="preserve">The nearest properties are operator-owned and linked to the original farmstead but there are no relevant neighbours (sensitive receptors) within 400m of the farm. </w:t>
      </w:r>
    </w:p>
    <w:p>
      <w:pPr>
        <w:pStyle w:val="Normal"/>
        <w:rPr>
          <w:rFonts w:ascii="Times New Roman" w:hAnsi="Times New Roman" w:cs="Times New Roman"/>
          <w:sz w:val="24"/>
          <w:szCs w:val="24"/>
        </w:rPr>
      </w:pPr>
      <w:r>
        <w:rPr>
          <w:rFonts w:cs="Times New Roman" w:ascii="Times New Roman" w:hAnsi="Times New Roman"/>
          <w:sz w:val="24"/>
          <w:szCs w:val="24"/>
        </w:rPr>
        <w:t>If this were to change, or complaints were received regarding odour, an Odour Management Plan would be designed and implemented which conformed with the SGN EPR6.09 ‘How to comply with your environmental permit for intensive farming’ and the H1 Environmental Risk Assessment (Appendix 5).</w:t>
      </w:r>
    </w:p>
    <w:p>
      <w:pPr>
        <w:pStyle w:val="Normal"/>
        <w:rPr>
          <w:rFonts w:ascii="Times New Roman" w:hAnsi="Times New Roman" w:cs="Times New Roman"/>
          <w:sz w:val="24"/>
          <w:szCs w:val="24"/>
        </w:rPr>
      </w:pPr>
      <w:r>
        <w:rPr>
          <w:rFonts w:cs="Times New Roman" w:ascii="Times New Roman" w:hAnsi="Times New Roman"/>
          <w:sz w:val="24"/>
          <w:szCs w:val="24"/>
        </w:rPr>
        <w:t xml:space="preserve">This plan would be reviewed in the light of any building and management changes, and on the outcome of investigations into the causes of any future complaints, if any occur. </w:t>
      </w:r>
    </w:p>
    <w:p>
      <w:pPr>
        <w:pStyle w:val="Normal"/>
        <w:rPr>
          <w:rFonts w:ascii="Times New Roman" w:hAnsi="Times New Roman" w:cs="Times New Roman"/>
          <w:sz w:val="24"/>
          <w:szCs w:val="24"/>
        </w:rPr>
      </w:pPr>
      <w:r>
        <w:rPr>
          <w:rFonts w:cs="Times New Roman" w:ascii="Times New Roman" w:hAnsi="Times New Roman"/>
          <w:sz w:val="24"/>
          <w:szCs w:val="24"/>
        </w:rPr>
        <w:t xml:space="preserve">Any complaints will be reported to </w:t>
      </w:r>
      <w:r>
        <w:rPr>
          <w:rFonts w:cs="Times New Roman" w:ascii="Times New Roman" w:hAnsi="Times New Roman"/>
          <w:sz w:val="24"/>
          <w:szCs w:val="24"/>
        </w:rPr>
        <w:t xml:space="preserve">Lincolnshire Pork Co. Ltd. </w:t>
      </w:r>
      <w:r>
        <w:rPr>
          <w:rFonts w:cs="Times New Roman" w:ascii="Times New Roman" w:hAnsi="Times New Roman"/>
          <w:sz w:val="24"/>
          <w:szCs w:val="24"/>
        </w:rPr>
        <w:t>who will log and investigate causes of all complaints using the guidance from EPR 6.09 3.1 and 3.2 odour and emissions management on intensive livestock installations.</w:t>
      </w:r>
    </w:p>
    <w:p>
      <w:pPr>
        <w:pStyle w:val="Heading1"/>
        <w:rPr>
          <w:rFonts w:ascii="Times New Roman" w:hAnsi="Times New Roman" w:cs="Times New Roman"/>
          <w:b/>
          <w:bCs/>
          <w:sz w:val="24"/>
          <w:szCs w:val="24"/>
        </w:rPr>
      </w:pPr>
      <w:r>
        <w:rPr>
          <w:rFonts w:cs="Times New Roman" w:ascii="Times New Roman" w:hAnsi="Times New Roman"/>
          <w:b/>
          <w:bCs/>
          <w:sz w:val="24"/>
          <w:szCs w:val="24"/>
        </w:rPr>
      </w:r>
    </w:p>
    <w:p>
      <w:pPr>
        <w:pStyle w:val="Heading1"/>
        <w:rPr>
          <w:rFonts w:ascii="Times New Roman" w:hAnsi="Times New Roman" w:cs="Times New Roman"/>
          <w:b/>
          <w:bCs/>
          <w:sz w:val="24"/>
          <w:szCs w:val="24"/>
        </w:rPr>
      </w:pPr>
      <w:r>
        <w:rPr>
          <w:rFonts w:cs="Times New Roman" w:ascii="Times New Roman" w:hAnsi="Times New Roman"/>
          <w:b/>
          <w:bCs/>
          <w:sz w:val="24"/>
          <w:szCs w:val="24"/>
        </w:rPr>
        <w:t xml:space="preserve">Noise and vibration </w:t>
      </w:r>
    </w:p>
    <w:p>
      <w:pPr>
        <w:pStyle w:val="Normal"/>
        <w:rPr>
          <w:rFonts w:ascii="Times New Roman" w:hAnsi="Times New Roman" w:cs="Times New Roman"/>
          <w:sz w:val="24"/>
          <w:szCs w:val="24"/>
        </w:rPr>
      </w:pPr>
      <w:r>
        <w:rPr>
          <w:rFonts w:cs="Times New Roman" w:ascii="Times New Roman" w:hAnsi="Times New Roman"/>
          <w:sz w:val="24"/>
          <w:szCs w:val="24"/>
        </w:rPr>
        <w:t xml:space="preserve">The nearest properties are operator-owned and linked to the original farmstead and there are no relevant neighbours (sensitive receptors) within 400m of the farm. </w:t>
      </w:r>
    </w:p>
    <w:p>
      <w:pPr>
        <w:pStyle w:val="Normal"/>
        <w:rPr>
          <w:rFonts w:ascii="Times New Roman" w:hAnsi="Times New Roman" w:cs="Times New Roman"/>
          <w:sz w:val="24"/>
          <w:szCs w:val="24"/>
        </w:rPr>
      </w:pPr>
      <w:r>
        <w:rPr>
          <w:rFonts w:cs="Times New Roman" w:ascii="Times New Roman" w:hAnsi="Times New Roman"/>
          <w:sz w:val="24"/>
          <w:szCs w:val="24"/>
        </w:rPr>
        <w:t>If this were to change, or complaints were received regarding noise, a Noise Management Plan would be designed and implemented which conformed with the SGN EPR6.09 ‘How to comply with your environmental permit for intensive farming’ and the H1 Environmental Risk Assessment (Appendix 5).</w:t>
      </w:r>
    </w:p>
    <w:p>
      <w:pPr>
        <w:pStyle w:val="Normal"/>
        <w:rPr>
          <w:rFonts w:ascii="Times New Roman" w:hAnsi="Times New Roman" w:cs="Times New Roman"/>
          <w:sz w:val="24"/>
          <w:szCs w:val="24"/>
        </w:rPr>
      </w:pPr>
      <w:bookmarkStart w:id="0" w:name="__UnoMark__6384_224860473"/>
      <w:bookmarkEnd w:id="0"/>
      <w:r>
        <w:rPr>
          <w:rFonts w:cs="Times New Roman" w:ascii="Times New Roman" w:hAnsi="Times New Roman"/>
          <w:sz w:val="24"/>
          <w:szCs w:val="24"/>
        </w:rPr>
        <w:t xml:space="preserve">This plan would be reviewed in the light of any building and management changes, and on the outcome of investigations into the causes of any future complaints, if any occur.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Any noise complaints will be reported to Lincolnshire Pork Co. Ltd who will log and investigate causes of all complaints, identifying the source of the noise issue and monitoring noise levels at the site boundary as part of the investigation. The complaint details and subsequent investigation will be recorded on the site complaint form and a copy will be kept in the site office.  </w:t>
      </w:r>
    </w:p>
    <w:sectPr>
      <w:type w:val="nextPage"/>
      <w:pgSz w:orient="landscape" w:w="16838" w:h="11906"/>
      <w:pgMar w:left="720" w:right="720" w:gutter="0" w:header="0" w:top="720" w:footer="0" w:bottom="720"/>
      <w:pgNumType w:fmt="decimal"/>
      <w:formProt w:val="false"/>
      <w:textDirection w:val="lrTb"/>
      <w:docGrid w:type="default" w:linePitch="540" w:charSpace="6963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libri">
    <w:charset w:val="00" w:characterSet="windows-1252"/>
    <w:family w:val="swiss"/>
    <w:pitch w:val="variable"/>
  </w:font>
  <w:font w:name="Tahoma">
    <w:charset w:val="00" w:characterSet="windows-1252"/>
    <w:family w:val="roman"/>
    <w:pitch w:val="variable"/>
  </w:font>
  <w:font w:name="Arial">
    <w:charset w:val="00" w:characterSet="windows-1252"/>
    <w:family w:val="roman"/>
    <w:pitch w:val="variable"/>
  </w:font>
  <w:font w:name="OpenSymbol">
    <w:altName w:val="Arial Unicode MS"/>
    <w:charset w:val="00" w:characterSet="windows-1252"/>
    <w:family w:val="roman"/>
    <w:pitch w:val="variable"/>
  </w:font>
  <w:font w:name="Times New Roman">
    <w:charset w:val="01"/>
    <w:family w:val="roman"/>
    <w:pitch w:val="variable"/>
  </w:font>
  <w:font w:name="Times New Roman">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76" w:before="0" w:after="200"/>
      <w:jc w:val="start"/>
    </w:pPr>
    <w:rPr>
      <w:rFonts w:ascii="Calibri" w:hAnsi="Calibri" w:eastAsia="SimSun" w:cs="Calibri"/>
      <w:color w:val="00000A"/>
      <w:kern w:val="0"/>
      <w:sz w:val="22"/>
      <w:szCs w:val="22"/>
      <w:lang w:val="en-GB" w:eastAsia="en-US" w:bidi="ar-SA"/>
    </w:rPr>
  </w:style>
  <w:style w:type="paragraph" w:styleId="Heading1">
    <w:name w:val="Heading 1"/>
    <w:basedOn w:val="Heading"/>
    <w:qFormat/>
    <w:pPr>
      <w:widowControl w:val="false"/>
      <w:spacing w:before="0" w:after="200"/>
      <w:outlineLvl w:val="0"/>
    </w:pPr>
    <w:rPr>
      <w:rFonts w:ascii="Calibri" w:hAnsi="Calibri" w:eastAsia="SimSun" w:cs="Calibri"/>
      <w:sz w:val="22"/>
      <w:szCs w:val="22"/>
    </w:rPr>
  </w:style>
  <w:style w:type="paragraph" w:styleId="Heading2">
    <w:name w:val="Heading 2"/>
    <w:basedOn w:val="Heading"/>
    <w:qFormat/>
    <w:pPr>
      <w:outlineLvl w:val="1"/>
    </w:pPr>
    <w:rPr/>
  </w:style>
  <w:style w:type="paragraph" w:styleId="Heading3">
    <w:name w:val="Heading 3"/>
    <w:basedOn w:val="Heading"/>
    <w:qFormat/>
    <w:pPr>
      <w:outlineLvl w:val="2"/>
    </w:pPr>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BalloonTextChar" w:customStyle="1">
    <w:name w:val="Balloon Text Char"/>
    <w:basedOn w:val="DefaultParagraphFont"/>
    <w:qFormat/>
    <w:rPr>
      <w:rFonts w:ascii="Tahoma" w:hAnsi="Tahoma" w:cs="Tahoma"/>
      <w:sz w:val="16"/>
      <w:szCs w:val="16"/>
    </w:rPr>
  </w:style>
  <w:style w:type="character" w:styleId="Heading1Char" w:customStyle="1">
    <w:name w:val="Heading 1 Char"/>
    <w:basedOn w:val="DefaultParagraphFont"/>
    <w:qFormat/>
    <w:rPr>
      <w:rFonts w:ascii="Arial" w:hAnsi="Arial" w:cs="Arial"/>
      <w:sz w:val="24"/>
      <w:szCs w:val="24"/>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Arial" w:hAnsi="Arial"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extBody" w:customStyle="1">
    <w:name w:val="Text Body"/>
    <w:basedOn w:val="Normal"/>
    <w:qFormat/>
    <w:pPr>
      <w:spacing w:before="0" w:after="120"/>
    </w:pPr>
    <w:rPr/>
  </w:style>
  <w:style w:type="paragraph" w:styleId="AnnotationText">
    <w:name w:val="Annotation Text"/>
    <w:basedOn w:val="Normal"/>
    <w:pPr>
      <w:spacing w:lineRule="atLeast" w:line="100"/>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Default" w:customStyle="1">
    <w:name w:val="Default"/>
    <w:qFormat/>
    <w:pPr>
      <w:widowControl/>
      <w:suppressAutoHyphens w:val="true"/>
      <w:overflowPunct w:val="false"/>
      <w:bidi w:val="0"/>
      <w:spacing w:lineRule="atLeast" w:line="100" w:before="0" w:after="0"/>
      <w:jc w:val="start"/>
    </w:pPr>
    <w:rPr>
      <w:rFonts w:ascii="Arial" w:hAnsi="Arial" w:eastAsia="SimSun" w:cs="Arial"/>
      <w:color w:val="000000"/>
      <w:kern w:val="0"/>
      <w:sz w:val="24"/>
      <w:szCs w:val="24"/>
      <w:lang w:val="en-GB" w:eastAsia="en-US"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spacing w:lineRule="atLeast" w:line="100" w:before="0" w:after="0"/>
    </w:pPr>
    <w:rPr/>
  </w:style>
  <w:style w:type="paragraph" w:styleId="BlockQuotation" w:customStyle="1">
    <w:name w:val="Block Quotation"/>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2025-06-02T23:00:00+00:00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ExternalAuthor xmlns="eebef177-55b5-4448-a5fb-28ea454417ee">Elaine Marshall</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719C8D7-DB4F-4756-AA61-DBBAE74514CE}"/>
</file>

<file path=customXml/itemProps2.xml><?xml version="1.0" encoding="utf-8"?>
<ds:datastoreItem xmlns:ds="http://schemas.openxmlformats.org/officeDocument/2006/customXml" ds:itemID="{E702B790-9D87-4EA2-8E3C-A952D0310F9A}"/>
</file>

<file path=customXml/itemProps3.xml><?xml version="1.0" encoding="utf-8"?>
<ds:datastoreItem xmlns:ds="http://schemas.openxmlformats.org/officeDocument/2006/customXml" ds:itemID="{C8F0C19C-F6AE-4E95-8CE4-0C415A36BB14}"/>
</file>

<file path=customXml/itemProps4.xml><?xml version="1.0" encoding="utf-8"?>
<ds:datastoreItem xmlns:ds="http://schemas.openxmlformats.org/officeDocument/2006/customXml" ds:itemID="{64C7CF66-7193-41D4-AB5E-253BD7517411}"/>
</file>

<file path=docProps/app.xml><?xml version="1.0" encoding="utf-8"?>
<Properties xmlns="http://schemas.openxmlformats.org/officeDocument/2006/extended-properties" xmlns:vt="http://schemas.openxmlformats.org/officeDocument/2006/docPropsVTypes">
  <Template>Normal</Template>
  <TotalTime>104</TotalTime>
  <Application>LibreOffice/24.2.6.2$Windows_X86_64 LibreOffice_project/ef66aa7e36a1bb8e65bfbc63aba53045a14d0871</Application>
  <AppVersion>15.0000</AppVersion>
  <Pages>6</Pages>
  <Words>1702</Words>
  <Characters>8712</Characters>
  <CharactersWithSpaces>10348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2025-01-09T13:08:00Z</dcterms:created>
  <dc:creator>rabbichs</dc:creator>
  <dc:description/>
  <dc:language>en-GB</dc:language>
  <cp:lastModifiedBy/>
  <cp:lastPrinted>2015-09-10T14:55:00Z</cp:lastPrinted>
  <dcterms:modified xsi:type="dcterms:W3CDTF">2025-06-03T12:53:13Z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y fmtid="{D5CDD505-2E9C-101B-9397-08002B2CF9AE}" pid="29" name="SysUpdateNoER">
    <vt:lpwstr>No</vt:lpwstr>
  </property>
</Properties>
</file>