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1983" w14:textId="77777777" w:rsidR="00EA6053" w:rsidRDefault="0089223A" w:rsidP="0089223A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89223A">
        <w:rPr>
          <w:rFonts w:ascii="Arial" w:hAnsi="Arial" w:cs="Arial"/>
          <w:sz w:val="32"/>
          <w:szCs w:val="32"/>
          <w:u w:val="single"/>
          <w:lang w:val="en-GB"/>
        </w:rPr>
        <w:t>Site Condition Report</w:t>
      </w:r>
    </w:p>
    <w:p w14:paraId="094B815F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223A" w14:paraId="293C04FF" w14:textId="77777777" w:rsidTr="00B3157B">
        <w:tc>
          <w:tcPr>
            <w:tcW w:w="4788" w:type="dxa"/>
          </w:tcPr>
          <w:p w14:paraId="30AED7A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 SITE DETAILS</w:t>
            </w:r>
          </w:p>
        </w:tc>
        <w:tc>
          <w:tcPr>
            <w:tcW w:w="4788" w:type="dxa"/>
          </w:tcPr>
          <w:p w14:paraId="3E930538" w14:textId="77777777" w:rsidR="0089223A" w:rsidRDefault="0089223A" w:rsidP="00B3157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9223A" w14:paraId="0768A405" w14:textId="77777777" w:rsidTr="00B3157B">
        <w:tc>
          <w:tcPr>
            <w:tcW w:w="4788" w:type="dxa"/>
          </w:tcPr>
          <w:p w14:paraId="7E986155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Applicants Name</w:t>
            </w:r>
          </w:p>
        </w:tc>
        <w:tc>
          <w:tcPr>
            <w:tcW w:w="4788" w:type="dxa"/>
          </w:tcPr>
          <w:p w14:paraId="36DAEAA6" w14:textId="165CE333" w:rsidR="0089223A" w:rsidRDefault="003564CC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Faldingworth</w:t>
            </w:r>
            <w:proofErr w:type="spellEnd"/>
            <w:r w:rsidR="006701A6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</w:t>
            </w:r>
            <w:r w:rsidR="00242B3D">
              <w:rPr>
                <w:rFonts w:ascii="Arial" w:hAnsi="Arial" w:cs="Arial"/>
                <w:sz w:val="24"/>
                <w:szCs w:val="24"/>
                <w:lang w:val="en-GB"/>
              </w:rPr>
              <w:t xml:space="preserve"> Ltd</w:t>
            </w:r>
          </w:p>
        </w:tc>
      </w:tr>
      <w:tr w:rsidR="0089223A" w14:paraId="76B7EF07" w14:textId="77777777" w:rsidTr="00B3157B">
        <w:tc>
          <w:tcPr>
            <w:tcW w:w="4788" w:type="dxa"/>
          </w:tcPr>
          <w:p w14:paraId="546912C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Activity Address</w:t>
            </w:r>
          </w:p>
        </w:tc>
        <w:tc>
          <w:tcPr>
            <w:tcW w:w="4788" w:type="dxa"/>
          </w:tcPr>
          <w:p w14:paraId="1B4278AD" w14:textId="77777777" w:rsidR="00CC5240" w:rsidRDefault="00CC5240" w:rsidP="00CC5240">
            <w:pPr>
              <w:pStyle w:val="Default"/>
            </w:pPr>
          </w:p>
          <w:p w14:paraId="359E1A58" w14:textId="6D0CC0CA" w:rsidR="00CC5240" w:rsidRDefault="003564CC" w:rsidP="00CC524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t>Faldingworth</w:t>
            </w:r>
            <w:proofErr w:type="spellEnd"/>
            <w:r w:rsidR="006701A6">
              <w:t xml:space="preserve"> Poultry Farm </w:t>
            </w:r>
          </w:p>
          <w:p w14:paraId="0D65657C" w14:textId="5EF7435F" w:rsidR="00CC5240" w:rsidRDefault="003564CC" w:rsidP="00CC524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Faldingworth</w:t>
            </w:r>
            <w:proofErr w:type="spellEnd"/>
            <w:r>
              <w:rPr>
                <w:sz w:val="23"/>
                <w:szCs w:val="23"/>
              </w:rPr>
              <w:t xml:space="preserve"> Road</w:t>
            </w:r>
          </w:p>
          <w:p w14:paraId="591FE8CF" w14:textId="60CF778F" w:rsidR="00EA0B47" w:rsidRDefault="003564CC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West Lindsey</w:t>
            </w:r>
          </w:p>
          <w:p w14:paraId="79B83834" w14:textId="0BD5AE12" w:rsidR="00636075" w:rsidRDefault="00636075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Lincolnshire</w:t>
            </w:r>
          </w:p>
          <w:p w14:paraId="5E016621" w14:textId="6F27B071" w:rsidR="0089223A" w:rsidRPr="00685E14" w:rsidRDefault="003564CC" w:rsidP="00CC52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</w:rPr>
              <w:t>LN8 2DF</w:t>
            </w:r>
          </w:p>
        </w:tc>
      </w:tr>
      <w:tr w:rsidR="0089223A" w14:paraId="690DA5FE" w14:textId="77777777" w:rsidTr="00B3157B">
        <w:tc>
          <w:tcPr>
            <w:tcW w:w="4788" w:type="dxa"/>
          </w:tcPr>
          <w:p w14:paraId="0959E718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National Grid Reference</w:t>
            </w:r>
          </w:p>
        </w:tc>
        <w:tc>
          <w:tcPr>
            <w:tcW w:w="4788" w:type="dxa"/>
          </w:tcPr>
          <w:p w14:paraId="59032775" w14:textId="6093975D" w:rsidR="0089223A" w:rsidRDefault="003564CC" w:rsidP="00FE4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t>503177, 384498</w:t>
            </w:r>
          </w:p>
        </w:tc>
      </w:tr>
      <w:tr w:rsidR="0089223A" w14:paraId="5678D107" w14:textId="77777777" w:rsidTr="00B3157B">
        <w:tc>
          <w:tcPr>
            <w:tcW w:w="4788" w:type="dxa"/>
          </w:tcPr>
          <w:p w14:paraId="4BA5F018" w14:textId="77777777" w:rsidR="0089223A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 for Site Condition Report at permit application and surrender</w:t>
            </w:r>
          </w:p>
        </w:tc>
        <w:tc>
          <w:tcPr>
            <w:tcW w:w="4788" w:type="dxa"/>
          </w:tcPr>
          <w:p w14:paraId="37F894FF" w14:textId="6CA1066D" w:rsidR="0089223A" w:rsidRDefault="003564CC" w:rsidP="003D2C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Pr="003564CC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March 2025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B3157B" w14:paraId="2D6048BB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73F7E3F0" w14:textId="77777777" w:rsidR="00B3157B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07F06BB2" w14:textId="77777777" w:rsidR="00B3157B" w:rsidRDefault="00B315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Location Plan </w:t>
            </w:r>
          </w:p>
        </w:tc>
      </w:tr>
      <w:tr w:rsidR="00A97A7B" w14:paraId="4B36B142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61D30932" w14:textId="77777777" w:rsidR="00A97A7B" w:rsidRDefault="00A97A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7814A624" w14:textId="77777777" w:rsidR="00A97A7B" w:rsidRDefault="00A97A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</w:tc>
      </w:tr>
    </w:tbl>
    <w:p w14:paraId="0C3B0653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F6E4D5B" w14:textId="77777777" w:rsidR="00B3157B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677"/>
        <w:gridCol w:w="4671"/>
      </w:tblGrid>
      <w:tr w:rsidR="00B3157B" w14:paraId="2ACFC030" w14:textId="77777777" w:rsidTr="00B163F1">
        <w:tc>
          <w:tcPr>
            <w:tcW w:w="4677" w:type="dxa"/>
          </w:tcPr>
          <w:p w14:paraId="559A8688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2.0 Condition of the Land at Permit issue</w:t>
            </w:r>
          </w:p>
        </w:tc>
        <w:tc>
          <w:tcPr>
            <w:tcW w:w="4671" w:type="dxa"/>
          </w:tcPr>
          <w:p w14:paraId="2427ED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BCDFCB1" w14:textId="77777777" w:rsidTr="00B163F1">
        <w:tc>
          <w:tcPr>
            <w:tcW w:w="4677" w:type="dxa"/>
          </w:tcPr>
          <w:p w14:paraId="7F0CC61A" w14:textId="77777777" w:rsidR="00B3157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Environmental setting including:</w:t>
            </w:r>
          </w:p>
          <w:p w14:paraId="2818DD64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F2083D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Geology</w:t>
            </w:r>
          </w:p>
          <w:p w14:paraId="4C32EDDE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Hydrogeology</w:t>
            </w:r>
          </w:p>
          <w:p w14:paraId="58DC3217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Surface Waters</w:t>
            </w:r>
          </w:p>
        </w:tc>
        <w:tc>
          <w:tcPr>
            <w:tcW w:w="4671" w:type="dxa"/>
          </w:tcPr>
          <w:p w14:paraId="127A9166" w14:textId="115E7009" w:rsidR="0055157C" w:rsidRPr="0055157C" w:rsidRDefault="00FD1784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The poultry unit lies on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level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ground to the 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>east</w:t>
            </w:r>
            <w:r w:rsidR="00417C56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proofErr w:type="spellStart"/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>Spridlington</w:t>
            </w:r>
            <w:proofErr w:type="spellEnd"/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. Predominant land use is arable farming. Field pattern is semi large scale with a strong pattern of field boundaries. </w:t>
            </w:r>
            <w:r w:rsidR="00CF4E28">
              <w:rPr>
                <w:rFonts w:ascii="Arial" w:hAnsi="Arial" w:cs="Arial"/>
                <w:sz w:val="24"/>
                <w:szCs w:val="24"/>
                <w:lang w:val="en-GB"/>
              </w:rPr>
              <w:t>There are</w:t>
            </w:r>
            <w:r w:rsidR="00A6595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02EF6">
              <w:rPr>
                <w:rFonts w:ascii="Arial" w:hAnsi="Arial" w:cs="Arial"/>
                <w:sz w:val="24"/>
                <w:szCs w:val="24"/>
                <w:lang w:val="en-GB"/>
              </w:rPr>
              <w:t>sensitive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 xml:space="preserve"> receptors within 400m of site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970A6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3289EE5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646A71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54542F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 xml:space="preserve">Topography and Drainage </w:t>
            </w:r>
          </w:p>
          <w:p w14:paraId="712E6577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F770A2" w14:textId="5BA0D5B8" w:rsidR="0055157C" w:rsidRPr="0055157C" w:rsidRDefault="0055157C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>The poultry houses are between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and 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>15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metres above sea level.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Soil bunding and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tree planting will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help to minimise the visual intrusion normally associated with poultry units. Site clean water drainage </w:t>
            </w:r>
            <w:r w:rsidR="003D2CE0">
              <w:rPr>
                <w:rFonts w:ascii="Arial" w:hAnsi="Arial" w:cs="Arial"/>
                <w:sz w:val="24"/>
                <w:szCs w:val="24"/>
                <w:lang w:val="en-GB"/>
              </w:rPr>
              <w:t>all goes to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17E7E">
              <w:rPr>
                <w:rFonts w:ascii="Arial" w:hAnsi="Arial" w:cs="Arial"/>
                <w:sz w:val="24"/>
                <w:szCs w:val="24"/>
                <w:lang w:val="en-GB"/>
              </w:rPr>
              <w:t xml:space="preserve">an </w:t>
            </w:r>
            <w:r w:rsidR="002F493E">
              <w:rPr>
                <w:rFonts w:ascii="Arial" w:hAnsi="Arial" w:cs="Arial"/>
                <w:sz w:val="24"/>
                <w:szCs w:val="24"/>
                <w:lang w:val="en-GB"/>
              </w:rPr>
              <w:t xml:space="preserve">unlined 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F17E7E">
              <w:rPr>
                <w:rFonts w:ascii="Arial" w:hAnsi="Arial" w:cs="Arial"/>
                <w:sz w:val="24"/>
                <w:szCs w:val="24"/>
                <w:lang w:val="en-GB"/>
              </w:rPr>
              <w:t xml:space="preserve">ttenuation pond with </w:t>
            </w:r>
            <w:r w:rsidR="002F493E">
              <w:rPr>
                <w:rFonts w:ascii="Arial" w:hAnsi="Arial" w:cs="Arial"/>
                <w:sz w:val="24"/>
                <w:szCs w:val="24"/>
                <w:lang w:val="en-GB"/>
              </w:rPr>
              <w:t xml:space="preserve">outlet to </w:t>
            </w:r>
            <w:r w:rsidR="00E5666C">
              <w:rPr>
                <w:rFonts w:ascii="Arial" w:hAnsi="Arial" w:cs="Arial"/>
                <w:sz w:val="24"/>
                <w:szCs w:val="24"/>
                <w:lang w:val="en-GB"/>
              </w:rPr>
              <w:t>Drain</w:t>
            </w:r>
            <w:r w:rsidR="00456DA0">
              <w:rPr>
                <w:rFonts w:ascii="Arial" w:hAnsi="Arial" w:cs="Arial"/>
                <w:sz w:val="24"/>
                <w:szCs w:val="24"/>
                <w:lang w:val="en-GB"/>
              </w:rPr>
              <w:t xml:space="preserve"> to the 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>south</w:t>
            </w:r>
            <w:r w:rsidR="00456DA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EA8A7A0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33AED8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>Geology and Hydrogeology</w:t>
            </w:r>
          </w:p>
          <w:p w14:paraId="04C768EB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110A7AE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2B6F6CB" w14:textId="55F9EC16" w:rsidR="00120751" w:rsidRPr="009B793D" w:rsidRDefault="00120751" w:rsidP="00B561E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According to 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BGS Extract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British Geological Survey map shows that the 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Bedrock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geology comprises 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>Oxford Clay</w:t>
            </w:r>
            <w:r w:rsidR="00B561E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B561EB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formation</w:t>
            </w:r>
            <w:r w:rsidR="00B054FA">
              <w:rPr>
                <w:rFonts w:ascii="Arial" w:hAnsi="Arial" w:cs="Arial"/>
                <w:sz w:val="24"/>
                <w:szCs w:val="24"/>
                <w:lang w:val="en-GB"/>
              </w:rPr>
              <w:t xml:space="preserve"> – Mudstone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, of the </w:t>
            </w:r>
            <w:r w:rsidR="00BF1F16">
              <w:rPr>
                <w:rFonts w:ascii="Arial" w:hAnsi="Arial" w:cs="Arial"/>
                <w:sz w:val="24"/>
                <w:szCs w:val="24"/>
                <w:lang w:val="en-GB"/>
              </w:rPr>
              <w:t>Jurassic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 period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6DE68C9E" w14:textId="39C1C6BD" w:rsidR="001F5FB8" w:rsidRDefault="00004CC6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Searches indicate the site is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BF1F16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underlain with a</w:t>
            </w:r>
            <w:r w:rsidR="003D3C4D">
              <w:rPr>
                <w:rFonts w:ascii="Arial" w:hAnsi="Arial" w:cs="Arial"/>
                <w:sz w:val="24"/>
                <w:szCs w:val="24"/>
                <w:lang w:val="en-GB"/>
              </w:rPr>
              <w:t xml:space="preserve"> Bedrock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Aquifer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63D6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504E3">
              <w:rPr>
                <w:rFonts w:ascii="Arial" w:hAnsi="Arial" w:cs="Arial"/>
                <w:sz w:val="24"/>
                <w:szCs w:val="24"/>
                <w:lang w:val="en-GB"/>
              </w:rPr>
              <w:t xml:space="preserve">No </w:t>
            </w:r>
            <w:r w:rsidR="00463D66">
              <w:rPr>
                <w:rFonts w:ascii="Arial" w:hAnsi="Arial" w:cs="Arial"/>
                <w:sz w:val="24"/>
                <w:szCs w:val="24"/>
                <w:lang w:val="en-GB"/>
              </w:rPr>
              <w:t>Superficial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drift aquifer</w:t>
            </w:r>
            <w:r w:rsidR="00F504E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0AD737F" w14:textId="4B663FD1" w:rsidR="00004CC6" w:rsidRPr="00342D2A" w:rsidRDefault="005E21CC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Groundwater Vulnerability Zone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 xml:space="preserve"> - Low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934B0C4" w14:textId="1CD50E39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within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 xml:space="preserve">Surface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Nitrate Vulnerable Zone.</w:t>
            </w:r>
          </w:p>
          <w:p w14:paraId="556E430B" w14:textId="59F203B8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 a Groundwater/Source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water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protection zone</w:t>
            </w:r>
            <w:r w:rsidR="00A93B3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20ECFCC" w14:textId="63C4C6BB" w:rsidR="00677C40" w:rsidRPr="00677C40" w:rsidRDefault="004D3A2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B4578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 drinking water 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>protection/</w:t>
            </w:r>
            <w:r w:rsidR="00411DAD">
              <w:rPr>
                <w:rFonts w:ascii="Arial" w:hAnsi="Arial" w:cs="Arial"/>
                <w:sz w:val="24"/>
                <w:szCs w:val="24"/>
                <w:lang w:val="en-GB"/>
              </w:rPr>
              <w:t>safeguard zone</w:t>
            </w:r>
          </w:p>
          <w:p w14:paraId="0D466D93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E6572D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AB41B6" w14:textId="10A604B6" w:rsidR="00677C40" w:rsidRPr="00677C40" w:rsidRDefault="00F07DB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104D502" w14:textId="77777777" w:rsidR="00677C40" w:rsidRPr="00677C40" w:rsidRDefault="00677C40" w:rsidP="00677C40">
            <w:pPr>
              <w:pStyle w:val="Heading9"/>
              <w:rPr>
                <w:rFonts w:ascii="Arial" w:hAnsi="Arial" w:cs="Arial"/>
              </w:rPr>
            </w:pPr>
            <w:r w:rsidRPr="00677C40">
              <w:rPr>
                <w:rFonts w:ascii="Arial" w:hAnsi="Arial" w:cs="Arial"/>
              </w:rPr>
              <w:t>Hydrology</w:t>
            </w:r>
          </w:p>
          <w:p w14:paraId="216C8B2A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239123" w14:textId="22EA62D6" w:rsidR="00677C40" w:rsidRPr="009B05DE" w:rsidRDefault="008D1049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General drainage is in </w:t>
            </w:r>
            <w:r w:rsidR="007A433E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 w:rsidR="00456DA0">
              <w:rPr>
                <w:rFonts w:ascii="Arial" w:hAnsi="Arial" w:cs="Arial"/>
                <w:sz w:val="24"/>
                <w:szCs w:val="24"/>
                <w:lang w:val="en-GB"/>
              </w:rPr>
              <w:t>northerl</w:t>
            </w:r>
            <w:r w:rsidR="005C7486">
              <w:rPr>
                <w:rFonts w:ascii="Arial" w:hAnsi="Arial" w:cs="Arial"/>
                <w:sz w:val="24"/>
                <w:szCs w:val="24"/>
                <w:lang w:val="en-GB"/>
              </w:rPr>
              <w:t>y</w:t>
            </w:r>
            <w:r w:rsidR="00D5696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>direction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. Average rainfall for this area is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mm.</w:t>
            </w:r>
            <w:r w:rsidR="00677C40">
              <w:rPr>
                <w:lang w:val="en-GB"/>
              </w:rPr>
              <w:t xml:space="preserve"> </w:t>
            </w:r>
          </w:p>
          <w:p w14:paraId="5B83E579" w14:textId="77777777" w:rsidR="00FD1784" w:rsidRPr="00FD1784" w:rsidRDefault="00FD1784" w:rsidP="00FD1784">
            <w:pPr>
              <w:pStyle w:val="BodyText2"/>
              <w:rPr>
                <w:rFonts w:ascii="Arial" w:hAnsi="Arial" w:cs="Arial"/>
              </w:rPr>
            </w:pPr>
          </w:p>
          <w:p w14:paraId="6E07332A" w14:textId="77777777" w:rsidR="002D7DD5" w:rsidRPr="00B32438" w:rsidRDefault="002D7DD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42B4CA" w14:textId="77777777" w:rsidR="009E3004" w:rsidRDefault="009E300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1E7DD5" w14:textId="77777777" w:rsidR="00485981" w:rsidRDefault="00485981" w:rsidP="004B57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77BC327" w14:textId="77777777" w:rsidTr="00B163F1">
        <w:tc>
          <w:tcPr>
            <w:tcW w:w="4677" w:type="dxa"/>
          </w:tcPr>
          <w:p w14:paraId="1863E181" w14:textId="77777777" w:rsidR="00B3157B" w:rsidRPr="00450FE3" w:rsidRDefault="00EE1AC9" w:rsidP="004360F4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450FE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lastRenderedPageBreak/>
              <w:t>Pollution history including:</w:t>
            </w:r>
          </w:p>
          <w:p w14:paraId="4ACEC51D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6CCCA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Pollution incidents that may have affected land</w:t>
            </w:r>
          </w:p>
          <w:p w14:paraId="5DF47B8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331DD8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Historical land uses and associated contaminants</w:t>
            </w:r>
          </w:p>
          <w:p w14:paraId="4F0CA55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330959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9E85DA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25EDE84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8B1C8F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Any visual/olfactory evidence of existing contamination</w:t>
            </w:r>
          </w:p>
          <w:p w14:paraId="5FD3730A" w14:textId="77777777" w:rsidR="00450FE3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F11F5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64C759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damage to pollution prevention measures</w:t>
            </w:r>
          </w:p>
        </w:tc>
        <w:tc>
          <w:tcPr>
            <w:tcW w:w="4671" w:type="dxa"/>
          </w:tcPr>
          <w:p w14:paraId="2E472C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83B2EB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673E1F4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26AFF56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76741BF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520C7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Polluting substances – None noted</w:t>
            </w:r>
          </w:p>
          <w:p w14:paraId="69B5D18D" w14:textId="39BE42BD" w:rsidR="0057128C" w:rsidRDefault="00B3243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Previous use prior to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 xml:space="preserve"> 20</w:t>
            </w:r>
            <w:r w:rsidR="00D32BAD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57128C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8318BA">
              <w:rPr>
                <w:rFonts w:ascii="Arial" w:hAnsi="Arial" w:cs="Arial"/>
                <w:sz w:val="24"/>
                <w:szCs w:val="24"/>
                <w:lang w:val="en-GB"/>
              </w:rPr>
              <w:t>Arable farming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F350CA0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324060" w14:textId="77777777" w:rsidR="005E21CC" w:rsidRDefault="005E21C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4AFB9D" w14:textId="77777777" w:rsidR="001F5C87" w:rsidRDefault="001F5C87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630E69A" w14:textId="72E005CA" w:rsidR="0057128C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4D0B93C3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30766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3A5F9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71594D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</w:tc>
      </w:tr>
      <w:tr w:rsidR="00B3157B" w14:paraId="1E8D93A6" w14:textId="77777777" w:rsidTr="00B163F1">
        <w:tc>
          <w:tcPr>
            <w:tcW w:w="4677" w:type="dxa"/>
          </w:tcPr>
          <w:p w14:paraId="51FA8363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historical contamination</w:t>
            </w:r>
          </w:p>
        </w:tc>
        <w:tc>
          <w:tcPr>
            <w:tcW w:w="4671" w:type="dxa"/>
          </w:tcPr>
          <w:p w14:paraId="128F4D1A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B3157B" w14:paraId="05DDB917" w14:textId="77777777" w:rsidTr="00B163F1">
        <w:tc>
          <w:tcPr>
            <w:tcW w:w="4677" w:type="dxa"/>
          </w:tcPr>
          <w:p w14:paraId="3865F96F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3.0 Permitted Activities</w:t>
            </w:r>
          </w:p>
        </w:tc>
        <w:tc>
          <w:tcPr>
            <w:tcW w:w="4671" w:type="dxa"/>
          </w:tcPr>
          <w:p w14:paraId="41EE105D" w14:textId="43D52738" w:rsidR="00337531" w:rsidRDefault="003564C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Six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 </w:t>
            </w:r>
            <w:proofErr w:type="gramStart"/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>house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proofErr w:type="gramEnd"/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for Broiler chicken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B3243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4334">
              <w:rPr>
                <w:rFonts w:ascii="Arial" w:hAnsi="Arial" w:cs="Arial"/>
                <w:sz w:val="24"/>
                <w:szCs w:val="24"/>
                <w:lang w:val="en-GB"/>
              </w:rPr>
              <w:t xml:space="preserve"> This will give a total of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35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="00E82439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8D1049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places.</w:t>
            </w:r>
            <w:r w:rsidR="007D3F8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F295F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Heating will be provided by LPG heaters</w:t>
            </w:r>
            <w:r w:rsidR="0060188E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The working area where vehicles operate is laid to concrete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3B1EDEA8" w14:textId="02D3E863" w:rsidR="00B3157B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Feed is delivered in covered lorries and stored on site in vermin proof steel galvanised bins. </w:t>
            </w:r>
          </w:p>
          <w:p w14:paraId="2A50A9E0" w14:textId="743141E4" w:rsidR="00A91045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Immediately following depopulation, litter is removed off site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="00BE539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C1B30">
              <w:rPr>
                <w:rFonts w:ascii="Arial" w:hAnsi="Arial" w:cs="Arial"/>
                <w:sz w:val="24"/>
                <w:szCs w:val="24"/>
                <w:lang w:val="en-GB"/>
              </w:rPr>
              <w:t>sold</w:t>
            </w:r>
            <w:r w:rsidR="00CF4E1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391BDDB" w14:textId="49425AE0" w:rsidR="00CF4E1D" w:rsidRDefault="00CF4E1D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houses are then washed and disinfected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prior to the cycle beginning again. 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nderground storage tank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>ha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ve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been installed to catch all wash waters.</w:t>
            </w:r>
          </w:p>
          <w:p w14:paraId="392D5F57" w14:textId="1686C082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Dead birds are removed from the houses and stored in sealed containers awaiting </w:t>
            </w:r>
            <w:r w:rsidR="00657B49">
              <w:rPr>
                <w:rFonts w:ascii="Arial" w:hAnsi="Arial" w:cs="Arial"/>
                <w:sz w:val="24"/>
                <w:szCs w:val="24"/>
                <w:lang w:val="en-GB"/>
              </w:rPr>
              <w:t>collection</w:t>
            </w:r>
            <w:r w:rsidR="00357C0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1CAF4BEC" w14:textId="634E79AA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Diesel fuel storage is in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bunded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integral</w:t>
            </w:r>
            <w:r w:rsidR="004360F4">
              <w:rPr>
                <w:rFonts w:ascii="Arial" w:hAnsi="Arial" w:cs="Arial"/>
                <w:sz w:val="24"/>
                <w:szCs w:val="24"/>
                <w:lang w:val="en-GB"/>
              </w:rPr>
              <w:t xml:space="preserve"> tan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CC09AD">
              <w:rPr>
                <w:rFonts w:ascii="Arial" w:hAnsi="Arial" w:cs="Arial"/>
                <w:sz w:val="24"/>
                <w:szCs w:val="24"/>
                <w:lang w:val="en-GB"/>
              </w:rPr>
              <w:t xml:space="preserve"> in the standby generator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C0062DF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310CFFAA" w14:textId="77777777" w:rsidTr="00B163F1">
        <w:tc>
          <w:tcPr>
            <w:tcW w:w="4677" w:type="dxa"/>
          </w:tcPr>
          <w:p w14:paraId="2612640D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Non permitted activities undertaken</w:t>
            </w:r>
          </w:p>
        </w:tc>
        <w:tc>
          <w:tcPr>
            <w:tcW w:w="4671" w:type="dxa"/>
          </w:tcPr>
          <w:p w14:paraId="2A94FF25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4360F4" w14:paraId="3B81716C" w14:textId="77777777" w:rsidTr="00B16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77" w:type="dxa"/>
          </w:tcPr>
          <w:p w14:paraId="5AB8F2B3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References</w:t>
            </w:r>
          </w:p>
        </w:tc>
        <w:tc>
          <w:tcPr>
            <w:tcW w:w="4671" w:type="dxa"/>
            <w:shd w:val="clear" w:color="auto" w:fill="auto"/>
          </w:tcPr>
          <w:p w14:paraId="0443A3FC" w14:textId="77777777" w:rsidR="00A97A7B" w:rsidRDefault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</w:t>
            </w:r>
            <w:r w:rsidR="00A97A7B">
              <w:rPr>
                <w:rFonts w:ascii="Arial" w:hAnsi="Arial" w:cs="Arial"/>
                <w:sz w:val="24"/>
                <w:szCs w:val="24"/>
                <w:lang w:val="en-GB"/>
              </w:rPr>
              <w:t>ocation Plan</w:t>
            </w:r>
          </w:p>
          <w:p w14:paraId="31F69DB0" w14:textId="77777777" w:rsidR="004360F4" w:rsidRDefault="00A97A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  <w:p w14:paraId="5D0C4A0B" w14:textId="77777777" w:rsidR="004360F4" w:rsidRDefault="004360F4" w:rsidP="000216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H1 Assessment</w:t>
            </w:r>
          </w:p>
        </w:tc>
      </w:tr>
      <w:tr w:rsidR="00FF05AD" w14:paraId="6D867F07" w14:textId="77777777" w:rsidTr="00B163F1">
        <w:tc>
          <w:tcPr>
            <w:tcW w:w="4677" w:type="dxa"/>
          </w:tcPr>
          <w:p w14:paraId="6FE9058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4.0 Changes to Activity</w:t>
            </w:r>
          </w:p>
        </w:tc>
        <w:tc>
          <w:tcPr>
            <w:tcW w:w="4671" w:type="dxa"/>
          </w:tcPr>
          <w:p w14:paraId="59856527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  <w:r w:rsidR="00FF05A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F05AD" w14:paraId="7B49E678" w14:textId="77777777" w:rsidTr="00B163F1">
        <w:tc>
          <w:tcPr>
            <w:tcW w:w="4677" w:type="dxa"/>
          </w:tcPr>
          <w:p w14:paraId="5BC42507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5.0 Measures taken to protect Land</w:t>
            </w:r>
          </w:p>
        </w:tc>
        <w:tc>
          <w:tcPr>
            <w:tcW w:w="4671" w:type="dxa"/>
          </w:tcPr>
          <w:p w14:paraId="0ECD768E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Site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operated in compliance with “how to comply” routine maintenance schedules are followed and recorded and with any abnormal operations recorded. </w:t>
            </w:r>
          </w:p>
        </w:tc>
      </w:tr>
      <w:tr w:rsidR="00FF05AD" w14:paraId="66C1ED14" w14:textId="77777777" w:rsidTr="00B163F1">
        <w:tc>
          <w:tcPr>
            <w:tcW w:w="4677" w:type="dxa"/>
          </w:tcPr>
          <w:p w14:paraId="5D1B9555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6.0 Pollution Incidents</w:t>
            </w:r>
          </w:p>
        </w:tc>
        <w:tc>
          <w:tcPr>
            <w:tcW w:w="4671" w:type="dxa"/>
          </w:tcPr>
          <w:p w14:paraId="063CD4F2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FF05AD" w14:paraId="51D96DD3" w14:textId="77777777" w:rsidTr="00B163F1">
        <w:tc>
          <w:tcPr>
            <w:tcW w:w="4677" w:type="dxa"/>
          </w:tcPr>
          <w:p w14:paraId="38B0F5B4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7.0 Soil, gas and water quality monitoring</w:t>
            </w:r>
          </w:p>
        </w:tc>
        <w:tc>
          <w:tcPr>
            <w:tcW w:w="4671" w:type="dxa"/>
          </w:tcPr>
          <w:p w14:paraId="77CEC145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 monitoring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undertaken at the installation.</w:t>
            </w:r>
          </w:p>
        </w:tc>
      </w:tr>
      <w:tr w:rsidR="00FF05AD" w14:paraId="35C4E167" w14:textId="77777777" w:rsidTr="00B163F1">
        <w:tc>
          <w:tcPr>
            <w:tcW w:w="4677" w:type="dxa"/>
          </w:tcPr>
          <w:p w14:paraId="1D5717F0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71" w:type="dxa"/>
          </w:tcPr>
          <w:p w14:paraId="313E155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D07F47F" w14:textId="77777777" w:rsidR="00B3157B" w:rsidRPr="0089223A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sectPr w:rsidR="00B3157B" w:rsidRPr="0089223A" w:rsidSect="00EA6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3A"/>
    <w:rsid w:val="00004CC6"/>
    <w:rsid w:val="000216D4"/>
    <w:rsid w:val="00027494"/>
    <w:rsid w:val="00044496"/>
    <w:rsid w:val="00072BD9"/>
    <w:rsid w:val="00073FEB"/>
    <w:rsid w:val="00075FB4"/>
    <w:rsid w:val="00080C24"/>
    <w:rsid w:val="0009548B"/>
    <w:rsid w:val="0009671C"/>
    <w:rsid w:val="000A1D55"/>
    <w:rsid w:val="000B4578"/>
    <w:rsid w:val="000C1B30"/>
    <w:rsid w:val="000C5E7E"/>
    <w:rsid w:val="000E682D"/>
    <w:rsid w:val="00112D01"/>
    <w:rsid w:val="0011334A"/>
    <w:rsid w:val="00120751"/>
    <w:rsid w:val="001406A6"/>
    <w:rsid w:val="00166D43"/>
    <w:rsid w:val="00181F01"/>
    <w:rsid w:val="00192BD6"/>
    <w:rsid w:val="001A68E7"/>
    <w:rsid w:val="001E4791"/>
    <w:rsid w:val="001F5C87"/>
    <w:rsid w:val="001F5FB8"/>
    <w:rsid w:val="00201222"/>
    <w:rsid w:val="002140A6"/>
    <w:rsid w:val="00226426"/>
    <w:rsid w:val="00242B3D"/>
    <w:rsid w:val="002664DC"/>
    <w:rsid w:val="00266A7D"/>
    <w:rsid w:val="00267041"/>
    <w:rsid w:val="00275E52"/>
    <w:rsid w:val="002A3D55"/>
    <w:rsid w:val="002C5F12"/>
    <w:rsid w:val="002D7DD5"/>
    <w:rsid w:val="002E50CB"/>
    <w:rsid w:val="002E75F9"/>
    <w:rsid w:val="002F493E"/>
    <w:rsid w:val="00306E7B"/>
    <w:rsid w:val="00311897"/>
    <w:rsid w:val="00313D2F"/>
    <w:rsid w:val="00320971"/>
    <w:rsid w:val="00337531"/>
    <w:rsid w:val="00350ED3"/>
    <w:rsid w:val="00351562"/>
    <w:rsid w:val="003564CC"/>
    <w:rsid w:val="00357C00"/>
    <w:rsid w:val="00361A11"/>
    <w:rsid w:val="00362674"/>
    <w:rsid w:val="003752E4"/>
    <w:rsid w:val="00377B79"/>
    <w:rsid w:val="00377BA0"/>
    <w:rsid w:val="003820DC"/>
    <w:rsid w:val="00384155"/>
    <w:rsid w:val="003915A1"/>
    <w:rsid w:val="00392AF0"/>
    <w:rsid w:val="003D2101"/>
    <w:rsid w:val="003D2CC7"/>
    <w:rsid w:val="003D2CE0"/>
    <w:rsid w:val="003D3382"/>
    <w:rsid w:val="003D3C4D"/>
    <w:rsid w:val="0040263D"/>
    <w:rsid w:val="00411DAD"/>
    <w:rsid w:val="00417C56"/>
    <w:rsid w:val="004306A9"/>
    <w:rsid w:val="004338AE"/>
    <w:rsid w:val="00433D6F"/>
    <w:rsid w:val="0043514B"/>
    <w:rsid w:val="004360F4"/>
    <w:rsid w:val="00450FE3"/>
    <w:rsid w:val="00456DA0"/>
    <w:rsid w:val="00460B1C"/>
    <w:rsid w:val="00463D66"/>
    <w:rsid w:val="004822CE"/>
    <w:rsid w:val="004827C3"/>
    <w:rsid w:val="00485981"/>
    <w:rsid w:val="004869B1"/>
    <w:rsid w:val="004A2F13"/>
    <w:rsid w:val="004B04C0"/>
    <w:rsid w:val="004B57A5"/>
    <w:rsid w:val="004C1A92"/>
    <w:rsid w:val="004C723D"/>
    <w:rsid w:val="004D3A2B"/>
    <w:rsid w:val="00511C8D"/>
    <w:rsid w:val="00514E92"/>
    <w:rsid w:val="00517C0A"/>
    <w:rsid w:val="00520A4A"/>
    <w:rsid w:val="00532BCB"/>
    <w:rsid w:val="005379E8"/>
    <w:rsid w:val="0055157C"/>
    <w:rsid w:val="0057128C"/>
    <w:rsid w:val="0058520C"/>
    <w:rsid w:val="005B52E2"/>
    <w:rsid w:val="005C7486"/>
    <w:rsid w:val="005E21CC"/>
    <w:rsid w:val="005E7B97"/>
    <w:rsid w:val="005F3F5A"/>
    <w:rsid w:val="0060188E"/>
    <w:rsid w:val="00601CB1"/>
    <w:rsid w:val="00620601"/>
    <w:rsid w:val="00625F5A"/>
    <w:rsid w:val="00636075"/>
    <w:rsid w:val="00657B49"/>
    <w:rsid w:val="006701A6"/>
    <w:rsid w:val="006705A5"/>
    <w:rsid w:val="00677C40"/>
    <w:rsid w:val="00685E14"/>
    <w:rsid w:val="006B2F11"/>
    <w:rsid w:val="006C4B8E"/>
    <w:rsid w:val="006F209D"/>
    <w:rsid w:val="006F4D72"/>
    <w:rsid w:val="00707D1B"/>
    <w:rsid w:val="00720967"/>
    <w:rsid w:val="00730F90"/>
    <w:rsid w:val="00741738"/>
    <w:rsid w:val="00750790"/>
    <w:rsid w:val="00756601"/>
    <w:rsid w:val="007603F9"/>
    <w:rsid w:val="00760820"/>
    <w:rsid w:val="0077589D"/>
    <w:rsid w:val="0078309E"/>
    <w:rsid w:val="0079296F"/>
    <w:rsid w:val="007A433E"/>
    <w:rsid w:val="007B01F8"/>
    <w:rsid w:val="007D3F88"/>
    <w:rsid w:val="007D6088"/>
    <w:rsid w:val="007D7C3B"/>
    <w:rsid w:val="007F2332"/>
    <w:rsid w:val="00802EF6"/>
    <w:rsid w:val="008318BA"/>
    <w:rsid w:val="008351E8"/>
    <w:rsid w:val="008660F1"/>
    <w:rsid w:val="00883B27"/>
    <w:rsid w:val="0089223A"/>
    <w:rsid w:val="008C1241"/>
    <w:rsid w:val="008C53BC"/>
    <w:rsid w:val="008D1049"/>
    <w:rsid w:val="008F192A"/>
    <w:rsid w:val="008F295F"/>
    <w:rsid w:val="008F3D2A"/>
    <w:rsid w:val="009046CB"/>
    <w:rsid w:val="00905699"/>
    <w:rsid w:val="00927065"/>
    <w:rsid w:val="00970A6B"/>
    <w:rsid w:val="00973F48"/>
    <w:rsid w:val="009868F1"/>
    <w:rsid w:val="009B05DE"/>
    <w:rsid w:val="009B793D"/>
    <w:rsid w:val="009D4D7A"/>
    <w:rsid w:val="009E0D3E"/>
    <w:rsid w:val="009E3004"/>
    <w:rsid w:val="00A23DC7"/>
    <w:rsid w:val="00A32DC8"/>
    <w:rsid w:val="00A40958"/>
    <w:rsid w:val="00A65953"/>
    <w:rsid w:val="00A91045"/>
    <w:rsid w:val="00A93B33"/>
    <w:rsid w:val="00A974B7"/>
    <w:rsid w:val="00A97A7B"/>
    <w:rsid w:val="00AA00F7"/>
    <w:rsid w:val="00B0144F"/>
    <w:rsid w:val="00B054FA"/>
    <w:rsid w:val="00B162CE"/>
    <w:rsid w:val="00B163F1"/>
    <w:rsid w:val="00B3157B"/>
    <w:rsid w:val="00B32438"/>
    <w:rsid w:val="00B40396"/>
    <w:rsid w:val="00B418C8"/>
    <w:rsid w:val="00B46DFA"/>
    <w:rsid w:val="00B561EB"/>
    <w:rsid w:val="00B61821"/>
    <w:rsid w:val="00B71B19"/>
    <w:rsid w:val="00BC073C"/>
    <w:rsid w:val="00BC2535"/>
    <w:rsid w:val="00BE240F"/>
    <w:rsid w:val="00BE5392"/>
    <w:rsid w:val="00BF1F16"/>
    <w:rsid w:val="00BF41A9"/>
    <w:rsid w:val="00C05D89"/>
    <w:rsid w:val="00C0791E"/>
    <w:rsid w:val="00C17036"/>
    <w:rsid w:val="00C21509"/>
    <w:rsid w:val="00C2660C"/>
    <w:rsid w:val="00C3540F"/>
    <w:rsid w:val="00C35456"/>
    <w:rsid w:val="00C35A03"/>
    <w:rsid w:val="00C5066D"/>
    <w:rsid w:val="00C65144"/>
    <w:rsid w:val="00C8227D"/>
    <w:rsid w:val="00C863BD"/>
    <w:rsid w:val="00C94C30"/>
    <w:rsid w:val="00CA7AAC"/>
    <w:rsid w:val="00CC09AD"/>
    <w:rsid w:val="00CC5240"/>
    <w:rsid w:val="00CE7539"/>
    <w:rsid w:val="00CF4E1D"/>
    <w:rsid w:val="00CF4E28"/>
    <w:rsid w:val="00D1646C"/>
    <w:rsid w:val="00D169F1"/>
    <w:rsid w:val="00D323B4"/>
    <w:rsid w:val="00D32BAD"/>
    <w:rsid w:val="00D35E6C"/>
    <w:rsid w:val="00D42680"/>
    <w:rsid w:val="00D56961"/>
    <w:rsid w:val="00D7732A"/>
    <w:rsid w:val="00DB1615"/>
    <w:rsid w:val="00DD6FCE"/>
    <w:rsid w:val="00E03C9E"/>
    <w:rsid w:val="00E21BDD"/>
    <w:rsid w:val="00E27CC1"/>
    <w:rsid w:val="00E564B3"/>
    <w:rsid w:val="00E5666C"/>
    <w:rsid w:val="00E77ECA"/>
    <w:rsid w:val="00E82439"/>
    <w:rsid w:val="00E96048"/>
    <w:rsid w:val="00E977EF"/>
    <w:rsid w:val="00EA0B47"/>
    <w:rsid w:val="00EA6053"/>
    <w:rsid w:val="00EB1D18"/>
    <w:rsid w:val="00EB3151"/>
    <w:rsid w:val="00EE1438"/>
    <w:rsid w:val="00EE1AC9"/>
    <w:rsid w:val="00EE4334"/>
    <w:rsid w:val="00EF1A5F"/>
    <w:rsid w:val="00F02FB8"/>
    <w:rsid w:val="00F07DBB"/>
    <w:rsid w:val="00F11186"/>
    <w:rsid w:val="00F17E7E"/>
    <w:rsid w:val="00F37BE1"/>
    <w:rsid w:val="00F504E3"/>
    <w:rsid w:val="00F73F90"/>
    <w:rsid w:val="00F8657A"/>
    <w:rsid w:val="00F924DA"/>
    <w:rsid w:val="00FB7909"/>
    <w:rsid w:val="00FD1784"/>
    <w:rsid w:val="00FE4AB9"/>
    <w:rsid w:val="00FE774E"/>
    <w:rsid w:val="00FE7DF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289C"/>
  <w15:docId w15:val="{00EE20D8-0A61-441E-9F7D-8FF665F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77C4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677C4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rsid w:val="00FD1784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FD178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77C40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77C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Default">
    <w:name w:val="Default"/>
    <w:rsid w:val="00CC5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3ac58971d00dbbb32cab7c98ed27d14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17a8b1f5e58ea6ab248d2005f38153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2025-03-03T00:00:00+00:00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EPR-VP3925LR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EPR/VP3925LR</OtherReference>
    <EventLink xmlns="5ffd8e36-f429-4edc-ab50-c5be84842779" xsi:nil="true"/>
    <Customer_x002f_OperatorName xmlns="eebef177-55b5-4448-a5fb-28ea454417ee">FALDINGWORTH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2025-03-03T00:00:00+00:00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EPR/VP3925LR</EPRNumber>
    <FacilityAddressPostcode xmlns="eebef177-55b5-4448-a5fb-28ea454417ee">LN8 2DF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FALDINGWORTH POULTRY LTD</ExternalAuthor>
    <SiteName xmlns="eebef177-55b5-4448-a5fb-28ea454417ee">Faldingworth Poultry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Faldingworth Road, West Lindsey, Lincolnshire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7BABD695-EDE1-405B-8A78-A8A833642D4B}"/>
</file>

<file path=customXml/itemProps2.xml><?xml version="1.0" encoding="utf-8"?>
<ds:datastoreItem xmlns:ds="http://schemas.openxmlformats.org/officeDocument/2006/customXml" ds:itemID="{656026E9-93D6-4A83-9D8C-CE89F2CAD082}"/>
</file>

<file path=customXml/itemProps3.xml><?xml version="1.0" encoding="utf-8"?>
<ds:datastoreItem xmlns:ds="http://schemas.openxmlformats.org/officeDocument/2006/customXml" ds:itemID="{C7B4022F-C228-47CA-8E1F-BE6A8FCD8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4059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181</cp:revision>
  <dcterms:created xsi:type="dcterms:W3CDTF">2009-03-23T15:37:00Z</dcterms:created>
  <dcterms:modified xsi:type="dcterms:W3CDTF">2025-02-27T16:02:00Z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