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6A2F1E" w14:textId="3FEDA28A" w:rsidR="005C7EB3" w:rsidRPr="005C7EB3" w:rsidRDefault="005C7EB3" w:rsidP="003470E5">
      <w:pPr>
        <w:pStyle w:val="NoSpacing"/>
        <w:rPr>
          <w:b/>
          <w:bCs/>
          <w:sz w:val="32"/>
          <w:szCs w:val="32"/>
          <w:lang w:val="fr-FR"/>
        </w:rPr>
      </w:pPr>
      <w:r w:rsidRPr="005C7EB3">
        <w:rPr>
          <w:b/>
          <w:bCs/>
          <w:sz w:val="32"/>
          <w:szCs w:val="32"/>
          <w:lang w:val="fr-FR"/>
        </w:rPr>
        <w:t>Part C3.5 Section 6 Environmental Risk Assessment</w:t>
      </w:r>
    </w:p>
    <w:p w14:paraId="1A815862" w14:textId="77777777" w:rsidR="005C7EB3" w:rsidRDefault="005C7EB3" w:rsidP="003470E5">
      <w:pPr>
        <w:pStyle w:val="NoSpacing"/>
        <w:rPr>
          <w:lang w:val="fr-FR"/>
        </w:rPr>
      </w:pPr>
    </w:p>
    <w:p w14:paraId="3A5DAC31" w14:textId="5E189C92" w:rsidR="00263B3F" w:rsidRDefault="005C7EB3" w:rsidP="003470E5">
      <w:pPr>
        <w:pStyle w:val="NoSpacing"/>
        <w:rPr>
          <w:lang w:val="fr-FR"/>
        </w:rPr>
      </w:pPr>
      <w:r>
        <w:rPr>
          <w:lang w:val="fr-FR"/>
        </w:rPr>
        <w:t>Note : This document formed part of the planning application submitted to North Kesteven and District Council in February 2022</w:t>
      </w:r>
    </w:p>
    <w:p w14:paraId="4E539045" w14:textId="76D27537" w:rsidR="003470E5" w:rsidRDefault="003470E5" w:rsidP="003470E5">
      <w:pPr>
        <w:pStyle w:val="NoSpacing"/>
        <w:rPr>
          <w:lang w:val="fr-FR"/>
        </w:rPr>
      </w:pPr>
    </w:p>
    <w:p w14:paraId="0C76843D" w14:textId="77777777" w:rsidR="003470E5" w:rsidRPr="006245CC" w:rsidRDefault="003470E5" w:rsidP="003470E5">
      <w:pPr>
        <w:pStyle w:val="NoSpacing"/>
        <w:rPr>
          <w:b/>
          <w:bCs/>
        </w:rPr>
      </w:pPr>
      <w:r>
        <w:rPr>
          <w:b/>
          <w:bCs/>
        </w:rPr>
        <w:t>4.0</w:t>
      </w:r>
      <w:r>
        <w:rPr>
          <w:b/>
          <w:bCs/>
        </w:rPr>
        <w:tab/>
      </w:r>
      <w:r w:rsidRPr="006245CC">
        <w:rPr>
          <w:b/>
          <w:bCs/>
        </w:rPr>
        <w:t>ENVIRONMENTAL EFFECTS</w:t>
      </w:r>
    </w:p>
    <w:p w14:paraId="39BBE03F" w14:textId="77777777" w:rsidR="003470E5" w:rsidRDefault="003470E5" w:rsidP="003470E5">
      <w:pPr>
        <w:pStyle w:val="NoSpacing"/>
      </w:pPr>
    </w:p>
    <w:p w14:paraId="77969150" w14:textId="77777777" w:rsidR="003470E5" w:rsidRDefault="003470E5" w:rsidP="003470E5">
      <w:pPr>
        <w:pStyle w:val="NoSpacing"/>
        <w:ind w:left="720" w:hanging="720"/>
      </w:pPr>
      <w:r>
        <w:t>4.1</w:t>
      </w:r>
      <w:r>
        <w:tab/>
        <w:t>The following sections detail analysis of the various cumulative environmental effects of the proposed poultry unit development/operation and any mitigation measures considered necessary to avoid identified adverse impacts.</w:t>
      </w:r>
    </w:p>
    <w:p w14:paraId="6651A312" w14:textId="77777777" w:rsidR="003470E5" w:rsidRDefault="003470E5" w:rsidP="003470E5">
      <w:pPr>
        <w:pStyle w:val="NoSpacing"/>
      </w:pPr>
    </w:p>
    <w:p w14:paraId="64E9D0DD" w14:textId="77777777" w:rsidR="003470E5" w:rsidRPr="006245CC" w:rsidRDefault="003470E5" w:rsidP="003470E5">
      <w:pPr>
        <w:pStyle w:val="NoSpacing"/>
        <w:ind w:firstLine="720"/>
        <w:rPr>
          <w:b/>
          <w:bCs/>
          <w:u w:val="single"/>
        </w:rPr>
      </w:pPr>
      <w:r w:rsidRPr="006245CC">
        <w:rPr>
          <w:b/>
          <w:bCs/>
          <w:u w:val="single"/>
        </w:rPr>
        <w:t>Landscape &amp; Visual Impact</w:t>
      </w:r>
    </w:p>
    <w:p w14:paraId="78FE9AA1" w14:textId="77777777" w:rsidR="003470E5" w:rsidRDefault="003470E5" w:rsidP="003470E5">
      <w:pPr>
        <w:pStyle w:val="NoSpacing"/>
      </w:pPr>
    </w:p>
    <w:p w14:paraId="5A7F055A" w14:textId="77777777" w:rsidR="003470E5" w:rsidRDefault="003470E5" w:rsidP="003470E5">
      <w:pPr>
        <w:pStyle w:val="NoSpacing"/>
        <w:ind w:left="720" w:hanging="720"/>
      </w:pPr>
      <w:r>
        <w:t>4.2</w:t>
      </w:r>
      <w:r>
        <w:tab/>
        <w:t>This section considers the physical and visual impact of the proposed development upon the landscape. The assessment process adheres to general principles outlined by the Landscape Institute and Institute of Environment Management publication '</w:t>
      </w:r>
      <w:r w:rsidRPr="008873C2">
        <w:rPr>
          <w:i/>
        </w:rPr>
        <w:t>Guidelines for Visual and Landscape Impact Assessment</w:t>
      </w:r>
      <w:r>
        <w:t>' (2013) (GLVIA3) and The Countryside Agency's '</w:t>
      </w:r>
      <w:r w:rsidRPr="008873C2">
        <w:rPr>
          <w:i/>
        </w:rPr>
        <w:t>Landscape Character Assessment - Guidance for England &amp; Scotland</w:t>
      </w:r>
      <w:r>
        <w:t>' (2002) publication. However, it is not considered necessary for the following appraisal to provide the level of detail one would typically associate with a full Environmental Impact Assessment.</w:t>
      </w:r>
    </w:p>
    <w:p w14:paraId="55FD3911" w14:textId="77777777" w:rsidR="003470E5" w:rsidRDefault="003470E5" w:rsidP="003470E5">
      <w:pPr>
        <w:pStyle w:val="NoSpacing"/>
      </w:pPr>
    </w:p>
    <w:p w14:paraId="6E83262D" w14:textId="77777777" w:rsidR="003470E5" w:rsidRDefault="003470E5" w:rsidP="003470E5">
      <w:pPr>
        <w:pStyle w:val="NoSpacing"/>
        <w:ind w:left="720" w:hanging="720"/>
      </w:pPr>
      <w:r>
        <w:t>4.3</w:t>
      </w:r>
      <w:r>
        <w:tab/>
      </w:r>
      <w:r w:rsidRPr="007342CF">
        <w:t>The GLVIA notes that landscape and visual assessment are technically separate procedures. However, the assessment of how a development might impact upon the landscape inevitably forms a baseline for visual assessment. The 'landscape' is regarded as an environmental resource and the 'effect' of a development upon it is primarily assessed in light of physical changes and the manner in which these alter established attributes/characteristics. 'Visual impact' is essentially a term used to describe the aesthetic consequences of changes to the landscape, i.e. how people might perceive changes to a view or the visual amenity/value of a site and its surroundings.</w:t>
      </w:r>
    </w:p>
    <w:p w14:paraId="385C86DB" w14:textId="77777777" w:rsidR="003470E5" w:rsidRDefault="003470E5" w:rsidP="003470E5">
      <w:pPr>
        <w:pStyle w:val="NoSpacing"/>
      </w:pPr>
    </w:p>
    <w:p w14:paraId="50AE58CC" w14:textId="77777777" w:rsidR="003470E5" w:rsidRDefault="003470E5" w:rsidP="003470E5">
      <w:pPr>
        <w:pStyle w:val="NoSpacing"/>
        <w:ind w:firstLine="720"/>
      </w:pPr>
      <w:r w:rsidRPr="00B209CA">
        <w:rPr>
          <w:u w:val="single"/>
        </w:rPr>
        <w:t>Landscape Baseline &amp; Characteristics</w:t>
      </w:r>
    </w:p>
    <w:p w14:paraId="4B9170C3" w14:textId="77777777" w:rsidR="003470E5" w:rsidRDefault="003470E5" w:rsidP="003470E5">
      <w:pPr>
        <w:pStyle w:val="NoSpacing"/>
      </w:pPr>
    </w:p>
    <w:p w14:paraId="259FBCD6" w14:textId="77777777" w:rsidR="003470E5" w:rsidRDefault="003470E5" w:rsidP="003470E5">
      <w:pPr>
        <w:pStyle w:val="NoSpacing"/>
        <w:ind w:left="720" w:hanging="720"/>
        <w:rPr>
          <w:bCs/>
          <w:szCs w:val="24"/>
        </w:rPr>
      </w:pPr>
      <w:r>
        <w:t>4.4</w:t>
      </w:r>
      <w:r>
        <w:tab/>
        <w:t>The European Landscape Convention (ELC) defines the term 'landscape' as: '</w:t>
      </w:r>
      <w:r w:rsidRPr="00201361">
        <w:rPr>
          <w:i/>
        </w:rPr>
        <w:t>...an area, as perceived by people, whose character is the result of the action and interaction of natural and/or human factors</w:t>
      </w:r>
      <w:r>
        <w:t xml:space="preserve">' (Council of Europe, 2000). </w:t>
      </w:r>
      <w:r w:rsidRPr="00EE12EF">
        <w:t xml:space="preserve">To understand the application site within its wider landscape context, regard was </w:t>
      </w:r>
      <w:r>
        <w:t xml:space="preserve">given </w:t>
      </w:r>
      <w:r w:rsidRPr="00EE12EF">
        <w:t>to the</w:t>
      </w:r>
      <w:r>
        <w:t xml:space="preserve"> Natural England publication</w:t>
      </w:r>
      <w:r>
        <w:rPr>
          <w:bCs/>
          <w:szCs w:val="24"/>
        </w:rPr>
        <w:t xml:space="preserve"> 'National </w:t>
      </w:r>
      <w:r w:rsidRPr="00B209CA">
        <w:rPr>
          <w:bCs/>
          <w:szCs w:val="24"/>
        </w:rPr>
        <w:t xml:space="preserve">Landscape Character Area 48 - Trent and Belvoir Vales.' Page 7 </w:t>
      </w:r>
      <w:r>
        <w:rPr>
          <w:bCs/>
          <w:szCs w:val="24"/>
        </w:rPr>
        <w:t>summarises the key characteristics of this National Character Area (NCA) as follows:</w:t>
      </w:r>
    </w:p>
    <w:p w14:paraId="7C1C28F8" w14:textId="77777777" w:rsidR="003470E5" w:rsidRDefault="003470E5" w:rsidP="003470E5">
      <w:pPr>
        <w:pStyle w:val="NoSpacing"/>
        <w:rPr>
          <w:bCs/>
          <w:szCs w:val="24"/>
        </w:rPr>
      </w:pPr>
    </w:p>
    <w:p w14:paraId="5F5C9A05" w14:textId="77777777" w:rsidR="003470E5" w:rsidRPr="00EB108A" w:rsidRDefault="003470E5" w:rsidP="003470E5">
      <w:pPr>
        <w:pStyle w:val="ListParagraph"/>
        <w:numPr>
          <w:ilvl w:val="0"/>
          <w:numId w:val="9"/>
        </w:numPr>
        <w:jc w:val="both"/>
        <w:rPr>
          <w:bCs/>
          <w:szCs w:val="24"/>
        </w:rPr>
      </w:pPr>
      <w:r w:rsidRPr="00BC4C2C">
        <w:rPr>
          <w:i/>
        </w:rPr>
        <w:t>A gently undulating and low-lying landform in the main, with low ridges dividing shallow, broad river valleys, vales and flood plains. The mature, powerful River Trent flows north through the full length of the area, meandering across its broad flood plain and continuing to influence the physical and human geography of the area as it has done for thousands of years.</w:t>
      </w:r>
    </w:p>
    <w:p w14:paraId="7E8D8941" w14:textId="77777777" w:rsidR="003470E5" w:rsidRPr="00EB108A" w:rsidRDefault="003470E5" w:rsidP="003470E5">
      <w:pPr>
        <w:pStyle w:val="ListParagraph"/>
        <w:jc w:val="both"/>
        <w:rPr>
          <w:bCs/>
          <w:szCs w:val="24"/>
        </w:rPr>
      </w:pPr>
    </w:p>
    <w:p w14:paraId="16D781D8" w14:textId="77777777" w:rsidR="003470E5" w:rsidRPr="00EB108A" w:rsidRDefault="003470E5" w:rsidP="003470E5">
      <w:pPr>
        <w:pStyle w:val="ListParagraph"/>
        <w:numPr>
          <w:ilvl w:val="0"/>
          <w:numId w:val="9"/>
        </w:numPr>
        <w:jc w:val="both"/>
        <w:rPr>
          <w:bCs/>
          <w:szCs w:val="24"/>
        </w:rPr>
      </w:pPr>
      <w:r w:rsidRPr="00BC4C2C">
        <w:rPr>
          <w:i/>
        </w:rPr>
        <w:t xml:space="preserve">The bedrock geology of Triassic and Jurassic mudstones has given rise to fertile clayey soils across much of the area, while extensive deposits of alluvium and sand </w:t>
      </w:r>
      <w:r w:rsidRPr="00BC4C2C">
        <w:rPr>
          <w:i/>
        </w:rPr>
        <w:lastRenderedPageBreak/>
        <w:t>and gravel have given rise to a wider variety of soils, especially in the flood plains and over much</w:t>
      </w:r>
      <w:r>
        <w:rPr>
          <w:i/>
        </w:rPr>
        <w:t xml:space="preserve"> of the eastern part of the NCA.</w:t>
      </w:r>
    </w:p>
    <w:p w14:paraId="649CFF6D" w14:textId="77777777" w:rsidR="003470E5" w:rsidRPr="00EB108A" w:rsidRDefault="003470E5" w:rsidP="003470E5">
      <w:pPr>
        <w:pStyle w:val="ListParagraph"/>
        <w:rPr>
          <w:bCs/>
          <w:szCs w:val="24"/>
        </w:rPr>
      </w:pPr>
    </w:p>
    <w:p w14:paraId="75FFEF22" w14:textId="77777777" w:rsidR="003470E5" w:rsidRPr="00EB108A" w:rsidRDefault="003470E5" w:rsidP="003470E5">
      <w:pPr>
        <w:pStyle w:val="ListParagraph"/>
        <w:numPr>
          <w:ilvl w:val="0"/>
          <w:numId w:val="9"/>
        </w:numPr>
        <w:jc w:val="both"/>
        <w:rPr>
          <w:bCs/>
          <w:szCs w:val="24"/>
        </w:rPr>
      </w:pPr>
      <w:r w:rsidRPr="00BC4C2C">
        <w:rPr>
          <w:i/>
        </w:rPr>
        <w:t>Agriculture is the dominant land use, with most farmland being used for growing cereals, oilseeds and other arable crops. While much pasture has been converted to arable use over the years, grazing is still significant in places, such as along the Trent and around settlements.</w:t>
      </w:r>
    </w:p>
    <w:p w14:paraId="7685D2D3" w14:textId="77777777" w:rsidR="003470E5" w:rsidRPr="00EB108A" w:rsidRDefault="003470E5" w:rsidP="003470E5">
      <w:pPr>
        <w:pStyle w:val="ListParagraph"/>
        <w:rPr>
          <w:bCs/>
          <w:szCs w:val="24"/>
        </w:rPr>
      </w:pPr>
    </w:p>
    <w:p w14:paraId="06F5E304" w14:textId="77777777" w:rsidR="003470E5" w:rsidRPr="00EB108A" w:rsidRDefault="003470E5" w:rsidP="003470E5">
      <w:pPr>
        <w:pStyle w:val="ListParagraph"/>
        <w:numPr>
          <w:ilvl w:val="0"/>
          <w:numId w:val="9"/>
        </w:numPr>
        <w:jc w:val="both"/>
        <w:rPr>
          <w:bCs/>
          <w:szCs w:val="24"/>
        </w:rPr>
      </w:pPr>
      <w:r w:rsidRPr="00BC4C2C">
        <w:rPr>
          <w:i/>
        </w:rPr>
        <w:t>A regular pattern of medium to large fields enclosed by hawthorn hedgerows, and ditches in low-lying areas, dominates the landscape.</w:t>
      </w:r>
    </w:p>
    <w:p w14:paraId="2212B565" w14:textId="77777777" w:rsidR="003470E5" w:rsidRPr="00EB108A" w:rsidRDefault="003470E5" w:rsidP="003470E5">
      <w:pPr>
        <w:pStyle w:val="ListParagraph"/>
        <w:rPr>
          <w:bCs/>
          <w:szCs w:val="24"/>
        </w:rPr>
      </w:pPr>
    </w:p>
    <w:p w14:paraId="42C5AC39" w14:textId="77777777" w:rsidR="003470E5" w:rsidRPr="00EB108A" w:rsidRDefault="003470E5" w:rsidP="003470E5">
      <w:pPr>
        <w:pStyle w:val="Pa13"/>
        <w:numPr>
          <w:ilvl w:val="0"/>
          <w:numId w:val="9"/>
        </w:numPr>
        <w:spacing w:line="240" w:lineRule="auto"/>
        <w:jc w:val="both"/>
        <w:rPr>
          <w:rFonts w:ascii="Times New Roman" w:hAnsi="Times New Roman"/>
          <w:i/>
        </w:rPr>
      </w:pPr>
      <w:r w:rsidRPr="00BC4C2C">
        <w:rPr>
          <w:rFonts w:ascii="Times New Roman" w:hAnsi="Times New Roman"/>
          <w:i/>
        </w:rPr>
        <w:t>Very little semi-natural habitat remains across the area; however, areas of flood plain grazing marsh are still found in places along the Trent.</w:t>
      </w:r>
    </w:p>
    <w:p w14:paraId="346CD9F4" w14:textId="77777777" w:rsidR="003470E5" w:rsidRDefault="003470E5" w:rsidP="003470E5">
      <w:pPr>
        <w:pStyle w:val="Pa13"/>
        <w:spacing w:line="240" w:lineRule="auto"/>
        <w:ind w:left="720"/>
        <w:jc w:val="both"/>
        <w:rPr>
          <w:rFonts w:ascii="Times New Roman" w:hAnsi="Times New Roman"/>
          <w:i/>
        </w:rPr>
      </w:pPr>
      <w:r w:rsidRPr="00BC4C2C">
        <w:rPr>
          <w:rFonts w:ascii="Times New Roman" w:hAnsi="Times New Roman"/>
          <w:i/>
        </w:rPr>
        <w:t xml:space="preserve"> </w:t>
      </w:r>
    </w:p>
    <w:p w14:paraId="4EF237E9" w14:textId="77777777" w:rsidR="003470E5" w:rsidRPr="00EB108A" w:rsidRDefault="003470E5" w:rsidP="003470E5">
      <w:pPr>
        <w:pStyle w:val="ListParagraph"/>
        <w:numPr>
          <w:ilvl w:val="0"/>
          <w:numId w:val="9"/>
        </w:numPr>
        <w:jc w:val="both"/>
        <w:rPr>
          <w:bCs/>
          <w:szCs w:val="24"/>
        </w:rPr>
      </w:pPr>
      <w:r w:rsidRPr="00BC4C2C">
        <w:rPr>
          <w:i/>
        </w:rPr>
        <w:t>Extraction of sand and gravel deposits continues within the Trent flood plain and the area to the west of Lincoln. Many former sites of extraction have been flooded, introducing new waterbodies and new wetland habitats to the landscape.</w:t>
      </w:r>
    </w:p>
    <w:p w14:paraId="3D57D06B" w14:textId="77777777" w:rsidR="003470E5" w:rsidRPr="00EB108A" w:rsidRDefault="003470E5" w:rsidP="003470E5">
      <w:pPr>
        <w:pStyle w:val="ListParagraph"/>
        <w:rPr>
          <w:bCs/>
          <w:szCs w:val="24"/>
        </w:rPr>
      </w:pPr>
    </w:p>
    <w:p w14:paraId="6CE36C7D" w14:textId="77777777" w:rsidR="003470E5" w:rsidRPr="00EB108A" w:rsidRDefault="003470E5" w:rsidP="003470E5">
      <w:pPr>
        <w:pStyle w:val="ListParagraph"/>
        <w:numPr>
          <w:ilvl w:val="0"/>
          <w:numId w:val="9"/>
        </w:numPr>
        <w:jc w:val="both"/>
        <w:rPr>
          <w:bCs/>
          <w:szCs w:val="24"/>
        </w:rPr>
      </w:pPr>
      <w:r w:rsidRPr="00BC4C2C">
        <w:rPr>
          <w:i/>
        </w:rPr>
        <w:t>Extensive use of red bricks and pantiles in the 19th century has contributed to the consistent character of traditional architecture within villages and farmsteads across the area. Stone hewn from harder courses within the mudstones, along with stone from neighbouring areas, also feature as building materials, especially in the churches.</w:t>
      </w:r>
    </w:p>
    <w:p w14:paraId="6BC5EC85" w14:textId="77777777" w:rsidR="003470E5" w:rsidRPr="00EB108A" w:rsidRDefault="003470E5" w:rsidP="003470E5">
      <w:pPr>
        <w:pStyle w:val="ListParagraph"/>
        <w:rPr>
          <w:bCs/>
          <w:szCs w:val="24"/>
        </w:rPr>
      </w:pPr>
    </w:p>
    <w:p w14:paraId="230FA6ED" w14:textId="77777777" w:rsidR="003470E5" w:rsidRPr="00E55C15" w:rsidRDefault="003470E5" w:rsidP="003470E5">
      <w:pPr>
        <w:pStyle w:val="ListParagraph"/>
        <w:numPr>
          <w:ilvl w:val="0"/>
          <w:numId w:val="9"/>
        </w:numPr>
        <w:jc w:val="both"/>
        <w:rPr>
          <w:bCs/>
          <w:szCs w:val="24"/>
        </w:rPr>
      </w:pPr>
      <w:r w:rsidRPr="00BC4C2C">
        <w:rPr>
          <w:i/>
        </w:rPr>
        <w:t>A predominantly rural and sparsely settled area with small villages and dispersed farms linked by quiet lanes, contrasting with the busy market towns of Newark and Grantham, the cities of Nottingham and Lincoln, the major roads connecting them and the cross-country dual carriageways of the A1 and A46.</w:t>
      </w:r>
    </w:p>
    <w:p w14:paraId="2A838846" w14:textId="77777777" w:rsidR="003470E5" w:rsidRPr="00E55C15" w:rsidRDefault="003470E5" w:rsidP="003470E5">
      <w:pPr>
        <w:pStyle w:val="ListParagraph"/>
        <w:rPr>
          <w:i/>
        </w:rPr>
      </w:pPr>
    </w:p>
    <w:p w14:paraId="130FA56C" w14:textId="77777777" w:rsidR="003470E5" w:rsidRDefault="003470E5" w:rsidP="003470E5">
      <w:pPr>
        <w:pStyle w:val="NoSpacing"/>
        <w:numPr>
          <w:ilvl w:val="0"/>
          <w:numId w:val="9"/>
        </w:numPr>
      </w:pPr>
      <w:r w:rsidRPr="00E55C15">
        <w:rPr>
          <w:i/>
        </w:rPr>
        <w:t>Immense coal-fired power stations in the north exert a visual influence over a wide area, not just because of their structures but also the plumes that rise from them and the pylons and power lines that are linked to them. The same applies to the gas-fired power station and sugar beet factory near Newark albeit on a small scale.</w:t>
      </w:r>
    </w:p>
    <w:p w14:paraId="5A49D85B" w14:textId="77777777" w:rsidR="003470E5" w:rsidRDefault="003470E5" w:rsidP="003470E5">
      <w:pPr>
        <w:pStyle w:val="NoSpacing"/>
      </w:pPr>
    </w:p>
    <w:p w14:paraId="5DFDF6C5" w14:textId="77777777" w:rsidR="003470E5" w:rsidRDefault="003470E5" w:rsidP="003470E5">
      <w:pPr>
        <w:pStyle w:val="NoSpacing"/>
        <w:ind w:left="720" w:hanging="720"/>
      </w:pPr>
      <w:r>
        <w:t>4.5</w:t>
      </w:r>
      <w:r>
        <w:tab/>
        <w:t xml:space="preserve">Clearly only certain elements of the above character area summary are applicable to the proposed site's immediate landscape context. As illustrated by the aerial photograph included below, the local landscape is indeed primarily defined by agriculture. Substantial rectilinear arable field systems typically delineated by drainage ditches and deciduous hedgerows dominate the low-lying landscape to the west of the Lincoln Cliff Escarpment. The terrain is essentially flat and devoid of topographic features. Notable exceptions to this comprise the River Brant (evident below), which is located a little over 0.5 kilometres to the west of the application site. This north to south orientate watercourse is accompanied by high flood defence banks topped with mature Hawthorn and Blackthorn. </w:t>
      </w:r>
    </w:p>
    <w:p w14:paraId="72F0C9FE" w14:textId="77777777" w:rsidR="003470E5" w:rsidRDefault="003470E5" w:rsidP="003470E5">
      <w:pPr>
        <w:pStyle w:val="NoSpacing"/>
      </w:pPr>
    </w:p>
    <w:p w14:paraId="1A81FABB" w14:textId="77777777" w:rsidR="003470E5" w:rsidRDefault="003470E5" w:rsidP="003470E5">
      <w:pPr>
        <w:pStyle w:val="NoSpacing"/>
        <w:jc w:val="center"/>
      </w:pPr>
      <w:r w:rsidRPr="00496905">
        <w:rPr>
          <w:noProof/>
          <w:lang w:eastAsia="en-GB"/>
        </w:rPr>
        <w:lastRenderedPageBreak/>
        <w:drawing>
          <wp:inline distT="0" distB="0" distL="0" distR="0" wp14:anchorId="0AE6799A" wp14:editId="46D3BB26">
            <wp:extent cx="4671262" cy="373711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80613" cy="3744594"/>
                    </a:xfrm>
                    <a:prstGeom prst="rect">
                      <a:avLst/>
                    </a:prstGeom>
                  </pic:spPr>
                </pic:pic>
              </a:graphicData>
            </a:graphic>
          </wp:inline>
        </w:drawing>
      </w:r>
    </w:p>
    <w:p w14:paraId="077C8951" w14:textId="77777777" w:rsidR="003470E5" w:rsidRDefault="003470E5" w:rsidP="003470E5">
      <w:pPr>
        <w:jc w:val="center"/>
        <w:rPr>
          <w:rFonts w:asciiTheme="minorHAnsi" w:hAnsiTheme="minorHAnsi" w:cstheme="minorHAnsi"/>
          <w:sz w:val="18"/>
          <w:szCs w:val="18"/>
        </w:rPr>
      </w:pPr>
      <w:r>
        <w:rPr>
          <w:rFonts w:asciiTheme="minorHAnsi" w:hAnsiTheme="minorHAnsi" w:cstheme="minorHAnsi"/>
          <w:sz w:val="18"/>
          <w:szCs w:val="18"/>
        </w:rPr>
        <w:t xml:space="preserve">Aerial photograph depicting location of proposed poultry house situated </w:t>
      </w:r>
    </w:p>
    <w:p w14:paraId="4FAC9070" w14:textId="77777777" w:rsidR="003470E5" w:rsidRDefault="003470E5" w:rsidP="003470E5">
      <w:pPr>
        <w:pStyle w:val="NoSpacing"/>
        <w:jc w:val="center"/>
      </w:pPr>
      <w:r>
        <w:rPr>
          <w:rFonts w:asciiTheme="minorHAnsi" w:hAnsiTheme="minorHAnsi" w:cstheme="minorHAnsi"/>
          <w:sz w:val="18"/>
          <w:szCs w:val="18"/>
        </w:rPr>
        <w:t>amidst wider surrounding landscape.</w:t>
      </w:r>
    </w:p>
    <w:p w14:paraId="2A2DF261" w14:textId="77777777" w:rsidR="003470E5" w:rsidRDefault="003470E5" w:rsidP="003470E5">
      <w:pPr>
        <w:pStyle w:val="NoSpacing"/>
      </w:pPr>
    </w:p>
    <w:p w14:paraId="3FB836F9" w14:textId="77777777" w:rsidR="003470E5" w:rsidRDefault="003470E5" w:rsidP="003470E5">
      <w:pPr>
        <w:pStyle w:val="NoSpacing"/>
        <w:ind w:left="720" w:hanging="720"/>
      </w:pPr>
      <w:r>
        <w:t>4.6</w:t>
      </w:r>
      <w:r>
        <w:tab/>
        <w:t xml:space="preserve">The locality of the application site is somewhat dominated by the established Barn Farm complex and adjacent poultry farm located adjoining the northern verge of Church Lane. Agricultural/livestock development is also commonplace across the wider ‘lowfields’ landscape. Though tree cover is generally sparse, it can be observed that small copse and woodland blocks are sporadically distributed throughout the locality.  </w:t>
      </w:r>
      <w:r w:rsidRPr="00870358">
        <w:t xml:space="preserve"> </w:t>
      </w:r>
    </w:p>
    <w:p w14:paraId="1921D017" w14:textId="77777777" w:rsidR="003470E5" w:rsidRDefault="003470E5" w:rsidP="003470E5">
      <w:pPr>
        <w:pStyle w:val="NoSpacing"/>
      </w:pPr>
    </w:p>
    <w:p w14:paraId="4138CFD5" w14:textId="77777777" w:rsidR="003470E5" w:rsidRDefault="003470E5" w:rsidP="003470E5">
      <w:pPr>
        <w:pStyle w:val="NoSpacing"/>
        <w:ind w:left="720" w:hanging="720"/>
      </w:pPr>
      <w:r>
        <w:t>4.7</w:t>
      </w:r>
      <w:r>
        <w:tab/>
        <w:t xml:space="preserve">It should be noted that the application site is not part of a Conservation Area, National Park, Area of Great Landscape Value (AGLV) or Area of Outstanding Natural Beauty (AONB). The site is also remote from designated heritage assets and land of identified aesthetic, biodiversity or geological value. </w:t>
      </w:r>
    </w:p>
    <w:p w14:paraId="3B89F12D" w14:textId="77777777" w:rsidR="003470E5" w:rsidRDefault="003470E5" w:rsidP="003470E5">
      <w:pPr>
        <w:pStyle w:val="NoSpacing"/>
      </w:pPr>
    </w:p>
    <w:p w14:paraId="35F61A2C" w14:textId="77777777" w:rsidR="003470E5" w:rsidRDefault="003470E5" w:rsidP="003470E5">
      <w:pPr>
        <w:pStyle w:val="NoSpacing"/>
        <w:ind w:left="720" w:hanging="720"/>
      </w:pPr>
      <w:r>
        <w:t>4.8</w:t>
      </w:r>
      <w:r>
        <w:tab/>
        <w:t>The local landscape features are relatively robust and ubiquitous. The locality of the application site does nevertheless exhibit some positive aesthetic qualities and GLVIA3 criteria indicate that it accordingly has a low-moderate sensitivity to change. This indicates some vulnerability to unsympathetic development.</w:t>
      </w:r>
    </w:p>
    <w:p w14:paraId="3D56E71F" w14:textId="77777777" w:rsidR="003470E5" w:rsidRDefault="003470E5" w:rsidP="003470E5">
      <w:pPr>
        <w:pStyle w:val="NoSpacing"/>
      </w:pPr>
    </w:p>
    <w:p w14:paraId="49ED61A2" w14:textId="77777777" w:rsidR="003470E5" w:rsidRDefault="003470E5" w:rsidP="003470E5">
      <w:pPr>
        <w:pStyle w:val="NoSpacing"/>
        <w:ind w:firstLine="720"/>
      </w:pPr>
      <w:r w:rsidRPr="004C156E">
        <w:rPr>
          <w:u w:val="single"/>
        </w:rPr>
        <w:t>Landscape Impact</w:t>
      </w:r>
    </w:p>
    <w:p w14:paraId="32C767BB" w14:textId="77777777" w:rsidR="003470E5" w:rsidRDefault="003470E5" w:rsidP="003470E5">
      <w:pPr>
        <w:pStyle w:val="NoSpacing"/>
      </w:pPr>
    </w:p>
    <w:p w14:paraId="26E34FA5" w14:textId="77777777" w:rsidR="003470E5" w:rsidRDefault="003470E5" w:rsidP="003470E5">
      <w:pPr>
        <w:pStyle w:val="NoSpacing"/>
        <w:ind w:left="720" w:hanging="720"/>
      </w:pPr>
      <w:r>
        <w:t>4.9</w:t>
      </w:r>
      <w:r>
        <w:tab/>
        <w:t>The impact of a development upon the fabric of the landscape is effectively appraised in light of the degree to which the resultant changes will alter the perceived landscape character and balance of defining features.</w:t>
      </w:r>
    </w:p>
    <w:p w14:paraId="79733731" w14:textId="77777777" w:rsidR="003470E5" w:rsidRDefault="003470E5" w:rsidP="003470E5">
      <w:pPr>
        <w:pStyle w:val="NoSpacing"/>
      </w:pPr>
    </w:p>
    <w:p w14:paraId="5419533A" w14:textId="77777777" w:rsidR="003470E5" w:rsidRDefault="003470E5" w:rsidP="003470E5">
      <w:pPr>
        <w:pStyle w:val="NoSpacing"/>
        <w:ind w:left="720" w:hanging="720"/>
      </w:pPr>
      <w:r>
        <w:t>4.10</w:t>
      </w:r>
      <w:r>
        <w:tab/>
        <w:t xml:space="preserve">The proposed broiler poultry house and ancillary feed silos will replace twelve existing livestock/storage units of larger cumulative floor area and comparable architectural vernacular within an established agricultural building cluster. </w:t>
      </w:r>
      <w:r w:rsidRPr="00EE12EF">
        <w:t>The fabr</w:t>
      </w:r>
      <w:r>
        <w:t>ic of the local landscape will technically</w:t>
      </w:r>
      <w:r w:rsidRPr="00EE12EF">
        <w:t xml:space="preserve"> </w:t>
      </w:r>
      <w:r>
        <w:t xml:space="preserve">subtly </w:t>
      </w:r>
      <w:r w:rsidRPr="00EE12EF">
        <w:t>change as a result of the proposal</w:t>
      </w:r>
      <w:r>
        <w:t xml:space="preserve">, though these </w:t>
      </w:r>
      <w:r>
        <w:lastRenderedPageBreak/>
        <w:t xml:space="preserve">changes will not be readily perceptible beyond the site’s immediate confines. The perceived massing of agricultural buildings at Barn Farm will reduce, though the perimeter of the complex will remain unchanged. The new poultry house is of a low stature design and its landscape impact will be limited by virtue of established landscaping and obscuration by existing (retained) farm buildings. </w:t>
      </w:r>
    </w:p>
    <w:p w14:paraId="6A9ABECB" w14:textId="77777777" w:rsidR="003470E5" w:rsidRDefault="003470E5" w:rsidP="003470E5">
      <w:pPr>
        <w:pStyle w:val="NoSpacing"/>
      </w:pPr>
    </w:p>
    <w:p w14:paraId="4D967312" w14:textId="77777777" w:rsidR="003470E5" w:rsidRDefault="003470E5" w:rsidP="003470E5">
      <w:pPr>
        <w:pStyle w:val="NoSpacing"/>
        <w:ind w:left="720" w:hanging="720"/>
      </w:pPr>
      <w:r>
        <w:t>4.11</w:t>
      </w:r>
      <w:r>
        <w:tab/>
        <w:t xml:space="preserve">Changes to the fabric of the local landscape will be </w:t>
      </w:r>
      <w:r w:rsidRPr="008F5787">
        <w:rPr>
          <w:i/>
          <w:iCs/>
        </w:rPr>
        <w:t>de minimis</w:t>
      </w:r>
      <w:r>
        <w:t xml:space="preserve"> and the development will not give rise to adverse effects in cumulation with the existing building cluster. O</w:t>
      </w:r>
      <w:r w:rsidRPr="00EE12EF">
        <w:t xml:space="preserve">ne </w:t>
      </w:r>
      <w:r>
        <w:t>would typically expect to see</w:t>
      </w:r>
      <w:r w:rsidRPr="00EE12EF">
        <w:t xml:space="preserve"> agricultural building</w:t>
      </w:r>
      <w:r>
        <w:t>s</w:t>
      </w:r>
      <w:r w:rsidRPr="00EE12EF">
        <w:t xml:space="preserve"> in a location such as that in question.</w:t>
      </w:r>
      <w:r>
        <w:t xml:space="preserve"> The proposed development will not result in a notable departure from baseline conditions and the geographic extent of the scheme’s landscape impact is very limited. Indeed, it is considered that erection of a single poultry house following removal of multiple livestock buildings will marginally enhance the appearance and consequent setting of the site.</w:t>
      </w:r>
    </w:p>
    <w:p w14:paraId="1FC96703" w14:textId="77777777" w:rsidR="003470E5" w:rsidRDefault="003470E5" w:rsidP="003470E5">
      <w:pPr>
        <w:pStyle w:val="NoSpacing"/>
      </w:pPr>
    </w:p>
    <w:p w14:paraId="0C81A008" w14:textId="77777777" w:rsidR="003470E5" w:rsidRDefault="003470E5" w:rsidP="003470E5">
      <w:pPr>
        <w:pStyle w:val="NoSpacing"/>
        <w:ind w:left="720" w:hanging="720"/>
      </w:pPr>
      <w:r>
        <w:t>4.12</w:t>
      </w:r>
      <w:r>
        <w:tab/>
        <w:t xml:space="preserve">On the basis of GLVIA3 assessment criteria, it is therefore reasonable to conclude that the overall landscape impact of the proposed development will be of </w:t>
      </w:r>
      <w:r>
        <w:rPr>
          <w:b/>
        </w:rPr>
        <w:t>small magnitude</w:t>
      </w:r>
      <w:r>
        <w:t>. It is evident that the new poultry house will, in cumulation with the existing farm complex, only entail small scale changes to established landscape elements and that these will be not be readily evident from beyond the application site’s immediate confines. Neither will the changes represent a notable departure from the established landscape character.</w:t>
      </w:r>
    </w:p>
    <w:p w14:paraId="63E50063" w14:textId="77777777" w:rsidR="003470E5" w:rsidRDefault="003470E5" w:rsidP="003470E5">
      <w:pPr>
        <w:pStyle w:val="NoSpacing"/>
      </w:pPr>
    </w:p>
    <w:p w14:paraId="634CB99E" w14:textId="77777777" w:rsidR="003470E5" w:rsidRDefault="003470E5" w:rsidP="003470E5">
      <w:pPr>
        <w:pStyle w:val="NoSpacing"/>
        <w:ind w:firstLine="720"/>
      </w:pPr>
      <w:r w:rsidRPr="008045D0">
        <w:rPr>
          <w:u w:val="single"/>
        </w:rPr>
        <w:t xml:space="preserve">Visual </w:t>
      </w:r>
      <w:r>
        <w:rPr>
          <w:u w:val="single"/>
        </w:rPr>
        <w:t>Context &amp; Receptors</w:t>
      </w:r>
    </w:p>
    <w:p w14:paraId="1179D292" w14:textId="77777777" w:rsidR="003470E5" w:rsidRDefault="003470E5" w:rsidP="003470E5">
      <w:pPr>
        <w:pStyle w:val="NoSpacing"/>
      </w:pPr>
    </w:p>
    <w:p w14:paraId="098FDB4C" w14:textId="77777777" w:rsidR="003470E5" w:rsidRDefault="003470E5" w:rsidP="003470E5">
      <w:pPr>
        <w:pStyle w:val="NoSpacing"/>
        <w:ind w:left="720" w:hanging="720"/>
      </w:pPr>
      <w:r>
        <w:t>4.13</w:t>
      </w:r>
      <w:r>
        <w:tab/>
      </w:r>
      <w:r w:rsidRPr="00EE12EF">
        <w:t>The visual influence of a development is assessed by identifying its connection with the surrounding environment and its range of intervisibility. Such is referred to as the Zone of Visual Influence (ZVI). The ZVI is determined by the presence of screening features (be they terrain, buildings or vegetation) and the manner by which these serve to restrict the line of sight potentially gained from the surrounding area. Theoretically the ZVI perimeter will demarcate the furthest possible views of a site/development.</w:t>
      </w:r>
    </w:p>
    <w:p w14:paraId="6EDCA52F" w14:textId="77777777" w:rsidR="003470E5" w:rsidRDefault="003470E5" w:rsidP="003470E5">
      <w:pPr>
        <w:pStyle w:val="NoSpacing"/>
      </w:pPr>
    </w:p>
    <w:p w14:paraId="21B9ED38" w14:textId="77777777" w:rsidR="003470E5" w:rsidRDefault="003470E5" w:rsidP="003470E5">
      <w:pPr>
        <w:pStyle w:val="NoSpacing"/>
        <w:ind w:left="720" w:hanging="720"/>
      </w:pPr>
      <w:r>
        <w:t>4.14</w:t>
      </w:r>
      <w:r>
        <w:tab/>
        <w:t>A distinction has been made between 'obscured' and 'unobscured' views of the new building and structures. Viewpoints from where 25% or more of any given building/structure elevation is clearly visible (unobscured) are encompassed by the first zone of visual influence (ZVI1). Viewpoints from where less than 25% of a building/structure elevation is visible (obscured) fall within the second zone of visual influence (ZVI2). This distinction avoids particularly obscured views of new development being misrepresented as 'readily visible' from the surrounding landscape. Views that fall within ZVI2 are typically long range or very 'fleeting' in nature, i.e. limited views of the site gained from a distant elevated vantage points or through small gaps in otherwise dense foliage cover. Intervisibility achieved within ZVI2 is usually considered to be of low significance.</w:t>
      </w:r>
    </w:p>
    <w:p w14:paraId="74CE3B9B" w14:textId="77777777" w:rsidR="003470E5" w:rsidRDefault="003470E5" w:rsidP="003470E5">
      <w:pPr>
        <w:pStyle w:val="NoSpacing"/>
      </w:pPr>
    </w:p>
    <w:p w14:paraId="26D1A757" w14:textId="77777777" w:rsidR="003470E5" w:rsidRDefault="003470E5" w:rsidP="003470E5">
      <w:pPr>
        <w:pStyle w:val="NoSpacing"/>
        <w:ind w:left="720" w:hanging="720"/>
      </w:pPr>
      <w:r>
        <w:rPr>
          <w:bCs/>
          <w:szCs w:val="24"/>
        </w:rPr>
        <w:t>4.15</w:t>
      </w:r>
      <w:r>
        <w:rPr>
          <w:bCs/>
          <w:szCs w:val="24"/>
        </w:rPr>
        <w:tab/>
        <w:t xml:space="preserve">The proposed </w:t>
      </w:r>
      <w:r>
        <w:t xml:space="preserve">2280 </w:t>
      </w:r>
      <w:r w:rsidRPr="00CB5A4A">
        <w:t>m</w:t>
      </w:r>
      <w:r>
        <w:rPr>
          <w:vertAlign w:val="superscript"/>
        </w:rPr>
        <w:t>2</w:t>
      </w:r>
      <w:r>
        <w:rPr>
          <w:bCs/>
          <w:szCs w:val="24"/>
        </w:rPr>
        <w:t xml:space="preserve"> broiler rearing house will measure </w:t>
      </w:r>
      <w:r w:rsidRPr="00E76175">
        <w:rPr>
          <w:bCs/>
          <w:szCs w:val="24"/>
        </w:rPr>
        <w:t xml:space="preserve">just </w:t>
      </w:r>
      <w:r>
        <w:rPr>
          <w:bCs/>
          <w:szCs w:val="24"/>
        </w:rPr>
        <w:t>6</w:t>
      </w:r>
      <w:r w:rsidRPr="00E76175">
        <w:rPr>
          <w:bCs/>
          <w:szCs w:val="24"/>
        </w:rPr>
        <w:t>.</w:t>
      </w:r>
      <w:r>
        <w:rPr>
          <w:bCs/>
          <w:szCs w:val="24"/>
        </w:rPr>
        <w:t>3</w:t>
      </w:r>
      <w:r w:rsidRPr="00E76175">
        <w:rPr>
          <w:bCs/>
          <w:szCs w:val="24"/>
        </w:rPr>
        <w:t xml:space="preserve"> metres </w:t>
      </w:r>
      <w:r w:rsidRPr="00297E5B">
        <w:rPr>
          <w:bCs/>
          <w:szCs w:val="24"/>
        </w:rPr>
        <w:t>to the</w:t>
      </w:r>
      <w:r>
        <w:rPr>
          <w:bCs/>
          <w:szCs w:val="24"/>
        </w:rPr>
        <w:t xml:space="preserve"> roof</w:t>
      </w:r>
      <w:r w:rsidRPr="00297E5B">
        <w:rPr>
          <w:bCs/>
          <w:szCs w:val="24"/>
        </w:rPr>
        <w:t xml:space="preserve"> ridge </w:t>
      </w:r>
      <w:r>
        <w:rPr>
          <w:bCs/>
          <w:szCs w:val="24"/>
        </w:rPr>
        <w:t xml:space="preserve">and the application site is situated on an area of level ground amidst a relatively flat landform. Due to the nature of the topography and presence of existing adjoining agricultural buildings, the proposed unit’s ZVI1 perimeter will be essentially limited to the immediate surrounding area. </w:t>
      </w:r>
      <w:r w:rsidRPr="006A6596">
        <w:t xml:space="preserve">Views within ZVI1 were considered in light of sensitive visual receptors and the identified landscape character. Regard was given to </w:t>
      </w:r>
      <w:r w:rsidRPr="006A6596">
        <w:lastRenderedPageBreak/>
        <w:t xml:space="preserve">the potential </w:t>
      </w:r>
      <w:r>
        <w:t xml:space="preserve">dominance and </w:t>
      </w:r>
      <w:r w:rsidRPr="006A6596">
        <w:t>screening effect the proposal might impart upon views of and from residential and recreational areas, the public highway, public footpaths and sites of visual amenity and/or historic value such as conservation areas and listed buildings.</w:t>
      </w:r>
    </w:p>
    <w:p w14:paraId="540D7C29" w14:textId="77777777" w:rsidR="003470E5" w:rsidRDefault="003470E5" w:rsidP="003470E5">
      <w:pPr>
        <w:pStyle w:val="NoSpacing"/>
      </w:pPr>
    </w:p>
    <w:p w14:paraId="24611CA5" w14:textId="77777777" w:rsidR="003470E5" w:rsidRDefault="003470E5" w:rsidP="003470E5">
      <w:pPr>
        <w:pStyle w:val="NoSpacing"/>
        <w:ind w:left="720" w:hanging="720"/>
      </w:pPr>
      <w:r>
        <w:t>4.16</w:t>
      </w:r>
      <w:r>
        <w:tab/>
        <w:t>The following diagram illustrates the indicative boundary for ZVI1. Predominantly unobscured views of the proposed development can be gained from (with a few localised exceptions) any point within the blue delineated perimeter during the months of winter. However, during spring, summer and early autumn, foliage cover provided by trees and hedgerows acts to reduce the ZVI1 area.</w:t>
      </w:r>
    </w:p>
    <w:p w14:paraId="3C94A10F" w14:textId="77777777" w:rsidR="003470E5" w:rsidRDefault="003470E5" w:rsidP="003470E5">
      <w:pPr>
        <w:pStyle w:val="NoSpacing"/>
      </w:pPr>
    </w:p>
    <w:p w14:paraId="2CF3A25A" w14:textId="77777777" w:rsidR="003470E5" w:rsidRDefault="003470E5" w:rsidP="003470E5">
      <w:pPr>
        <w:pStyle w:val="NoSpacing"/>
        <w:jc w:val="center"/>
      </w:pPr>
      <w:r w:rsidRPr="009D03AF">
        <w:rPr>
          <w:noProof/>
          <w:lang w:eastAsia="en-GB"/>
        </w:rPr>
        <w:drawing>
          <wp:inline distT="0" distB="0" distL="0" distR="0" wp14:anchorId="43BF6F1B" wp14:editId="22163188">
            <wp:extent cx="4683318" cy="3098171"/>
            <wp:effectExtent l="0" t="0" r="317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94990" cy="3105893"/>
                    </a:xfrm>
                    <a:prstGeom prst="rect">
                      <a:avLst/>
                    </a:prstGeom>
                  </pic:spPr>
                </pic:pic>
              </a:graphicData>
            </a:graphic>
          </wp:inline>
        </w:drawing>
      </w:r>
    </w:p>
    <w:p w14:paraId="19A831BC" w14:textId="77777777" w:rsidR="003470E5" w:rsidRDefault="003470E5" w:rsidP="003470E5">
      <w:pPr>
        <w:pStyle w:val="NoSpacing"/>
        <w:jc w:val="center"/>
      </w:pPr>
      <w:r w:rsidRPr="007F5E00">
        <w:rPr>
          <w:rFonts w:asciiTheme="minorHAnsi" w:hAnsiTheme="minorHAnsi"/>
          <w:sz w:val="18"/>
          <w:szCs w:val="18"/>
        </w:rPr>
        <w:t>Diagram depicting ZVI1</w:t>
      </w:r>
      <w:r>
        <w:rPr>
          <w:rFonts w:asciiTheme="minorHAnsi" w:hAnsiTheme="minorHAnsi"/>
          <w:sz w:val="18"/>
          <w:szCs w:val="18"/>
        </w:rPr>
        <w:t xml:space="preserve"> (perimeter outlined blue)</w:t>
      </w:r>
      <w:r w:rsidRPr="007F5E00">
        <w:rPr>
          <w:rFonts w:asciiTheme="minorHAnsi" w:hAnsiTheme="minorHAnsi"/>
          <w:sz w:val="18"/>
          <w:szCs w:val="18"/>
        </w:rPr>
        <w:t xml:space="preserve"> and location of </w:t>
      </w:r>
      <w:r w:rsidRPr="00DB4008">
        <w:rPr>
          <w:rFonts w:asciiTheme="minorHAnsi" w:hAnsiTheme="minorHAnsi"/>
          <w:sz w:val="18"/>
          <w:szCs w:val="18"/>
        </w:rPr>
        <w:t>identified visual receptors (</w:t>
      </w:r>
      <w:r w:rsidRPr="009D03AF">
        <w:rPr>
          <w:rFonts w:asciiTheme="minorHAnsi" w:hAnsiTheme="minorHAnsi"/>
          <w:sz w:val="18"/>
          <w:szCs w:val="18"/>
        </w:rPr>
        <w:t>1 – 3</w:t>
      </w:r>
      <w:r>
        <w:rPr>
          <w:rFonts w:asciiTheme="minorHAnsi" w:hAnsiTheme="minorHAnsi"/>
          <w:sz w:val="18"/>
          <w:szCs w:val="18"/>
        </w:rPr>
        <w:t>).</w:t>
      </w:r>
    </w:p>
    <w:p w14:paraId="6488C75F" w14:textId="77777777" w:rsidR="003470E5" w:rsidRDefault="003470E5" w:rsidP="003470E5">
      <w:pPr>
        <w:pStyle w:val="NoSpacing"/>
      </w:pPr>
    </w:p>
    <w:p w14:paraId="6E556BB0" w14:textId="77777777" w:rsidR="003470E5" w:rsidRDefault="003470E5" w:rsidP="003470E5">
      <w:pPr>
        <w:pStyle w:val="NoSpacing"/>
        <w:ind w:left="720" w:hanging="720"/>
      </w:pPr>
      <w:r>
        <w:t>4.17</w:t>
      </w:r>
      <w:r>
        <w:tab/>
        <w:t>As identified upon the above diagram, the local</w:t>
      </w:r>
      <w:r w:rsidRPr="006A6596">
        <w:t xml:space="preserve"> area proved host to </w:t>
      </w:r>
      <w:r>
        <w:t xml:space="preserve">relatively few </w:t>
      </w:r>
      <w:r w:rsidRPr="006A6596">
        <w:t>sensitive</w:t>
      </w:r>
      <w:r>
        <w:t xml:space="preserve"> visual</w:t>
      </w:r>
      <w:r w:rsidRPr="006A6596">
        <w:t xml:space="preserve"> receptors. Key receptors identified </w:t>
      </w:r>
      <w:r>
        <w:t xml:space="preserve">within ZVI1 </w:t>
      </w:r>
      <w:r w:rsidRPr="006A6596">
        <w:t>include:</w:t>
      </w:r>
    </w:p>
    <w:p w14:paraId="5E113985" w14:textId="77777777" w:rsidR="003470E5" w:rsidRDefault="003470E5" w:rsidP="003470E5">
      <w:pPr>
        <w:pStyle w:val="NoSpacing"/>
      </w:pPr>
    </w:p>
    <w:p w14:paraId="55D88373" w14:textId="77777777" w:rsidR="003470E5" w:rsidRDefault="003470E5" w:rsidP="003470E5">
      <w:pPr>
        <w:pStyle w:val="NoSpacing"/>
        <w:numPr>
          <w:ilvl w:val="0"/>
          <w:numId w:val="11"/>
        </w:numPr>
      </w:pPr>
      <w:r w:rsidRPr="00BA343A">
        <w:rPr>
          <w:i/>
          <w:iCs/>
        </w:rPr>
        <w:t>Parson Lane</w:t>
      </w:r>
      <w:r>
        <w:t xml:space="preserve">: is a section of north to south aligned public highway that runs a course parallel with the eastern periphery of Barn Farm. Short range (0 – 0.4 kilometre) views of the new poultry house in cumulation with adjacent agricultural buildings will be available from sections of this carriageway. Vistas including the development gained therefrom are only likely to be valued locally and not considered to be of wider regional or national importance. Views will also be transient for reason that people will be travelling along the carriageway. Under GLVIA3 criteria, the receptor is therefore appraised as having a </w:t>
      </w:r>
      <w:r w:rsidRPr="006E70C0">
        <w:t>moderate</w:t>
      </w:r>
      <w:r>
        <w:t xml:space="preserve"> susceptibility to change. With regard to change sensitivity, the views including the application site are unlikely to play a part in a person being present at this receptor. The receptor is therefore considered to exhibit a low to </w:t>
      </w:r>
      <w:r w:rsidRPr="006E70C0">
        <w:t>moderate</w:t>
      </w:r>
      <w:r>
        <w:t xml:space="preserve"> sensitivity to change.  </w:t>
      </w:r>
    </w:p>
    <w:p w14:paraId="6E37AE56" w14:textId="77777777" w:rsidR="003470E5" w:rsidRDefault="003470E5" w:rsidP="003470E5">
      <w:pPr>
        <w:pStyle w:val="NoSpacing"/>
        <w:ind w:left="720"/>
      </w:pPr>
    </w:p>
    <w:p w14:paraId="69281818" w14:textId="77777777" w:rsidR="003470E5" w:rsidRDefault="003470E5" w:rsidP="003470E5">
      <w:pPr>
        <w:pStyle w:val="NoSpacing"/>
        <w:numPr>
          <w:ilvl w:val="0"/>
          <w:numId w:val="11"/>
        </w:numPr>
      </w:pPr>
      <w:r w:rsidRPr="00330DBC">
        <w:rPr>
          <w:i/>
          <w:iCs/>
        </w:rPr>
        <w:t>Skinnand Manor</w:t>
      </w:r>
      <w:r>
        <w:t xml:space="preserve">: comprises a dwelling and business premises (Graffoe Veterinary Care), the boundary of which is located approximately 430 metres to the south of the proposed unit. Medium range (0.4 to 1.0 kilometres) partially restricted views </w:t>
      </w:r>
      <w:r>
        <w:lastRenderedPageBreak/>
        <w:t>of the development will be attained from a domestic tennis court located within the grounds of this property during winter months. GLVIA3 criteria identify that residential receptors have a high susceptibility to changes in visual baseline conditions. Vistas attainable from the property are also considered to have a moderate to high sensitivity to change for reason that the views are likely to be of value to occupants. Nevertheless, the available vista is already defined by agricultural development and changes arising as a result of the proposed scheme will be neither prominent nor a significant departure from visual baseline conditions.</w:t>
      </w:r>
    </w:p>
    <w:p w14:paraId="42313E7D" w14:textId="77777777" w:rsidR="003470E5" w:rsidRDefault="003470E5" w:rsidP="003470E5">
      <w:pPr>
        <w:pStyle w:val="ListParagraph"/>
      </w:pPr>
    </w:p>
    <w:p w14:paraId="76371F38" w14:textId="77777777" w:rsidR="003470E5" w:rsidRDefault="003470E5" w:rsidP="003470E5">
      <w:pPr>
        <w:pStyle w:val="NoSpacing"/>
        <w:numPr>
          <w:ilvl w:val="0"/>
          <w:numId w:val="11"/>
        </w:numPr>
      </w:pPr>
      <w:r w:rsidRPr="00D51BB2">
        <w:rPr>
          <w:i/>
          <w:iCs/>
        </w:rPr>
        <w:t>Jackson Engineering</w:t>
      </w:r>
      <w:r>
        <w:t xml:space="preserve">: commercial premises under ownership of the applicants’ situated approximately 0.58 kilometres to the southwest of the proposed unit. The business specialises in machinery fabrication and operates within a steel portal framed workshop and adjoining yard. Medium range views of the proposed poultry unit gable end in cumulation with retained agricultural buildings will be attainable from the eastern curtilage of the premises. Under GLVIA3 criteria, views obtained commercial premises such as that in question are regarded as having both a low susceptibility to change and a low sensitivity to change. </w:t>
      </w:r>
    </w:p>
    <w:p w14:paraId="3BB59111" w14:textId="77777777" w:rsidR="003470E5" w:rsidRDefault="003470E5" w:rsidP="003470E5">
      <w:pPr>
        <w:pStyle w:val="NoSpacing"/>
      </w:pPr>
    </w:p>
    <w:p w14:paraId="3F8B1E67" w14:textId="77777777" w:rsidR="003470E5" w:rsidRDefault="003470E5" w:rsidP="003470E5">
      <w:pPr>
        <w:pStyle w:val="NoSpacing"/>
        <w:ind w:left="720" w:hanging="720"/>
      </w:pPr>
      <w:r>
        <w:t>4.18</w:t>
      </w:r>
      <w:r>
        <w:tab/>
      </w:r>
      <w:r w:rsidRPr="006A6596">
        <w:t xml:space="preserve">Intervisibility within the second zone of visual influence (ZVI2) is variable, of lesser significance and difficult to accurately calculate on a theoretical basis. It is reasonable to predict that </w:t>
      </w:r>
      <w:r>
        <w:t>elements</w:t>
      </w:r>
      <w:r w:rsidRPr="006A6596">
        <w:t xml:space="preserve"> of the proposed development, partic</w:t>
      </w:r>
      <w:r>
        <w:t>ularly roof sections of the poultry house</w:t>
      </w:r>
      <w:r w:rsidRPr="006A6596">
        <w:t xml:space="preserve">, will be visible to </w:t>
      </w:r>
      <w:r>
        <w:t>a minor</w:t>
      </w:r>
      <w:r w:rsidRPr="006A6596">
        <w:t xml:space="preserve"> degree from remote vantage points</w:t>
      </w:r>
      <w:r>
        <w:t xml:space="preserve">/gaps in field boundary hedgerows etc </w:t>
      </w:r>
      <w:r w:rsidRPr="006A6596">
        <w:t>located within the</w:t>
      </w:r>
      <w:r>
        <w:t xml:space="preserve"> outlying </w:t>
      </w:r>
      <w:r w:rsidRPr="006A6596">
        <w:t>countryside beyond the confines of ZVI1</w:t>
      </w:r>
      <w:r>
        <w:t xml:space="preserve"> to the south</w:t>
      </w:r>
      <w:r w:rsidRPr="006A6596">
        <w:t xml:space="preserve">. </w:t>
      </w:r>
      <w:r>
        <w:t>ZVI2 views to the north, east and west of the site are</w:t>
      </w:r>
      <w:r w:rsidRPr="006A6596">
        <w:t xml:space="preserve"> limited due to the presence of screening structures and vegetation.</w:t>
      </w:r>
      <w:r>
        <w:t xml:space="preserve"> The new poultry house might prove evident within</w:t>
      </w:r>
      <w:r w:rsidRPr="009D2414">
        <w:t xml:space="preserve"> </w:t>
      </w:r>
      <w:r>
        <w:t>ZVI2 vistas gained from the Lincoln Cliff escarpment approximately 3.5 kilometres to the east. However, the poultry house will be difficult to perceive amidst the surrounding agricultural building cluster at this distance.</w:t>
      </w:r>
    </w:p>
    <w:p w14:paraId="571A3E77" w14:textId="77777777" w:rsidR="003470E5" w:rsidRDefault="003470E5" w:rsidP="003470E5">
      <w:pPr>
        <w:pStyle w:val="NoSpacing"/>
      </w:pPr>
    </w:p>
    <w:p w14:paraId="24DB4E66" w14:textId="77777777" w:rsidR="003470E5" w:rsidRDefault="003470E5" w:rsidP="003470E5">
      <w:pPr>
        <w:pStyle w:val="NoSpacing"/>
        <w:ind w:firstLine="720"/>
      </w:pPr>
      <w:r w:rsidRPr="004B15C6">
        <w:rPr>
          <w:u w:val="single"/>
        </w:rPr>
        <w:t>Visual Impact</w:t>
      </w:r>
    </w:p>
    <w:p w14:paraId="0C5B5981" w14:textId="77777777" w:rsidR="003470E5" w:rsidRDefault="003470E5" w:rsidP="003470E5">
      <w:pPr>
        <w:pStyle w:val="NoSpacing"/>
      </w:pPr>
    </w:p>
    <w:p w14:paraId="2785510D" w14:textId="77777777" w:rsidR="003470E5" w:rsidRPr="007A7B3B" w:rsidRDefault="003470E5" w:rsidP="003470E5">
      <w:pPr>
        <w:pStyle w:val="NoSpacing"/>
        <w:ind w:left="720" w:hanging="720"/>
      </w:pPr>
      <w:r>
        <w:t>4.19</w:t>
      </w:r>
      <w:r>
        <w:tab/>
      </w:r>
      <w:r w:rsidRPr="007A7B3B">
        <w:t>Visual impact is assessed in light of the degree to which a view from identified receptors will change. The contrast of this change is in turn appraised against the significance of these receptors and backdrop of the existing environment. The geographic extent of the development's zone of visual influence, cumulative effects and the duration of the identified impacts are also taken into consideration.</w:t>
      </w:r>
    </w:p>
    <w:p w14:paraId="4083397D" w14:textId="77777777" w:rsidR="003470E5" w:rsidRDefault="003470E5" w:rsidP="003470E5">
      <w:pPr>
        <w:pStyle w:val="NoSpacing"/>
      </w:pPr>
    </w:p>
    <w:p w14:paraId="05413B1E" w14:textId="77777777" w:rsidR="003470E5" w:rsidRDefault="003470E5" w:rsidP="003470E5">
      <w:pPr>
        <w:pStyle w:val="NoSpacing"/>
        <w:ind w:left="720" w:hanging="720"/>
      </w:pPr>
      <w:r>
        <w:t>4.20</w:t>
      </w:r>
      <w:r>
        <w:tab/>
      </w:r>
      <w:r w:rsidRPr="00080F8E">
        <w:t xml:space="preserve">The proposed </w:t>
      </w:r>
      <w:r>
        <w:t>poultry house and</w:t>
      </w:r>
      <w:r w:rsidRPr="00080F8E">
        <w:t xml:space="preserve"> ancillary </w:t>
      </w:r>
      <w:r>
        <w:t>feed silos</w:t>
      </w:r>
      <w:r w:rsidRPr="00080F8E">
        <w:t xml:space="preserve"> are clearly agricultural in character and one would typically expect to see buildings of this nature within a</w:t>
      </w:r>
      <w:r>
        <w:t xml:space="preserve"> rural</w:t>
      </w:r>
      <w:r w:rsidRPr="00080F8E">
        <w:t xml:space="preserve"> setting</w:t>
      </w:r>
      <w:r>
        <w:t>, not least given that the locality is already partially characterised by the existing poultry rearing units situated amidst the established Barn Farm complex.</w:t>
      </w:r>
      <w:r w:rsidRPr="00080F8E">
        <w:t xml:space="preserve"> The</w:t>
      </w:r>
      <w:r>
        <w:t xml:space="preserve"> development is of relatively small scale and such</w:t>
      </w:r>
      <w:r w:rsidRPr="00080F8E">
        <w:t xml:space="preserve"> will not appear alien within the context of the site's immediate and wider agricultural setting. The balance of features within vistas including the site will </w:t>
      </w:r>
      <w:r>
        <w:t>remain essentially</w:t>
      </w:r>
      <w:r w:rsidRPr="00080F8E">
        <w:t xml:space="preserve"> </w:t>
      </w:r>
      <w:r>
        <w:t>un</w:t>
      </w:r>
      <w:r w:rsidRPr="00080F8E">
        <w:t>change</w:t>
      </w:r>
      <w:r>
        <w:t>d</w:t>
      </w:r>
      <w:r w:rsidRPr="00080F8E">
        <w:t xml:space="preserve"> as a result of the development.</w:t>
      </w:r>
      <w:r>
        <w:t xml:space="preserve"> Indeed, the scheme entails removal of twelve existing pig units/agricultural buildings of notably larger combined floor area and their replacement with a low profile poultry house near identical in appearance to adjacent broiler units 1 – 5. The development will not therefore result in notable deviation from visual baseline conditions and it can be argued that the appearance of the farm will be marginally enhanced by virtue of a net </w:t>
      </w:r>
      <w:r>
        <w:lastRenderedPageBreak/>
        <w:t>reduction in development/proliferation of agricultural buildings. The proposal will not expand the farm complex’s periphery or change the balance of features when viewed in cumulation with the retained agricultural buildings.</w:t>
      </w:r>
    </w:p>
    <w:p w14:paraId="3285A50C" w14:textId="77777777" w:rsidR="003470E5" w:rsidRDefault="003470E5" w:rsidP="003470E5">
      <w:pPr>
        <w:pStyle w:val="NoSpacing"/>
      </w:pPr>
    </w:p>
    <w:p w14:paraId="4C198B36" w14:textId="77777777" w:rsidR="003470E5" w:rsidRDefault="003470E5" w:rsidP="003470E5">
      <w:pPr>
        <w:pStyle w:val="NoSpacing"/>
        <w:ind w:left="720" w:hanging="720"/>
      </w:pPr>
      <w:r>
        <w:t>4.21</w:t>
      </w:r>
      <w:r>
        <w:tab/>
        <w:t>V</w:t>
      </w:r>
      <w:r w:rsidRPr="00080F8E">
        <w:t xml:space="preserve">iews of the </w:t>
      </w:r>
      <w:r>
        <w:t>new poultry house</w:t>
      </w:r>
      <w:r w:rsidRPr="00080F8E">
        <w:t xml:space="preserve"> will not be widely available from the surrounding landscape. Only </w:t>
      </w:r>
      <w:r>
        <w:t>three</w:t>
      </w:r>
      <w:r w:rsidRPr="00080F8E">
        <w:t xml:space="preserve"> sensitive visual receptors have been identified within the site’s primary zone of visual influence and the spatial relationship between the proposed development and these receptors indicates that changes to views would typically be subject to partial obscuration by outlying trees, hedgerows</w:t>
      </w:r>
      <w:r>
        <w:t>, buildings</w:t>
      </w:r>
      <w:r w:rsidRPr="00080F8E">
        <w:t xml:space="preserve"> and topography. The development will also typically affect a small area of the vistas available from the identified sensitive receptors. In light of GLVIA3 criteria, the scale and geographic extent of the proposed development's visual impact is therefore considered to be small.</w:t>
      </w:r>
    </w:p>
    <w:p w14:paraId="0AFE65E5" w14:textId="77777777" w:rsidR="003470E5" w:rsidRDefault="003470E5" w:rsidP="003470E5">
      <w:pPr>
        <w:pStyle w:val="NoSpacing"/>
      </w:pPr>
    </w:p>
    <w:p w14:paraId="5C97BC69" w14:textId="77777777" w:rsidR="003470E5" w:rsidRDefault="003470E5" w:rsidP="003470E5">
      <w:pPr>
        <w:pStyle w:val="NoSpacing"/>
        <w:ind w:left="720" w:hanging="720"/>
      </w:pPr>
      <w:r>
        <w:t>4.22</w:t>
      </w:r>
      <w:r>
        <w:tab/>
      </w:r>
      <w:r w:rsidRPr="00307D6D">
        <w:t xml:space="preserve">It is accordingly concluded that, based on GLVIA3 assessment criteria, the proposed development's </w:t>
      </w:r>
      <w:r>
        <w:t xml:space="preserve">cumulative </w:t>
      </w:r>
      <w:r w:rsidRPr="00307D6D">
        <w:t>visual impact will be of small magnitude. Though this level of magnitude is a consideration material to the determination of the planning application, it would not ordinarily be regarded as sufficient to justify the refusal of planning permission.</w:t>
      </w:r>
    </w:p>
    <w:p w14:paraId="4423E727" w14:textId="77777777" w:rsidR="003470E5" w:rsidRDefault="003470E5" w:rsidP="003470E5">
      <w:pPr>
        <w:pStyle w:val="NoSpacing"/>
      </w:pPr>
    </w:p>
    <w:p w14:paraId="3067A94C" w14:textId="77777777" w:rsidR="003470E5" w:rsidRPr="006245CC" w:rsidRDefault="003470E5" w:rsidP="003470E5">
      <w:pPr>
        <w:pStyle w:val="NoSpacing"/>
        <w:ind w:firstLine="720"/>
        <w:rPr>
          <w:b/>
          <w:bCs/>
          <w:u w:val="single"/>
        </w:rPr>
      </w:pPr>
      <w:r w:rsidRPr="006245CC">
        <w:rPr>
          <w:b/>
          <w:bCs/>
          <w:u w:val="single"/>
        </w:rPr>
        <w:t>Transportation</w:t>
      </w:r>
    </w:p>
    <w:p w14:paraId="13D69231" w14:textId="77777777" w:rsidR="003470E5" w:rsidRDefault="003470E5" w:rsidP="003470E5">
      <w:pPr>
        <w:pStyle w:val="NoSpacing"/>
      </w:pPr>
    </w:p>
    <w:p w14:paraId="29B32384" w14:textId="77777777" w:rsidR="003470E5" w:rsidRDefault="003470E5" w:rsidP="003470E5">
      <w:pPr>
        <w:pStyle w:val="NoSpacing"/>
        <w:ind w:left="720" w:hanging="720"/>
      </w:pPr>
      <w:r>
        <w:t>4.23</w:t>
      </w:r>
      <w:r>
        <w:tab/>
        <w:t>This section concerns the means of access to the application site and levels of cumulative vehicular activity generated by the retained and proposed poultry units/farming operation.</w:t>
      </w:r>
    </w:p>
    <w:p w14:paraId="58663DE4" w14:textId="77777777" w:rsidR="003470E5" w:rsidRDefault="003470E5" w:rsidP="003470E5">
      <w:pPr>
        <w:pStyle w:val="NoSpacing"/>
      </w:pPr>
    </w:p>
    <w:p w14:paraId="656143D8" w14:textId="77777777" w:rsidR="003470E5" w:rsidRDefault="003470E5" w:rsidP="003470E5">
      <w:pPr>
        <w:pStyle w:val="NoSpacing"/>
        <w:ind w:left="720" w:hanging="720"/>
      </w:pPr>
      <w:r>
        <w:t>4.24</w:t>
      </w:r>
      <w:r>
        <w:tab/>
        <w:t>The new poultry house will be accompanied by an area of hardstanding located adjoining the northern elevation. This will integrate with existing concrete hardstanding/private carriageway associated with adjacent broiler units 1 – 5. The private carriageway extends westwards across the farmyard before turning northwards and progressing approximately 140 metres past the farm office and weighbridge in order to juncture with Church Lane (public highway).</w:t>
      </w:r>
      <w:r w:rsidRPr="00BC434A">
        <w:t xml:space="preserve"> </w:t>
      </w:r>
      <w:r>
        <w:t xml:space="preserve">The junction is of heavy duty industrial specification and such features an X and Y dimension visibility splay that surpasses minimum requirements for a 60 mph carriageway. All vehicles serving the poultry farm will access and egress via thus route.  </w:t>
      </w:r>
    </w:p>
    <w:p w14:paraId="5F74A483" w14:textId="77777777" w:rsidR="003470E5" w:rsidRDefault="003470E5" w:rsidP="003470E5">
      <w:pPr>
        <w:pStyle w:val="NoSpacing"/>
        <w:ind w:left="720" w:hanging="720"/>
      </w:pPr>
      <w:r>
        <w:t>4.25</w:t>
      </w:r>
      <w:r>
        <w:tab/>
        <w:t>Anticipated v</w:t>
      </w:r>
      <w:r w:rsidRPr="00793246">
        <w:t xml:space="preserve">ehicular activity has been calculated on the basis of the </w:t>
      </w:r>
      <w:r>
        <w:t xml:space="preserve">broiler poultry </w:t>
      </w:r>
      <w:r w:rsidRPr="00793246">
        <w:t>farm</w:t>
      </w:r>
      <w:r>
        <w:t xml:space="preserve"> (existing and proposed units)</w:t>
      </w:r>
      <w:r w:rsidRPr="00793246">
        <w:t xml:space="preserve"> operating</w:t>
      </w:r>
      <w:r>
        <w:t xml:space="preserve"> with up to</w:t>
      </w:r>
      <w:r w:rsidRPr="00793246">
        <w:t xml:space="preserve"> 7.</w:t>
      </w:r>
      <w:r>
        <w:t>5</w:t>
      </w:r>
      <w:r w:rsidRPr="00793246">
        <w:t xml:space="preserve"> crop cycles per annum. This effectively represents the farm operating at its maximum potential throughput. The operation can essentially be divided into two key phases: 1) poultry rearing over a duration of</w:t>
      </w:r>
      <w:r>
        <w:t xml:space="preserve"> a typical duration of</w:t>
      </w:r>
      <w:r w:rsidRPr="00793246">
        <w:t xml:space="preserve"> 38 days; and 2) unit cleaning and maintenance over a period of approximately 7</w:t>
      </w:r>
      <w:r>
        <w:t>+</w:t>
      </w:r>
      <w:r w:rsidRPr="00793246">
        <w:t xml:space="preserve"> days</w:t>
      </w:r>
      <w:r>
        <w:t xml:space="preserve"> (occasionally longer as required)</w:t>
      </w:r>
      <w:r w:rsidRPr="00793246">
        <w:t>. A crop cycle</w:t>
      </w:r>
      <w:r>
        <w:t>s</w:t>
      </w:r>
      <w:r w:rsidRPr="00793246">
        <w:t xml:space="preserve"> will </w:t>
      </w:r>
      <w:r>
        <w:t xml:space="preserve">therefore </w:t>
      </w:r>
      <w:r w:rsidRPr="00793246">
        <w:t>be completed every 4</w:t>
      </w:r>
      <w:r>
        <w:t>5+</w:t>
      </w:r>
      <w:r w:rsidRPr="00793246">
        <w:t xml:space="preserve"> days. Each cycle </w:t>
      </w:r>
      <w:r>
        <w:t xml:space="preserve">directly </w:t>
      </w:r>
      <w:r w:rsidRPr="00793246">
        <w:t>involves the following operations:</w:t>
      </w:r>
    </w:p>
    <w:p w14:paraId="18D816C6" w14:textId="77777777" w:rsidR="003470E5" w:rsidRDefault="003470E5" w:rsidP="003470E5">
      <w:pPr>
        <w:pStyle w:val="NoSpacing"/>
      </w:pPr>
    </w:p>
    <w:p w14:paraId="34EE73F6" w14:textId="77777777" w:rsidR="003470E5" w:rsidRDefault="003470E5" w:rsidP="003470E5">
      <w:pPr>
        <w:pStyle w:val="NoSpacing"/>
        <w:numPr>
          <w:ilvl w:val="0"/>
          <w:numId w:val="12"/>
        </w:numPr>
        <w:spacing w:line="276" w:lineRule="auto"/>
      </w:pPr>
      <w:r>
        <w:t>Delivery of woodchip bedding;</w:t>
      </w:r>
    </w:p>
    <w:p w14:paraId="3AE36987" w14:textId="77777777" w:rsidR="003470E5" w:rsidRDefault="003470E5" w:rsidP="003470E5">
      <w:pPr>
        <w:pStyle w:val="NoSpacing"/>
        <w:numPr>
          <w:ilvl w:val="0"/>
          <w:numId w:val="12"/>
        </w:numPr>
        <w:spacing w:line="276" w:lineRule="auto"/>
      </w:pPr>
      <w:r>
        <w:t>Delivery of LPG fuel;</w:t>
      </w:r>
    </w:p>
    <w:p w14:paraId="41542C9F" w14:textId="77777777" w:rsidR="003470E5" w:rsidRDefault="003470E5" w:rsidP="003470E5">
      <w:pPr>
        <w:pStyle w:val="NoSpacing"/>
        <w:numPr>
          <w:ilvl w:val="0"/>
          <w:numId w:val="12"/>
        </w:numPr>
        <w:spacing w:line="276" w:lineRule="auto"/>
      </w:pPr>
      <w:r>
        <w:t>Delivery of feed;</w:t>
      </w:r>
    </w:p>
    <w:p w14:paraId="55409BAA" w14:textId="77777777" w:rsidR="003470E5" w:rsidRDefault="003470E5" w:rsidP="003470E5">
      <w:pPr>
        <w:pStyle w:val="NoSpacing"/>
        <w:numPr>
          <w:ilvl w:val="0"/>
          <w:numId w:val="12"/>
        </w:numPr>
        <w:spacing w:line="276" w:lineRule="auto"/>
      </w:pPr>
      <w:r>
        <w:t>Delivery of chicks;</w:t>
      </w:r>
    </w:p>
    <w:p w14:paraId="2AA0A2AC" w14:textId="77777777" w:rsidR="003470E5" w:rsidRDefault="003470E5" w:rsidP="003470E5">
      <w:pPr>
        <w:pStyle w:val="NoSpacing"/>
        <w:numPr>
          <w:ilvl w:val="0"/>
          <w:numId w:val="12"/>
        </w:numPr>
        <w:spacing w:line="276" w:lineRule="auto"/>
      </w:pPr>
      <w:r>
        <w:t>Catching of reared birds; and</w:t>
      </w:r>
    </w:p>
    <w:p w14:paraId="6F8D791F" w14:textId="77777777" w:rsidR="003470E5" w:rsidRDefault="003470E5" w:rsidP="003470E5">
      <w:pPr>
        <w:pStyle w:val="NoSpacing"/>
        <w:numPr>
          <w:ilvl w:val="0"/>
          <w:numId w:val="12"/>
        </w:numPr>
        <w:spacing w:line="276" w:lineRule="auto"/>
      </w:pPr>
      <w:r>
        <w:t>Removal of poultry litter/waste.</w:t>
      </w:r>
    </w:p>
    <w:p w14:paraId="216C95E5" w14:textId="77777777" w:rsidR="003470E5" w:rsidRDefault="003470E5" w:rsidP="003470E5">
      <w:pPr>
        <w:pStyle w:val="NoSpacing"/>
      </w:pPr>
    </w:p>
    <w:p w14:paraId="5DBF40F1" w14:textId="77777777" w:rsidR="003470E5" w:rsidRDefault="003470E5" w:rsidP="003470E5">
      <w:pPr>
        <w:pStyle w:val="NoSpacing"/>
        <w:ind w:left="720" w:hanging="720"/>
      </w:pPr>
      <w:r>
        <w:t>4.26</w:t>
      </w:r>
      <w:r>
        <w:tab/>
        <w:t xml:space="preserve">It is anticipated that the proposed unit will need to be serviced by an average of </w:t>
      </w:r>
      <w:r w:rsidRPr="00F41B43">
        <w:t>2</w:t>
      </w:r>
      <w:r>
        <w:t>0</w:t>
      </w:r>
      <w:r w:rsidRPr="00F41B43">
        <w:t xml:space="preserve">.5 </w:t>
      </w:r>
      <w:r>
        <w:t>delivery</w:t>
      </w:r>
      <w:r w:rsidRPr="00F41B43">
        <w:t xml:space="preserve"> vehicles</w:t>
      </w:r>
      <w:r w:rsidRPr="00352DF5">
        <w:rPr>
          <w:color w:val="FF0000"/>
        </w:rPr>
        <w:t xml:space="preserve"> </w:t>
      </w:r>
      <w:r>
        <w:t xml:space="preserve">(HGV's and tractors/trailers) per crop cycle. Accounting for access and egress (return journeys), each 45+ day crop cycle will therefore generate </w:t>
      </w:r>
      <w:r w:rsidRPr="00F41B43">
        <w:t>4</w:t>
      </w:r>
      <w:r>
        <w:t>1</w:t>
      </w:r>
      <w:r w:rsidRPr="00F41B43">
        <w:t xml:space="preserve"> goods/agricultural vehicle </w:t>
      </w:r>
      <w:r w:rsidRPr="00317B64">
        <w:t>derived trips</w:t>
      </w:r>
      <w:r>
        <w:t xml:space="preserve">. With a typical of 7.5 crop cycles each year (accounting for intermittent extended cleaning/maintenance periods), it is reasonable to assume that the proposed unit will generate approximately </w:t>
      </w:r>
      <w:r w:rsidRPr="00DA7E6E">
        <w:t>3</w:t>
      </w:r>
      <w:r>
        <w:t>07</w:t>
      </w:r>
      <w:r w:rsidRPr="00DA7E6E">
        <w:t xml:space="preserve">.5 delivery/agricultural </w:t>
      </w:r>
      <w:r>
        <w:t>vehicle trips (including return journeys) per annum.</w:t>
      </w:r>
    </w:p>
    <w:p w14:paraId="0D2B33B9" w14:textId="77777777" w:rsidR="003470E5" w:rsidRDefault="003470E5" w:rsidP="003470E5">
      <w:pPr>
        <w:pStyle w:val="NoSpacing"/>
      </w:pPr>
    </w:p>
    <w:p w14:paraId="4D6BEF56" w14:textId="77777777" w:rsidR="003470E5" w:rsidRDefault="003470E5" w:rsidP="003470E5">
      <w:pPr>
        <w:pStyle w:val="NoSpacing"/>
        <w:ind w:left="720" w:hanging="720"/>
      </w:pPr>
      <w:r>
        <w:t>4.27</w:t>
      </w:r>
      <w:r>
        <w:tab/>
        <w:t xml:space="preserve">In reality, the proposed unit will operate in synchronicity with the existing adjacent broiler units 1 – 5, which also each accommodate 40,000 broiler chickens (current total of 200,000 bird places). The table included below details vehicular activity associated with operation of the proposed unit at a maximum stocking density of 40,000 birds in isolation and cumulative vehicular activity for the entire 240,000 bird broiler farming operation (retained and proposed poultry units). Combined delivery/agricultural vehicular activity attributed to the entire Barn Farm broiler rearing operation is therefore anticipated to generate an average of </w:t>
      </w:r>
      <w:r w:rsidRPr="00DA7E6E">
        <w:t>18</w:t>
      </w:r>
      <w:r>
        <w:t>4</w:t>
      </w:r>
      <w:r w:rsidRPr="00DA7E6E">
        <w:t>5 HGV/agricultural</w:t>
      </w:r>
      <w:r w:rsidRPr="00762EEB">
        <w:rPr>
          <w:color w:val="FF0000"/>
        </w:rPr>
        <w:t xml:space="preserve"> </w:t>
      </w:r>
      <w:r>
        <w:t>vehicle trips (including return journeys) per annum.</w:t>
      </w:r>
    </w:p>
    <w:p w14:paraId="40C999BF" w14:textId="77777777" w:rsidR="003470E5" w:rsidRDefault="003470E5" w:rsidP="003470E5">
      <w:pPr>
        <w:pStyle w:val="NoSpacing"/>
      </w:pPr>
    </w:p>
    <w:tbl>
      <w:tblPr>
        <w:tblStyle w:val="TableGrid"/>
        <w:tblW w:w="0" w:type="auto"/>
        <w:jc w:val="center"/>
        <w:tblLook w:val="04A0" w:firstRow="1" w:lastRow="0" w:firstColumn="1" w:lastColumn="0" w:noHBand="0" w:noVBand="1"/>
      </w:tblPr>
      <w:tblGrid>
        <w:gridCol w:w="1128"/>
        <w:gridCol w:w="926"/>
        <w:gridCol w:w="1055"/>
        <w:gridCol w:w="1427"/>
        <w:gridCol w:w="1413"/>
        <w:gridCol w:w="1417"/>
      </w:tblGrid>
      <w:tr w:rsidR="003470E5" w14:paraId="09EB372D" w14:textId="77777777" w:rsidTr="00240686">
        <w:trPr>
          <w:jc w:val="center"/>
        </w:trPr>
        <w:tc>
          <w:tcPr>
            <w:tcW w:w="1128" w:type="dxa"/>
          </w:tcPr>
          <w:p w14:paraId="111C169F" w14:textId="77777777" w:rsidR="003470E5" w:rsidRPr="00622070" w:rsidRDefault="003470E5" w:rsidP="00240686">
            <w:pPr>
              <w:rPr>
                <w:rFonts w:asciiTheme="minorHAnsi" w:hAnsiTheme="minorHAnsi"/>
                <w:b/>
                <w:sz w:val="20"/>
              </w:rPr>
            </w:pPr>
            <w:r w:rsidRPr="00622070">
              <w:rPr>
                <w:rFonts w:asciiTheme="minorHAnsi" w:hAnsiTheme="minorHAnsi"/>
                <w:b/>
                <w:sz w:val="20"/>
              </w:rPr>
              <w:t>Operation</w:t>
            </w:r>
          </w:p>
        </w:tc>
        <w:tc>
          <w:tcPr>
            <w:tcW w:w="926" w:type="dxa"/>
          </w:tcPr>
          <w:p w14:paraId="7D9C8A41" w14:textId="77777777" w:rsidR="003470E5" w:rsidRPr="00622070" w:rsidRDefault="003470E5" w:rsidP="00240686">
            <w:pPr>
              <w:rPr>
                <w:rFonts w:asciiTheme="minorHAnsi" w:hAnsiTheme="minorHAnsi"/>
                <w:b/>
                <w:sz w:val="20"/>
              </w:rPr>
            </w:pPr>
            <w:r w:rsidRPr="00622070">
              <w:rPr>
                <w:rFonts w:asciiTheme="minorHAnsi" w:hAnsiTheme="minorHAnsi"/>
                <w:b/>
                <w:sz w:val="20"/>
              </w:rPr>
              <w:t>Vehicle Type</w:t>
            </w:r>
          </w:p>
        </w:tc>
        <w:tc>
          <w:tcPr>
            <w:tcW w:w="1055" w:type="dxa"/>
          </w:tcPr>
          <w:p w14:paraId="7970DE2A" w14:textId="77777777" w:rsidR="003470E5" w:rsidRPr="00622070" w:rsidRDefault="003470E5" w:rsidP="00240686">
            <w:pPr>
              <w:rPr>
                <w:rFonts w:asciiTheme="minorHAnsi" w:hAnsiTheme="minorHAnsi"/>
                <w:b/>
                <w:sz w:val="20"/>
              </w:rPr>
            </w:pPr>
            <w:r w:rsidRPr="00622070">
              <w:rPr>
                <w:rFonts w:asciiTheme="minorHAnsi" w:hAnsiTheme="minorHAnsi"/>
                <w:b/>
                <w:sz w:val="20"/>
              </w:rPr>
              <w:t>Vehicle Numbers Required Each Crop Cycle</w:t>
            </w:r>
            <w:r>
              <w:rPr>
                <w:rFonts w:asciiTheme="minorHAnsi" w:hAnsiTheme="minorHAnsi"/>
                <w:b/>
                <w:sz w:val="20"/>
              </w:rPr>
              <w:t xml:space="preserve"> For 1 Unit</w:t>
            </w:r>
          </w:p>
        </w:tc>
        <w:tc>
          <w:tcPr>
            <w:tcW w:w="1427" w:type="dxa"/>
          </w:tcPr>
          <w:p w14:paraId="7A07E984" w14:textId="77777777" w:rsidR="003470E5" w:rsidRPr="00622070" w:rsidRDefault="003470E5" w:rsidP="00240686">
            <w:pPr>
              <w:rPr>
                <w:rFonts w:asciiTheme="minorHAnsi" w:hAnsiTheme="minorHAnsi"/>
                <w:b/>
                <w:sz w:val="20"/>
              </w:rPr>
            </w:pPr>
            <w:r w:rsidRPr="00622070">
              <w:rPr>
                <w:rFonts w:asciiTheme="minorHAnsi" w:hAnsiTheme="minorHAnsi"/>
                <w:b/>
                <w:sz w:val="20"/>
              </w:rPr>
              <w:t xml:space="preserve">Anticipated Days of Trip Occurrence During </w:t>
            </w:r>
            <w:r>
              <w:rPr>
                <w:rFonts w:asciiTheme="minorHAnsi" w:hAnsiTheme="minorHAnsi"/>
                <w:b/>
                <w:sz w:val="20"/>
              </w:rPr>
              <w:t>46</w:t>
            </w:r>
            <w:r w:rsidRPr="00622070">
              <w:rPr>
                <w:rFonts w:asciiTheme="minorHAnsi" w:hAnsiTheme="minorHAnsi"/>
                <w:b/>
                <w:sz w:val="20"/>
              </w:rPr>
              <w:t xml:space="preserve"> day cycle</w:t>
            </w:r>
          </w:p>
        </w:tc>
        <w:tc>
          <w:tcPr>
            <w:tcW w:w="1413" w:type="dxa"/>
          </w:tcPr>
          <w:p w14:paraId="1C965B53" w14:textId="77777777" w:rsidR="003470E5" w:rsidRPr="00622070" w:rsidRDefault="003470E5" w:rsidP="00240686">
            <w:pPr>
              <w:rPr>
                <w:rFonts w:asciiTheme="minorHAnsi" w:hAnsiTheme="minorHAnsi"/>
                <w:b/>
                <w:sz w:val="20"/>
              </w:rPr>
            </w:pPr>
            <w:r w:rsidRPr="00622070">
              <w:rPr>
                <w:rFonts w:asciiTheme="minorHAnsi" w:hAnsiTheme="minorHAnsi"/>
                <w:b/>
                <w:sz w:val="20"/>
              </w:rPr>
              <w:t>Vehicle Trips Per annum (two way trips - access and egress)</w:t>
            </w:r>
          </w:p>
        </w:tc>
        <w:tc>
          <w:tcPr>
            <w:tcW w:w="1417" w:type="dxa"/>
          </w:tcPr>
          <w:p w14:paraId="4F3A480F" w14:textId="77777777" w:rsidR="003470E5" w:rsidRPr="00622070" w:rsidRDefault="003470E5" w:rsidP="00240686">
            <w:pPr>
              <w:rPr>
                <w:rFonts w:asciiTheme="minorHAnsi" w:hAnsiTheme="minorHAnsi"/>
                <w:b/>
                <w:sz w:val="20"/>
              </w:rPr>
            </w:pPr>
            <w:r>
              <w:rPr>
                <w:rFonts w:asciiTheme="minorHAnsi" w:hAnsiTheme="minorHAnsi"/>
                <w:b/>
                <w:sz w:val="20"/>
              </w:rPr>
              <w:t xml:space="preserve">Cumulative </w:t>
            </w:r>
            <w:r w:rsidRPr="00622070">
              <w:rPr>
                <w:rFonts w:asciiTheme="minorHAnsi" w:hAnsiTheme="minorHAnsi"/>
                <w:b/>
                <w:sz w:val="20"/>
              </w:rPr>
              <w:t>Vehicle Trips Per annum (two way trips - access and egress)</w:t>
            </w:r>
          </w:p>
        </w:tc>
      </w:tr>
      <w:tr w:rsidR="003470E5" w14:paraId="2D1E2DDC" w14:textId="77777777" w:rsidTr="00240686">
        <w:trPr>
          <w:jc w:val="center"/>
        </w:trPr>
        <w:tc>
          <w:tcPr>
            <w:tcW w:w="1128" w:type="dxa"/>
          </w:tcPr>
          <w:p w14:paraId="1FB07704" w14:textId="77777777" w:rsidR="003470E5" w:rsidRPr="00622070" w:rsidRDefault="003470E5" w:rsidP="00240686">
            <w:pPr>
              <w:rPr>
                <w:rFonts w:asciiTheme="minorHAnsi" w:hAnsiTheme="minorHAnsi"/>
                <w:b/>
                <w:sz w:val="20"/>
              </w:rPr>
            </w:pPr>
            <w:r w:rsidRPr="00622070">
              <w:rPr>
                <w:rFonts w:asciiTheme="minorHAnsi" w:hAnsiTheme="minorHAnsi"/>
                <w:b/>
                <w:sz w:val="20"/>
              </w:rPr>
              <w:t>Delivery of Chicks</w:t>
            </w:r>
          </w:p>
        </w:tc>
        <w:tc>
          <w:tcPr>
            <w:tcW w:w="926" w:type="dxa"/>
          </w:tcPr>
          <w:p w14:paraId="4FD29ABC" w14:textId="77777777" w:rsidR="003470E5" w:rsidRPr="00622070" w:rsidRDefault="003470E5" w:rsidP="00240686">
            <w:pPr>
              <w:rPr>
                <w:rFonts w:asciiTheme="minorHAnsi" w:hAnsiTheme="minorHAnsi"/>
                <w:sz w:val="20"/>
              </w:rPr>
            </w:pPr>
            <w:r>
              <w:rPr>
                <w:rFonts w:asciiTheme="minorHAnsi" w:hAnsiTheme="minorHAnsi"/>
                <w:sz w:val="20"/>
              </w:rPr>
              <w:t>27</w:t>
            </w:r>
            <w:r w:rsidRPr="00622070">
              <w:rPr>
                <w:rFonts w:asciiTheme="minorHAnsi" w:hAnsiTheme="minorHAnsi"/>
                <w:sz w:val="20"/>
              </w:rPr>
              <w:t xml:space="preserve"> tonne HGV</w:t>
            </w:r>
          </w:p>
        </w:tc>
        <w:tc>
          <w:tcPr>
            <w:tcW w:w="1055" w:type="dxa"/>
          </w:tcPr>
          <w:p w14:paraId="5D8706AC" w14:textId="77777777" w:rsidR="003470E5" w:rsidRPr="00622070" w:rsidRDefault="003470E5" w:rsidP="00240686">
            <w:pPr>
              <w:jc w:val="center"/>
              <w:rPr>
                <w:rFonts w:asciiTheme="minorHAnsi" w:hAnsiTheme="minorHAnsi"/>
                <w:sz w:val="20"/>
              </w:rPr>
            </w:pPr>
            <w:r>
              <w:rPr>
                <w:rFonts w:asciiTheme="minorHAnsi" w:hAnsiTheme="minorHAnsi"/>
                <w:sz w:val="20"/>
              </w:rPr>
              <w:t>1</w:t>
            </w:r>
          </w:p>
        </w:tc>
        <w:tc>
          <w:tcPr>
            <w:tcW w:w="1427" w:type="dxa"/>
          </w:tcPr>
          <w:p w14:paraId="2017CF4D" w14:textId="77777777" w:rsidR="003470E5" w:rsidRPr="00622070" w:rsidRDefault="003470E5" w:rsidP="00240686">
            <w:pPr>
              <w:rPr>
                <w:rFonts w:asciiTheme="minorHAnsi" w:hAnsiTheme="minorHAnsi"/>
                <w:sz w:val="20"/>
              </w:rPr>
            </w:pPr>
            <w:r w:rsidRPr="00622070">
              <w:rPr>
                <w:rFonts w:asciiTheme="minorHAnsi" w:hAnsiTheme="minorHAnsi"/>
                <w:sz w:val="20"/>
              </w:rPr>
              <w:t xml:space="preserve">Day </w:t>
            </w:r>
            <w:r>
              <w:rPr>
                <w:rFonts w:asciiTheme="minorHAnsi" w:hAnsiTheme="minorHAnsi"/>
                <w:sz w:val="20"/>
              </w:rPr>
              <w:t>1</w:t>
            </w:r>
          </w:p>
        </w:tc>
        <w:tc>
          <w:tcPr>
            <w:tcW w:w="1413" w:type="dxa"/>
          </w:tcPr>
          <w:p w14:paraId="4C787624" w14:textId="77777777" w:rsidR="003470E5" w:rsidRPr="00276E5A" w:rsidRDefault="003470E5" w:rsidP="00240686">
            <w:pPr>
              <w:jc w:val="center"/>
              <w:rPr>
                <w:rFonts w:asciiTheme="minorHAnsi" w:hAnsiTheme="minorHAnsi"/>
                <w:sz w:val="20"/>
              </w:rPr>
            </w:pPr>
            <w:r>
              <w:rPr>
                <w:rFonts w:asciiTheme="minorHAnsi" w:hAnsiTheme="minorHAnsi"/>
                <w:sz w:val="20"/>
              </w:rPr>
              <w:t>7.5 (15)</w:t>
            </w:r>
          </w:p>
        </w:tc>
        <w:tc>
          <w:tcPr>
            <w:tcW w:w="1417" w:type="dxa"/>
          </w:tcPr>
          <w:p w14:paraId="4459339F" w14:textId="77777777" w:rsidR="003470E5" w:rsidRPr="00876A92" w:rsidRDefault="003470E5" w:rsidP="00240686">
            <w:pPr>
              <w:jc w:val="center"/>
              <w:rPr>
                <w:rFonts w:asciiTheme="minorHAnsi" w:hAnsiTheme="minorHAnsi"/>
                <w:sz w:val="20"/>
              </w:rPr>
            </w:pPr>
            <w:r>
              <w:rPr>
                <w:rFonts w:asciiTheme="minorHAnsi" w:hAnsiTheme="minorHAnsi"/>
                <w:sz w:val="20"/>
              </w:rPr>
              <w:t>45 (90)</w:t>
            </w:r>
          </w:p>
        </w:tc>
      </w:tr>
      <w:tr w:rsidR="003470E5" w14:paraId="79C41053" w14:textId="77777777" w:rsidTr="00240686">
        <w:trPr>
          <w:jc w:val="center"/>
        </w:trPr>
        <w:tc>
          <w:tcPr>
            <w:tcW w:w="1128" w:type="dxa"/>
          </w:tcPr>
          <w:p w14:paraId="79D21541" w14:textId="77777777" w:rsidR="003470E5" w:rsidRPr="00622070" w:rsidRDefault="003470E5" w:rsidP="00240686">
            <w:pPr>
              <w:rPr>
                <w:rFonts w:asciiTheme="minorHAnsi" w:hAnsiTheme="minorHAnsi"/>
                <w:b/>
                <w:sz w:val="20"/>
              </w:rPr>
            </w:pPr>
            <w:r w:rsidRPr="00622070">
              <w:rPr>
                <w:rFonts w:asciiTheme="minorHAnsi" w:hAnsiTheme="minorHAnsi"/>
                <w:b/>
                <w:sz w:val="20"/>
              </w:rPr>
              <w:t>Delivery of Feed</w:t>
            </w:r>
          </w:p>
        </w:tc>
        <w:tc>
          <w:tcPr>
            <w:tcW w:w="926" w:type="dxa"/>
          </w:tcPr>
          <w:p w14:paraId="0B8651A2" w14:textId="77777777" w:rsidR="003470E5" w:rsidRPr="00622070" w:rsidRDefault="003470E5" w:rsidP="00240686">
            <w:pPr>
              <w:rPr>
                <w:rFonts w:asciiTheme="minorHAnsi" w:hAnsiTheme="minorHAnsi"/>
                <w:sz w:val="20"/>
              </w:rPr>
            </w:pPr>
            <w:r>
              <w:rPr>
                <w:rFonts w:asciiTheme="minorHAnsi" w:hAnsiTheme="minorHAnsi"/>
                <w:sz w:val="20"/>
              </w:rPr>
              <w:t>Tractor and Trailer</w:t>
            </w:r>
          </w:p>
        </w:tc>
        <w:tc>
          <w:tcPr>
            <w:tcW w:w="1055" w:type="dxa"/>
          </w:tcPr>
          <w:p w14:paraId="3AF6606F" w14:textId="77777777" w:rsidR="003470E5" w:rsidRPr="00622070" w:rsidRDefault="003470E5" w:rsidP="00240686">
            <w:pPr>
              <w:jc w:val="center"/>
              <w:rPr>
                <w:rFonts w:asciiTheme="minorHAnsi" w:hAnsiTheme="minorHAnsi"/>
                <w:sz w:val="20"/>
              </w:rPr>
            </w:pPr>
            <w:r>
              <w:rPr>
                <w:rFonts w:asciiTheme="minorHAnsi" w:hAnsiTheme="minorHAnsi"/>
                <w:sz w:val="20"/>
              </w:rPr>
              <w:t>8</w:t>
            </w:r>
          </w:p>
        </w:tc>
        <w:tc>
          <w:tcPr>
            <w:tcW w:w="1427" w:type="dxa"/>
          </w:tcPr>
          <w:p w14:paraId="18DE5F17" w14:textId="77777777" w:rsidR="003470E5" w:rsidRPr="00622070" w:rsidRDefault="003470E5" w:rsidP="00240686">
            <w:pPr>
              <w:rPr>
                <w:rFonts w:asciiTheme="minorHAnsi" w:hAnsiTheme="minorHAnsi"/>
                <w:sz w:val="20"/>
              </w:rPr>
            </w:pPr>
            <w:r>
              <w:rPr>
                <w:rFonts w:asciiTheme="minorHAnsi" w:hAnsiTheme="minorHAnsi"/>
                <w:sz w:val="20"/>
              </w:rPr>
              <w:t>Frequency increasing towards day 38</w:t>
            </w:r>
          </w:p>
        </w:tc>
        <w:tc>
          <w:tcPr>
            <w:tcW w:w="1413" w:type="dxa"/>
          </w:tcPr>
          <w:p w14:paraId="25F2A3E3" w14:textId="77777777" w:rsidR="003470E5" w:rsidRPr="00276E5A" w:rsidRDefault="003470E5" w:rsidP="00240686">
            <w:pPr>
              <w:jc w:val="center"/>
              <w:rPr>
                <w:rFonts w:asciiTheme="minorHAnsi" w:hAnsiTheme="minorHAnsi"/>
                <w:sz w:val="20"/>
              </w:rPr>
            </w:pPr>
            <w:r>
              <w:rPr>
                <w:rFonts w:asciiTheme="minorHAnsi" w:hAnsiTheme="minorHAnsi"/>
                <w:sz w:val="20"/>
              </w:rPr>
              <w:t>60 (120)</w:t>
            </w:r>
          </w:p>
        </w:tc>
        <w:tc>
          <w:tcPr>
            <w:tcW w:w="1417" w:type="dxa"/>
          </w:tcPr>
          <w:p w14:paraId="68860D96" w14:textId="77777777" w:rsidR="003470E5" w:rsidRPr="00876A92" w:rsidRDefault="003470E5" w:rsidP="00240686">
            <w:pPr>
              <w:jc w:val="center"/>
              <w:rPr>
                <w:rFonts w:asciiTheme="minorHAnsi" w:hAnsiTheme="minorHAnsi"/>
                <w:sz w:val="20"/>
              </w:rPr>
            </w:pPr>
            <w:r>
              <w:rPr>
                <w:rFonts w:asciiTheme="minorHAnsi" w:hAnsiTheme="minorHAnsi"/>
                <w:sz w:val="20"/>
              </w:rPr>
              <w:t>360 (720)</w:t>
            </w:r>
          </w:p>
        </w:tc>
      </w:tr>
      <w:tr w:rsidR="003470E5" w14:paraId="7082E27B" w14:textId="77777777" w:rsidTr="00240686">
        <w:trPr>
          <w:jc w:val="center"/>
        </w:trPr>
        <w:tc>
          <w:tcPr>
            <w:tcW w:w="1128" w:type="dxa"/>
          </w:tcPr>
          <w:p w14:paraId="71B34260" w14:textId="77777777" w:rsidR="003470E5" w:rsidRPr="00622070" w:rsidRDefault="003470E5" w:rsidP="00240686">
            <w:pPr>
              <w:rPr>
                <w:rFonts w:asciiTheme="minorHAnsi" w:hAnsiTheme="minorHAnsi"/>
                <w:b/>
                <w:sz w:val="20"/>
              </w:rPr>
            </w:pPr>
            <w:r w:rsidRPr="00622070">
              <w:rPr>
                <w:rFonts w:asciiTheme="minorHAnsi" w:hAnsiTheme="minorHAnsi"/>
                <w:b/>
                <w:sz w:val="20"/>
              </w:rPr>
              <w:t>Delivery of Bedding</w:t>
            </w:r>
          </w:p>
        </w:tc>
        <w:tc>
          <w:tcPr>
            <w:tcW w:w="926" w:type="dxa"/>
          </w:tcPr>
          <w:p w14:paraId="05065164" w14:textId="77777777" w:rsidR="003470E5" w:rsidRPr="00622070" w:rsidRDefault="003470E5" w:rsidP="00240686">
            <w:pPr>
              <w:rPr>
                <w:rFonts w:asciiTheme="minorHAnsi" w:hAnsiTheme="minorHAnsi"/>
                <w:sz w:val="20"/>
              </w:rPr>
            </w:pPr>
            <w:r w:rsidRPr="00622070">
              <w:rPr>
                <w:rFonts w:asciiTheme="minorHAnsi" w:hAnsiTheme="minorHAnsi"/>
                <w:sz w:val="20"/>
              </w:rPr>
              <w:t>38 tonne HGV</w:t>
            </w:r>
          </w:p>
        </w:tc>
        <w:tc>
          <w:tcPr>
            <w:tcW w:w="1055" w:type="dxa"/>
          </w:tcPr>
          <w:p w14:paraId="5E6D2E30" w14:textId="77777777" w:rsidR="003470E5" w:rsidRPr="00622070" w:rsidRDefault="003470E5" w:rsidP="00240686">
            <w:pPr>
              <w:jc w:val="center"/>
              <w:rPr>
                <w:rFonts w:asciiTheme="minorHAnsi" w:hAnsiTheme="minorHAnsi"/>
                <w:sz w:val="20"/>
              </w:rPr>
            </w:pPr>
            <w:r>
              <w:rPr>
                <w:rFonts w:asciiTheme="minorHAnsi" w:hAnsiTheme="minorHAnsi"/>
                <w:sz w:val="20"/>
              </w:rPr>
              <w:t>1</w:t>
            </w:r>
          </w:p>
        </w:tc>
        <w:tc>
          <w:tcPr>
            <w:tcW w:w="1427" w:type="dxa"/>
          </w:tcPr>
          <w:p w14:paraId="1D91BE82" w14:textId="77777777" w:rsidR="003470E5" w:rsidRPr="00622070" w:rsidRDefault="003470E5" w:rsidP="00240686">
            <w:pPr>
              <w:rPr>
                <w:rFonts w:asciiTheme="minorHAnsi" w:hAnsiTheme="minorHAnsi"/>
                <w:sz w:val="20"/>
              </w:rPr>
            </w:pPr>
            <w:r w:rsidRPr="00622070">
              <w:rPr>
                <w:rFonts w:asciiTheme="minorHAnsi" w:hAnsiTheme="minorHAnsi"/>
                <w:sz w:val="20"/>
              </w:rPr>
              <w:t xml:space="preserve">Day </w:t>
            </w:r>
            <w:r>
              <w:rPr>
                <w:rFonts w:asciiTheme="minorHAnsi" w:hAnsiTheme="minorHAnsi"/>
                <w:sz w:val="20"/>
              </w:rPr>
              <w:t>44</w:t>
            </w:r>
          </w:p>
        </w:tc>
        <w:tc>
          <w:tcPr>
            <w:tcW w:w="1413" w:type="dxa"/>
          </w:tcPr>
          <w:p w14:paraId="7B46373F" w14:textId="77777777" w:rsidR="003470E5" w:rsidRPr="00276E5A" w:rsidRDefault="003470E5" w:rsidP="00240686">
            <w:pPr>
              <w:jc w:val="center"/>
              <w:rPr>
                <w:rFonts w:asciiTheme="minorHAnsi" w:hAnsiTheme="minorHAnsi"/>
                <w:sz w:val="20"/>
              </w:rPr>
            </w:pPr>
            <w:r>
              <w:rPr>
                <w:rFonts w:asciiTheme="minorHAnsi" w:hAnsiTheme="minorHAnsi"/>
                <w:sz w:val="20"/>
              </w:rPr>
              <w:t>7.5 (15)</w:t>
            </w:r>
          </w:p>
        </w:tc>
        <w:tc>
          <w:tcPr>
            <w:tcW w:w="1417" w:type="dxa"/>
          </w:tcPr>
          <w:p w14:paraId="4FC26AAA" w14:textId="77777777" w:rsidR="003470E5" w:rsidRPr="00876A92" w:rsidRDefault="003470E5" w:rsidP="00240686">
            <w:pPr>
              <w:jc w:val="center"/>
              <w:rPr>
                <w:rFonts w:asciiTheme="minorHAnsi" w:hAnsiTheme="minorHAnsi"/>
                <w:sz w:val="20"/>
              </w:rPr>
            </w:pPr>
            <w:r>
              <w:rPr>
                <w:rFonts w:asciiTheme="minorHAnsi" w:hAnsiTheme="minorHAnsi"/>
                <w:sz w:val="20"/>
              </w:rPr>
              <w:t>45 (90)</w:t>
            </w:r>
          </w:p>
        </w:tc>
      </w:tr>
      <w:tr w:rsidR="003470E5" w14:paraId="416A9E8B" w14:textId="77777777" w:rsidTr="00240686">
        <w:trPr>
          <w:jc w:val="center"/>
        </w:trPr>
        <w:tc>
          <w:tcPr>
            <w:tcW w:w="1128" w:type="dxa"/>
          </w:tcPr>
          <w:p w14:paraId="68378A02" w14:textId="77777777" w:rsidR="003470E5" w:rsidRPr="00622070" w:rsidRDefault="003470E5" w:rsidP="00240686">
            <w:pPr>
              <w:rPr>
                <w:rFonts w:asciiTheme="minorHAnsi" w:hAnsiTheme="minorHAnsi"/>
                <w:b/>
                <w:sz w:val="20"/>
              </w:rPr>
            </w:pPr>
            <w:r>
              <w:rPr>
                <w:rFonts w:asciiTheme="minorHAnsi" w:hAnsiTheme="minorHAnsi"/>
                <w:b/>
                <w:sz w:val="20"/>
              </w:rPr>
              <w:t>Delivery of LPG Fuel</w:t>
            </w:r>
          </w:p>
        </w:tc>
        <w:tc>
          <w:tcPr>
            <w:tcW w:w="926" w:type="dxa"/>
          </w:tcPr>
          <w:p w14:paraId="35B65C59" w14:textId="77777777" w:rsidR="003470E5" w:rsidRPr="00622070" w:rsidRDefault="003470E5" w:rsidP="00240686">
            <w:pPr>
              <w:rPr>
                <w:rFonts w:asciiTheme="minorHAnsi" w:hAnsiTheme="minorHAnsi"/>
                <w:sz w:val="20"/>
              </w:rPr>
            </w:pPr>
            <w:r>
              <w:rPr>
                <w:rFonts w:asciiTheme="minorHAnsi" w:hAnsiTheme="minorHAnsi"/>
                <w:sz w:val="20"/>
              </w:rPr>
              <w:t>25</w:t>
            </w:r>
            <w:r w:rsidRPr="00622070">
              <w:rPr>
                <w:rFonts w:asciiTheme="minorHAnsi" w:hAnsiTheme="minorHAnsi"/>
                <w:sz w:val="20"/>
              </w:rPr>
              <w:t xml:space="preserve"> tonne HGV</w:t>
            </w:r>
          </w:p>
        </w:tc>
        <w:tc>
          <w:tcPr>
            <w:tcW w:w="1055" w:type="dxa"/>
          </w:tcPr>
          <w:p w14:paraId="30019235" w14:textId="77777777" w:rsidR="003470E5" w:rsidRPr="00622070" w:rsidRDefault="003470E5" w:rsidP="00240686">
            <w:pPr>
              <w:jc w:val="center"/>
              <w:rPr>
                <w:rFonts w:asciiTheme="minorHAnsi" w:hAnsiTheme="minorHAnsi"/>
                <w:sz w:val="20"/>
              </w:rPr>
            </w:pPr>
            <w:r>
              <w:rPr>
                <w:rFonts w:asciiTheme="minorHAnsi" w:hAnsiTheme="minorHAnsi"/>
                <w:sz w:val="20"/>
              </w:rPr>
              <w:t>0.5</w:t>
            </w:r>
          </w:p>
        </w:tc>
        <w:tc>
          <w:tcPr>
            <w:tcW w:w="1427" w:type="dxa"/>
          </w:tcPr>
          <w:p w14:paraId="4752C6DB" w14:textId="77777777" w:rsidR="003470E5" w:rsidRPr="00622070" w:rsidRDefault="003470E5" w:rsidP="00240686">
            <w:pPr>
              <w:rPr>
                <w:rFonts w:asciiTheme="minorHAnsi" w:hAnsiTheme="minorHAnsi"/>
                <w:sz w:val="20"/>
              </w:rPr>
            </w:pPr>
            <w:r>
              <w:rPr>
                <w:rFonts w:asciiTheme="minorHAnsi" w:hAnsiTheme="minorHAnsi"/>
                <w:sz w:val="20"/>
              </w:rPr>
              <w:t>Day 45</w:t>
            </w:r>
          </w:p>
        </w:tc>
        <w:tc>
          <w:tcPr>
            <w:tcW w:w="1413" w:type="dxa"/>
          </w:tcPr>
          <w:p w14:paraId="4DA3A3F6" w14:textId="77777777" w:rsidR="003470E5" w:rsidRPr="00276E5A" w:rsidRDefault="003470E5" w:rsidP="00240686">
            <w:pPr>
              <w:jc w:val="center"/>
              <w:rPr>
                <w:rFonts w:asciiTheme="minorHAnsi" w:hAnsiTheme="minorHAnsi"/>
                <w:sz w:val="20"/>
              </w:rPr>
            </w:pPr>
            <w:r>
              <w:rPr>
                <w:rFonts w:asciiTheme="minorHAnsi" w:hAnsiTheme="minorHAnsi"/>
                <w:sz w:val="20"/>
              </w:rPr>
              <w:t>3.75 (7.5)</w:t>
            </w:r>
          </w:p>
        </w:tc>
        <w:tc>
          <w:tcPr>
            <w:tcW w:w="1417" w:type="dxa"/>
          </w:tcPr>
          <w:p w14:paraId="19D5FD7F" w14:textId="77777777" w:rsidR="003470E5" w:rsidRPr="00876A92" w:rsidRDefault="003470E5" w:rsidP="00240686">
            <w:pPr>
              <w:jc w:val="center"/>
              <w:rPr>
                <w:rFonts w:asciiTheme="minorHAnsi" w:hAnsiTheme="minorHAnsi"/>
                <w:sz w:val="20"/>
              </w:rPr>
            </w:pPr>
            <w:r>
              <w:rPr>
                <w:rFonts w:asciiTheme="minorHAnsi" w:hAnsiTheme="minorHAnsi"/>
                <w:sz w:val="20"/>
              </w:rPr>
              <w:t>22.5 (45)</w:t>
            </w:r>
          </w:p>
        </w:tc>
      </w:tr>
      <w:tr w:rsidR="003470E5" w14:paraId="459C047A" w14:textId="77777777" w:rsidTr="00240686">
        <w:trPr>
          <w:jc w:val="center"/>
        </w:trPr>
        <w:tc>
          <w:tcPr>
            <w:tcW w:w="1128" w:type="dxa"/>
          </w:tcPr>
          <w:p w14:paraId="3251172F" w14:textId="77777777" w:rsidR="003470E5" w:rsidRPr="00622070" w:rsidRDefault="003470E5" w:rsidP="00240686">
            <w:pPr>
              <w:rPr>
                <w:rFonts w:asciiTheme="minorHAnsi" w:hAnsiTheme="minorHAnsi"/>
                <w:b/>
                <w:sz w:val="20"/>
              </w:rPr>
            </w:pPr>
            <w:r w:rsidRPr="00622070">
              <w:rPr>
                <w:rFonts w:asciiTheme="minorHAnsi" w:hAnsiTheme="minorHAnsi"/>
                <w:b/>
                <w:sz w:val="20"/>
              </w:rPr>
              <w:t>Catching of Birds</w:t>
            </w:r>
          </w:p>
        </w:tc>
        <w:tc>
          <w:tcPr>
            <w:tcW w:w="926" w:type="dxa"/>
          </w:tcPr>
          <w:p w14:paraId="6BF333FF" w14:textId="77777777" w:rsidR="003470E5" w:rsidRPr="00622070" w:rsidRDefault="003470E5" w:rsidP="00240686">
            <w:pPr>
              <w:rPr>
                <w:rFonts w:asciiTheme="minorHAnsi" w:hAnsiTheme="minorHAnsi"/>
                <w:sz w:val="20"/>
              </w:rPr>
            </w:pPr>
            <w:r>
              <w:rPr>
                <w:rFonts w:asciiTheme="minorHAnsi" w:hAnsiTheme="minorHAnsi"/>
                <w:sz w:val="20"/>
              </w:rPr>
              <w:t>44</w:t>
            </w:r>
            <w:r w:rsidRPr="00622070">
              <w:rPr>
                <w:rFonts w:asciiTheme="minorHAnsi" w:hAnsiTheme="minorHAnsi"/>
                <w:sz w:val="20"/>
              </w:rPr>
              <w:t xml:space="preserve"> tonne HGV</w:t>
            </w:r>
          </w:p>
        </w:tc>
        <w:tc>
          <w:tcPr>
            <w:tcW w:w="1055" w:type="dxa"/>
          </w:tcPr>
          <w:p w14:paraId="6C1EBA3D" w14:textId="77777777" w:rsidR="003470E5" w:rsidRPr="00622070" w:rsidRDefault="003470E5" w:rsidP="00240686">
            <w:pPr>
              <w:jc w:val="center"/>
              <w:rPr>
                <w:rFonts w:asciiTheme="minorHAnsi" w:hAnsiTheme="minorHAnsi"/>
                <w:sz w:val="20"/>
              </w:rPr>
            </w:pPr>
            <w:r>
              <w:rPr>
                <w:rFonts w:asciiTheme="minorHAnsi" w:hAnsiTheme="minorHAnsi"/>
                <w:sz w:val="20"/>
              </w:rPr>
              <w:t>6</w:t>
            </w:r>
          </w:p>
        </w:tc>
        <w:tc>
          <w:tcPr>
            <w:tcW w:w="1427" w:type="dxa"/>
          </w:tcPr>
          <w:p w14:paraId="71DBB90F" w14:textId="77777777" w:rsidR="003470E5" w:rsidRPr="00622070" w:rsidRDefault="003470E5" w:rsidP="00240686">
            <w:pPr>
              <w:rPr>
                <w:rFonts w:asciiTheme="minorHAnsi" w:hAnsiTheme="minorHAnsi"/>
                <w:sz w:val="20"/>
              </w:rPr>
            </w:pPr>
            <w:r w:rsidRPr="00622070">
              <w:rPr>
                <w:rFonts w:asciiTheme="minorHAnsi" w:hAnsiTheme="minorHAnsi"/>
                <w:sz w:val="20"/>
              </w:rPr>
              <w:t>Day</w:t>
            </w:r>
            <w:r>
              <w:rPr>
                <w:rFonts w:asciiTheme="minorHAnsi" w:hAnsiTheme="minorHAnsi"/>
                <w:sz w:val="20"/>
              </w:rPr>
              <w:t>s 38 - 39</w:t>
            </w:r>
          </w:p>
        </w:tc>
        <w:tc>
          <w:tcPr>
            <w:tcW w:w="1413" w:type="dxa"/>
          </w:tcPr>
          <w:p w14:paraId="15575AE1" w14:textId="77777777" w:rsidR="003470E5" w:rsidRPr="00276E5A" w:rsidRDefault="003470E5" w:rsidP="00240686">
            <w:pPr>
              <w:jc w:val="center"/>
              <w:rPr>
                <w:rFonts w:asciiTheme="minorHAnsi" w:hAnsiTheme="minorHAnsi"/>
                <w:sz w:val="20"/>
              </w:rPr>
            </w:pPr>
            <w:r>
              <w:rPr>
                <w:rFonts w:asciiTheme="minorHAnsi" w:hAnsiTheme="minorHAnsi"/>
                <w:sz w:val="20"/>
              </w:rPr>
              <w:t>45 (90)</w:t>
            </w:r>
          </w:p>
        </w:tc>
        <w:tc>
          <w:tcPr>
            <w:tcW w:w="1417" w:type="dxa"/>
          </w:tcPr>
          <w:p w14:paraId="534628E7" w14:textId="77777777" w:rsidR="003470E5" w:rsidRPr="00876A92" w:rsidRDefault="003470E5" w:rsidP="00240686">
            <w:pPr>
              <w:jc w:val="center"/>
              <w:rPr>
                <w:rFonts w:asciiTheme="minorHAnsi" w:hAnsiTheme="minorHAnsi"/>
                <w:sz w:val="20"/>
              </w:rPr>
            </w:pPr>
            <w:r>
              <w:rPr>
                <w:rFonts w:asciiTheme="minorHAnsi" w:hAnsiTheme="minorHAnsi"/>
                <w:sz w:val="20"/>
              </w:rPr>
              <w:t>270 (540)</w:t>
            </w:r>
          </w:p>
        </w:tc>
      </w:tr>
      <w:tr w:rsidR="003470E5" w14:paraId="1F84947A" w14:textId="77777777" w:rsidTr="00240686">
        <w:trPr>
          <w:jc w:val="center"/>
        </w:trPr>
        <w:tc>
          <w:tcPr>
            <w:tcW w:w="1128" w:type="dxa"/>
          </w:tcPr>
          <w:p w14:paraId="0D649F01" w14:textId="77777777" w:rsidR="003470E5" w:rsidRDefault="003470E5" w:rsidP="00240686">
            <w:pPr>
              <w:rPr>
                <w:rFonts w:asciiTheme="minorHAnsi" w:hAnsiTheme="minorHAnsi"/>
                <w:b/>
                <w:sz w:val="20"/>
              </w:rPr>
            </w:pPr>
            <w:r w:rsidRPr="00622070">
              <w:rPr>
                <w:rFonts w:asciiTheme="minorHAnsi" w:hAnsiTheme="minorHAnsi"/>
                <w:b/>
                <w:sz w:val="20"/>
              </w:rPr>
              <w:t>Removal of Waste</w:t>
            </w:r>
          </w:p>
        </w:tc>
        <w:tc>
          <w:tcPr>
            <w:tcW w:w="926" w:type="dxa"/>
          </w:tcPr>
          <w:p w14:paraId="6834A54E" w14:textId="77777777" w:rsidR="003470E5" w:rsidRDefault="003470E5" w:rsidP="00240686">
            <w:pPr>
              <w:rPr>
                <w:rFonts w:asciiTheme="minorHAnsi" w:hAnsiTheme="minorHAnsi"/>
                <w:sz w:val="20"/>
              </w:rPr>
            </w:pPr>
            <w:r>
              <w:rPr>
                <w:rFonts w:asciiTheme="minorHAnsi" w:hAnsiTheme="minorHAnsi"/>
                <w:sz w:val="20"/>
              </w:rPr>
              <w:t>Tractor and Trailer</w:t>
            </w:r>
          </w:p>
        </w:tc>
        <w:tc>
          <w:tcPr>
            <w:tcW w:w="1055" w:type="dxa"/>
          </w:tcPr>
          <w:p w14:paraId="46B6872A" w14:textId="77777777" w:rsidR="003470E5" w:rsidRPr="007F501F" w:rsidRDefault="003470E5" w:rsidP="00240686">
            <w:pPr>
              <w:jc w:val="center"/>
              <w:rPr>
                <w:rFonts w:asciiTheme="minorHAnsi" w:hAnsiTheme="minorHAnsi"/>
                <w:sz w:val="20"/>
              </w:rPr>
            </w:pPr>
            <w:r w:rsidRPr="007F501F">
              <w:rPr>
                <w:rFonts w:asciiTheme="minorHAnsi" w:hAnsiTheme="minorHAnsi"/>
                <w:sz w:val="20"/>
              </w:rPr>
              <w:t>4</w:t>
            </w:r>
          </w:p>
        </w:tc>
        <w:tc>
          <w:tcPr>
            <w:tcW w:w="1427" w:type="dxa"/>
          </w:tcPr>
          <w:p w14:paraId="636C2A53" w14:textId="77777777" w:rsidR="003470E5" w:rsidRDefault="003470E5" w:rsidP="00240686">
            <w:pPr>
              <w:rPr>
                <w:rFonts w:asciiTheme="minorHAnsi" w:hAnsiTheme="minorHAnsi"/>
                <w:sz w:val="20"/>
              </w:rPr>
            </w:pPr>
            <w:r w:rsidRPr="00622070">
              <w:rPr>
                <w:rFonts w:asciiTheme="minorHAnsi" w:hAnsiTheme="minorHAnsi"/>
                <w:sz w:val="20"/>
              </w:rPr>
              <w:t xml:space="preserve">Days </w:t>
            </w:r>
            <w:r>
              <w:rPr>
                <w:rFonts w:asciiTheme="minorHAnsi" w:hAnsiTheme="minorHAnsi"/>
                <w:sz w:val="20"/>
              </w:rPr>
              <w:t>40</w:t>
            </w:r>
            <w:r w:rsidRPr="00622070">
              <w:rPr>
                <w:rFonts w:asciiTheme="minorHAnsi" w:hAnsiTheme="minorHAnsi"/>
                <w:sz w:val="20"/>
              </w:rPr>
              <w:t>-4</w:t>
            </w:r>
            <w:r>
              <w:rPr>
                <w:rFonts w:asciiTheme="minorHAnsi" w:hAnsiTheme="minorHAnsi"/>
                <w:sz w:val="20"/>
              </w:rPr>
              <w:t>2</w:t>
            </w:r>
          </w:p>
        </w:tc>
        <w:tc>
          <w:tcPr>
            <w:tcW w:w="1413" w:type="dxa"/>
          </w:tcPr>
          <w:p w14:paraId="47A0AAB6" w14:textId="77777777" w:rsidR="003470E5" w:rsidRPr="007335B6" w:rsidRDefault="003470E5" w:rsidP="00240686">
            <w:pPr>
              <w:jc w:val="center"/>
              <w:rPr>
                <w:rFonts w:asciiTheme="minorHAnsi" w:hAnsiTheme="minorHAnsi"/>
                <w:sz w:val="20"/>
              </w:rPr>
            </w:pPr>
            <w:r w:rsidRPr="007335B6">
              <w:rPr>
                <w:rFonts w:asciiTheme="minorHAnsi" w:hAnsiTheme="minorHAnsi"/>
                <w:sz w:val="20"/>
              </w:rPr>
              <w:t>30 (60)</w:t>
            </w:r>
          </w:p>
        </w:tc>
        <w:tc>
          <w:tcPr>
            <w:tcW w:w="1417" w:type="dxa"/>
          </w:tcPr>
          <w:p w14:paraId="79C1EBEB" w14:textId="77777777" w:rsidR="003470E5" w:rsidRPr="00D755CA" w:rsidRDefault="003470E5" w:rsidP="00240686">
            <w:pPr>
              <w:jc w:val="center"/>
              <w:rPr>
                <w:rFonts w:asciiTheme="minorHAnsi" w:hAnsiTheme="minorHAnsi"/>
                <w:sz w:val="20"/>
              </w:rPr>
            </w:pPr>
            <w:r w:rsidRPr="00D755CA">
              <w:rPr>
                <w:rFonts w:asciiTheme="minorHAnsi" w:hAnsiTheme="minorHAnsi"/>
                <w:sz w:val="20"/>
              </w:rPr>
              <w:t>180 (360)</w:t>
            </w:r>
          </w:p>
        </w:tc>
      </w:tr>
      <w:tr w:rsidR="003470E5" w14:paraId="7425BAC5" w14:textId="77777777" w:rsidTr="00240686">
        <w:trPr>
          <w:jc w:val="center"/>
        </w:trPr>
        <w:tc>
          <w:tcPr>
            <w:tcW w:w="1128" w:type="dxa"/>
          </w:tcPr>
          <w:p w14:paraId="3C40DAC5" w14:textId="77777777" w:rsidR="003470E5" w:rsidRDefault="003470E5" w:rsidP="00240686">
            <w:pPr>
              <w:rPr>
                <w:rFonts w:asciiTheme="minorHAnsi" w:hAnsiTheme="minorHAnsi"/>
                <w:b/>
                <w:sz w:val="20"/>
              </w:rPr>
            </w:pPr>
            <w:r>
              <w:rPr>
                <w:rFonts w:asciiTheme="minorHAnsi" w:hAnsiTheme="minorHAnsi"/>
                <w:b/>
                <w:sz w:val="20"/>
              </w:rPr>
              <w:t>Total</w:t>
            </w:r>
          </w:p>
        </w:tc>
        <w:tc>
          <w:tcPr>
            <w:tcW w:w="926" w:type="dxa"/>
          </w:tcPr>
          <w:p w14:paraId="1F15983A" w14:textId="77777777" w:rsidR="003470E5" w:rsidRDefault="003470E5" w:rsidP="00240686">
            <w:pPr>
              <w:rPr>
                <w:rFonts w:asciiTheme="minorHAnsi" w:hAnsiTheme="minorHAnsi"/>
                <w:sz w:val="20"/>
              </w:rPr>
            </w:pPr>
            <w:r>
              <w:rPr>
                <w:rFonts w:asciiTheme="minorHAnsi" w:hAnsiTheme="minorHAnsi"/>
                <w:sz w:val="20"/>
              </w:rPr>
              <w:t>n/a</w:t>
            </w:r>
          </w:p>
        </w:tc>
        <w:tc>
          <w:tcPr>
            <w:tcW w:w="1055" w:type="dxa"/>
          </w:tcPr>
          <w:p w14:paraId="1A7DA8B0" w14:textId="77777777" w:rsidR="003470E5" w:rsidRDefault="003470E5" w:rsidP="00240686">
            <w:pPr>
              <w:jc w:val="center"/>
              <w:rPr>
                <w:rFonts w:asciiTheme="minorHAnsi" w:hAnsiTheme="minorHAnsi"/>
                <w:b/>
                <w:bCs/>
                <w:sz w:val="20"/>
              </w:rPr>
            </w:pPr>
            <w:r>
              <w:rPr>
                <w:rFonts w:asciiTheme="minorHAnsi" w:hAnsiTheme="minorHAnsi"/>
                <w:b/>
                <w:bCs/>
                <w:sz w:val="20"/>
              </w:rPr>
              <w:t>20.5</w:t>
            </w:r>
          </w:p>
        </w:tc>
        <w:tc>
          <w:tcPr>
            <w:tcW w:w="1427" w:type="dxa"/>
          </w:tcPr>
          <w:p w14:paraId="61BD2394" w14:textId="77777777" w:rsidR="003470E5" w:rsidRDefault="003470E5" w:rsidP="00240686">
            <w:pPr>
              <w:rPr>
                <w:rFonts w:asciiTheme="minorHAnsi" w:hAnsiTheme="minorHAnsi"/>
                <w:sz w:val="20"/>
              </w:rPr>
            </w:pPr>
            <w:r>
              <w:rPr>
                <w:rFonts w:asciiTheme="minorHAnsi" w:hAnsiTheme="minorHAnsi"/>
                <w:sz w:val="20"/>
              </w:rPr>
              <w:t>n/a</w:t>
            </w:r>
          </w:p>
        </w:tc>
        <w:tc>
          <w:tcPr>
            <w:tcW w:w="1413" w:type="dxa"/>
          </w:tcPr>
          <w:p w14:paraId="300AD516" w14:textId="77777777" w:rsidR="003470E5" w:rsidRPr="00276E5A" w:rsidRDefault="003470E5" w:rsidP="00240686">
            <w:pPr>
              <w:jc w:val="center"/>
              <w:rPr>
                <w:rFonts w:asciiTheme="minorHAnsi" w:hAnsiTheme="minorHAnsi"/>
                <w:b/>
                <w:bCs/>
                <w:sz w:val="20"/>
              </w:rPr>
            </w:pPr>
            <w:r>
              <w:rPr>
                <w:rFonts w:asciiTheme="minorHAnsi" w:hAnsiTheme="minorHAnsi"/>
                <w:b/>
                <w:bCs/>
                <w:sz w:val="20"/>
              </w:rPr>
              <w:t>153.75 (307.5)</w:t>
            </w:r>
          </w:p>
        </w:tc>
        <w:tc>
          <w:tcPr>
            <w:tcW w:w="1417" w:type="dxa"/>
          </w:tcPr>
          <w:p w14:paraId="2A9D6B2F" w14:textId="77777777" w:rsidR="003470E5" w:rsidRDefault="003470E5" w:rsidP="00240686">
            <w:pPr>
              <w:jc w:val="center"/>
              <w:rPr>
                <w:rFonts w:asciiTheme="minorHAnsi" w:hAnsiTheme="minorHAnsi"/>
                <w:b/>
                <w:bCs/>
                <w:sz w:val="20"/>
              </w:rPr>
            </w:pPr>
            <w:r>
              <w:rPr>
                <w:rFonts w:asciiTheme="minorHAnsi" w:hAnsiTheme="minorHAnsi"/>
                <w:b/>
                <w:bCs/>
                <w:sz w:val="20"/>
              </w:rPr>
              <w:t>922.5 (1845)</w:t>
            </w:r>
          </w:p>
        </w:tc>
      </w:tr>
    </w:tbl>
    <w:p w14:paraId="667B0975" w14:textId="77777777" w:rsidR="003470E5" w:rsidRDefault="003470E5" w:rsidP="003470E5">
      <w:pPr>
        <w:jc w:val="center"/>
        <w:rPr>
          <w:rFonts w:ascii="Calibri" w:hAnsi="Calibri"/>
          <w:sz w:val="18"/>
          <w:szCs w:val="18"/>
        </w:rPr>
      </w:pPr>
      <w:r w:rsidRPr="00EA330E">
        <w:rPr>
          <w:rFonts w:ascii="Calibri" w:hAnsi="Calibri"/>
          <w:sz w:val="18"/>
          <w:szCs w:val="18"/>
        </w:rPr>
        <w:t xml:space="preserve">Table </w:t>
      </w:r>
      <w:r>
        <w:rPr>
          <w:rFonts w:ascii="Calibri" w:hAnsi="Calibri"/>
          <w:sz w:val="18"/>
          <w:szCs w:val="18"/>
        </w:rPr>
        <w:t xml:space="preserve">1: </w:t>
      </w:r>
      <w:r w:rsidRPr="00EA330E">
        <w:rPr>
          <w:rFonts w:ascii="Calibri" w:hAnsi="Calibri"/>
          <w:sz w:val="18"/>
          <w:szCs w:val="18"/>
        </w:rPr>
        <w:t xml:space="preserve">outlining </w:t>
      </w:r>
      <w:r>
        <w:rPr>
          <w:rFonts w:ascii="Calibri" w:hAnsi="Calibri"/>
          <w:sz w:val="18"/>
          <w:szCs w:val="18"/>
        </w:rPr>
        <w:t xml:space="preserve">cumulative </w:t>
      </w:r>
      <w:r w:rsidRPr="00EA330E">
        <w:rPr>
          <w:rFonts w:ascii="Calibri" w:hAnsi="Calibri"/>
          <w:sz w:val="18"/>
          <w:szCs w:val="18"/>
        </w:rPr>
        <w:t>trip generation arising from the</w:t>
      </w:r>
      <w:r>
        <w:rPr>
          <w:rFonts w:ascii="Calibri" w:hAnsi="Calibri"/>
          <w:sz w:val="18"/>
          <w:szCs w:val="18"/>
        </w:rPr>
        <w:t xml:space="preserve"> broiler</w:t>
      </w:r>
      <w:r w:rsidRPr="00EA330E">
        <w:rPr>
          <w:rFonts w:ascii="Calibri" w:hAnsi="Calibri"/>
          <w:sz w:val="18"/>
          <w:szCs w:val="18"/>
        </w:rPr>
        <w:t xml:space="preserve"> poultry farming operation</w:t>
      </w:r>
      <w:r>
        <w:rPr>
          <w:rFonts w:ascii="Calibri" w:hAnsi="Calibri"/>
          <w:sz w:val="18"/>
          <w:szCs w:val="18"/>
        </w:rPr>
        <w:t>.</w:t>
      </w:r>
    </w:p>
    <w:p w14:paraId="1926AAF1" w14:textId="77777777" w:rsidR="003470E5" w:rsidRDefault="003470E5" w:rsidP="003470E5">
      <w:pPr>
        <w:pStyle w:val="NoSpacing"/>
        <w:jc w:val="center"/>
      </w:pPr>
      <w:r>
        <w:rPr>
          <w:rFonts w:asciiTheme="minorHAnsi" w:hAnsiTheme="minorHAnsi"/>
          <w:sz w:val="18"/>
          <w:szCs w:val="18"/>
        </w:rPr>
        <w:t>* indicates sharing of vehicle capacity/logistic efficiencies.</w:t>
      </w:r>
    </w:p>
    <w:p w14:paraId="7B78A66E" w14:textId="77777777" w:rsidR="003470E5" w:rsidRDefault="003470E5" w:rsidP="003470E5">
      <w:pPr>
        <w:pStyle w:val="NoSpacing"/>
        <w:jc w:val="center"/>
      </w:pPr>
    </w:p>
    <w:p w14:paraId="5E95C3B8" w14:textId="77777777" w:rsidR="003470E5" w:rsidRDefault="003470E5" w:rsidP="003470E5">
      <w:pPr>
        <w:pStyle w:val="NoSpacing"/>
        <w:ind w:left="720" w:hanging="720"/>
      </w:pPr>
      <w:r>
        <w:t>4.28</w:t>
      </w:r>
      <w:r>
        <w:tab/>
        <w:t xml:space="preserve">However, not all of the vehicular activity outlined above will be reliant upon use of the public highway. The Barn Farm complex includes ‘Porters Mill’, which produces compound animal feed primarily from locally produced cereal crops. The feed required to serve the existing and proposed broiler units is produced via the mill. It is therefore transported directly to the feed silos by private internal carriageway. A proportion of </w:t>
      </w:r>
      <w:r>
        <w:lastRenderedPageBreak/>
        <w:t xml:space="preserve">the poultry litter will also be used as fertiliser on the applicants’ extensive arable holding, which is also usually accessed without use of the wider public highway network (excluding Parson Lane). On this basis, one can reasonably expect the entire broiler farming operation to require servicing by less than 563 vehicles (1126 trips accounting for return journeys) utilising the public highway each year. </w:t>
      </w:r>
    </w:p>
    <w:p w14:paraId="32824A21" w14:textId="77777777" w:rsidR="003470E5" w:rsidRDefault="003470E5" w:rsidP="003470E5">
      <w:pPr>
        <w:pStyle w:val="NoSpacing"/>
      </w:pPr>
    </w:p>
    <w:p w14:paraId="4B629720" w14:textId="77777777" w:rsidR="003470E5" w:rsidRDefault="003470E5" w:rsidP="003470E5">
      <w:pPr>
        <w:pStyle w:val="NoSpacing"/>
        <w:ind w:left="720" w:hanging="720"/>
      </w:pPr>
      <w:r>
        <w:t>4.29</w:t>
      </w:r>
      <w:r>
        <w:tab/>
        <w:t xml:space="preserve">It should be noted that the existing pig breeding/rearing enterprise based in livestock units 1 - 13 currently generates approximately 1090 HGV/agricultural vehicle trips (including return journeys) each year. In cumulation with the existing broiler units, this equates to </w:t>
      </w:r>
      <w:r w:rsidRPr="00F54B44">
        <w:t>26</w:t>
      </w:r>
      <w:r>
        <w:t>27</w:t>
      </w:r>
      <w:r w:rsidRPr="00F54B44">
        <w:t>.5 (two way) trips per annum</w:t>
      </w:r>
      <w:r>
        <w:t xml:space="preserve"> (though less in reality if feed deliveries are excluded)</w:t>
      </w:r>
      <w:r w:rsidRPr="00F54B44">
        <w:t xml:space="preserve">. The ceasing of the </w:t>
      </w:r>
      <w:r>
        <w:t>pig</w:t>
      </w:r>
      <w:r w:rsidRPr="00F54B44">
        <w:t xml:space="preserve"> breading</w:t>
      </w:r>
      <w:r>
        <w:t>/rearing</w:t>
      </w:r>
      <w:r w:rsidRPr="00F54B44">
        <w:t xml:space="preserve"> operation and expansion </w:t>
      </w:r>
      <w:r>
        <w:t>of the broiler rearing enterprise will therefore entail a significant reduction in trip generation. Over the course of a typical year, this represents a theoretical decrease of 30%. In reality, this is likely to be closer to a 55% reduction for reason that poultry feed deliveries comprise internal traffic, i.e. do not require use of the public highway. Such equates to 11 No. goods/agricultural vehicles accessing the poultry farm each week.</w:t>
      </w:r>
    </w:p>
    <w:p w14:paraId="204C76E0" w14:textId="77777777" w:rsidR="003470E5" w:rsidRDefault="003470E5" w:rsidP="003470E5">
      <w:pPr>
        <w:pStyle w:val="NoSpacing"/>
      </w:pPr>
    </w:p>
    <w:p w14:paraId="30793775" w14:textId="77777777" w:rsidR="003470E5" w:rsidRDefault="003470E5" w:rsidP="003470E5">
      <w:pPr>
        <w:pStyle w:val="NoSpacing"/>
        <w:ind w:left="720" w:hanging="720"/>
      </w:pPr>
      <w:r>
        <w:t>4.30</w:t>
      </w:r>
      <w:r>
        <w:tab/>
        <w:t>The proposal will safeguard existing jobs and will not require employment of additional staff. The above operational vehicle trip data does not therefore account for employee derived commuter traffic.</w:t>
      </w:r>
    </w:p>
    <w:p w14:paraId="3551534E" w14:textId="77777777" w:rsidR="003470E5" w:rsidRDefault="003470E5" w:rsidP="003470E5">
      <w:pPr>
        <w:pStyle w:val="NoSpacing"/>
      </w:pPr>
    </w:p>
    <w:p w14:paraId="0BF59BF9" w14:textId="77777777" w:rsidR="003470E5" w:rsidRPr="009704AA" w:rsidRDefault="003470E5" w:rsidP="003470E5">
      <w:pPr>
        <w:pStyle w:val="NoSpacing"/>
        <w:ind w:left="720" w:hanging="720"/>
      </w:pPr>
      <w:r>
        <w:t>4.31</w:t>
      </w:r>
      <w:r>
        <w:tab/>
      </w:r>
      <w:r w:rsidRPr="009704AA">
        <w:t>The operational trip generation data does not take into account the proposed development's construction phase. This will be a short term event (estimated 17 weeks). Trip data is currently unavailable.</w:t>
      </w:r>
    </w:p>
    <w:p w14:paraId="686D619E" w14:textId="77777777" w:rsidR="003470E5" w:rsidRDefault="003470E5" w:rsidP="003470E5">
      <w:pPr>
        <w:pStyle w:val="NoSpacing"/>
      </w:pPr>
    </w:p>
    <w:p w14:paraId="4746D326" w14:textId="77777777" w:rsidR="003470E5" w:rsidRDefault="003470E5" w:rsidP="003470E5">
      <w:pPr>
        <w:pStyle w:val="NoSpacing"/>
        <w:ind w:left="720" w:hanging="720"/>
      </w:pPr>
      <w:r>
        <w:t>4.32</w:t>
      </w:r>
      <w:r>
        <w:tab/>
        <w:t>On the basis of the above, there is every reason to believe that the local highway network will amply and safely accommodate cumulative levels of vehicular activity arising from the proposed development/operation. It is not anticipated that traffic generation will have any tangible impact upon levels of amenity afforded by outlying occupants/local communities.</w:t>
      </w:r>
    </w:p>
    <w:p w14:paraId="031F301A" w14:textId="77777777" w:rsidR="003470E5" w:rsidRDefault="003470E5" w:rsidP="003470E5">
      <w:pPr>
        <w:pStyle w:val="NoSpacing"/>
      </w:pPr>
    </w:p>
    <w:p w14:paraId="5E84FA02" w14:textId="77777777" w:rsidR="003470E5" w:rsidRDefault="003470E5" w:rsidP="003470E5">
      <w:pPr>
        <w:pStyle w:val="NoSpacing"/>
      </w:pPr>
    </w:p>
    <w:p w14:paraId="2E781125" w14:textId="77777777" w:rsidR="003470E5" w:rsidRDefault="003470E5" w:rsidP="003470E5">
      <w:pPr>
        <w:pStyle w:val="NoSpacing"/>
      </w:pPr>
    </w:p>
    <w:p w14:paraId="4F3690EE" w14:textId="77777777" w:rsidR="003470E5" w:rsidRPr="006245CC" w:rsidRDefault="003470E5" w:rsidP="003470E5">
      <w:pPr>
        <w:pStyle w:val="NoSpacing"/>
        <w:ind w:firstLine="720"/>
        <w:rPr>
          <w:b/>
          <w:bCs/>
          <w:u w:val="single"/>
        </w:rPr>
      </w:pPr>
      <w:r w:rsidRPr="006245CC">
        <w:rPr>
          <w:b/>
          <w:bCs/>
          <w:u w:val="single"/>
        </w:rPr>
        <w:t>Noise</w:t>
      </w:r>
    </w:p>
    <w:p w14:paraId="7B62E827" w14:textId="77777777" w:rsidR="003470E5" w:rsidRDefault="003470E5" w:rsidP="003470E5">
      <w:pPr>
        <w:pStyle w:val="NoSpacing"/>
      </w:pPr>
    </w:p>
    <w:p w14:paraId="1C711D60" w14:textId="77777777" w:rsidR="003470E5" w:rsidRDefault="003470E5" w:rsidP="003470E5">
      <w:pPr>
        <w:pStyle w:val="NoSpacing"/>
        <w:ind w:left="720" w:hanging="720"/>
      </w:pPr>
      <w:r>
        <w:t>4.33</w:t>
      </w:r>
      <w:r>
        <w:tab/>
        <w:t>Operation of the new poultry unit will give rise to various potential sources of noise. Such will be experienced by outlying receptors in cumulation with existing retained broiler units 1 - 5. Noise emission sources primarily include:</w:t>
      </w:r>
    </w:p>
    <w:p w14:paraId="3A80B36F" w14:textId="77777777" w:rsidR="003470E5" w:rsidRDefault="003470E5" w:rsidP="003470E5">
      <w:pPr>
        <w:pStyle w:val="NoSpacing"/>
      </w:pPr>
    </w:p>
    <w:p w14:paraId="76706EB4" w14:textId="77777777" w:rsidR="003470E5" w:rsidRDefault="003470E5" w:rsidP="003470E5">
      <w:pPr>
        <w:pStyle w:val="NoSpacing"/>
        <w:numPr>
          <w:ilvl w:val="0"/>
          <w:numId w:val="7"/>
        </w:numPr>
      </w:pPr>
      <w:r>
        <w:t xml:space="preserve">vehicular activity; </w:t>
      </w:r>
    </w:p>
    <w:p w14:paraId="5253F73C" w14:textId="77777777" w:rsidR="003470E5" w:rsidRDefault="003470E5" w:rsidP="003470E5">
      <w:pPr>
        <w:pStyle w:val="NoSpacing"/>
        <w:numPr>
          <w:ilvl w:val="0"/>
          <w:numId w:val="7"/>
        </w:numPr>
      </w:pPr>
      <w:r>
        <w:t xml:space="preserve">climate control and ventilation fans; </w:t>
      </w:r>
    </w:p>
    <w:p w14:paraId="7A409EC5" w14:textId="77777777" w:rsidR="003470E5" w:rsidRDefault="003470E5" w:rsidP="003470E5">
      <w:pPr>
        <w:pStyle w:val="NoSpacing"/>
        <w:numPr>
          <w:ilvl w:val="0"/>
          <w:numId w:val="7"/>
        </w:numPr>
      </w:pPr>
      <w:r>
        <w:t xml:space="preserve">feed silo operation; and </w:t>
      </w:r>
    </w:p>
    <w:p w14:paraId="1C17F3F0" w14:textId="77777777" w:rsidR="003470E5" w:rsidRDefault="003470E5" w:rsidP="003470E5">
      <w:pPr>
        <w:pStyle w:val="NoSpacing"/>
        <w:numPr>
          <w:ilvl w:val="0"/>
          <w:numId w:val="7"/>
        </w:numPr>
      </w:pPr>
      <w:r>
        <w:t>noise generated by the actual poultry.</w:t>
      </w:r>
    </w:p>
    <w:p w14:paraId="5DF60824" w14:textId="77777777" w:rsidR="003470E5" w:rsidRDefault="003470E5" w:rsidP="003470E5">
      <w:pPr>
        <w:pStyle w:val="NoSpacing"/>
      </w:pPr>
    </w:p>
    <w:p w14:paraId="42A331A2" w14:textId="77777777" w:rsidR="003470E5" w:rsidRDefault="003470E5" w:rsidP="003470E5">
      <w:pPr>
        <w:pStyle w:val="NoSpacing"/>
        <w:ind w:left="720" w:hanging="720"/>
      </w:pPr>
      <w:r>
        <w:t>4.34</w:t>
      </w:r>
      <w:r>
        <w:tab/>
        <w:t>Baseline sound levels attributed to vehicular activity, feed silo operation and poultry noise can be gauged through appraisal of the existing poultry farm.</w:t>
      </w:r>
      <w:r w:rsidRPr="00B43C3D">
        <w:t xml:space="preserve"> </w:t>
      </w:r>
      <w:r>
        <w:t>Noise attributed to vehicles and operations such as bird collection, restocking, cleaning, loading of feed silos etc. will be relatively infrequent in nature. As detailed in the above ‘Transportation’ section of this report, the proposed scheme will not entail a significant increase in vehicle trip generation. The actual number of vehicles accessing the poultry farm subsequent to the proposed development is relatively small (</w:t>
      </w:r>
      <w:r w:rsidRPr="00D07E85">
        <w:t xml:space="preserve">averaging approx. 1.5 </w:t>
      </w:r>
      <w:r w:rsidRPr="00D07E85">
        <w:lastRenderedPageBreak/>
        <w:t>HGV’s accessing the site each day</w:t>
      </w:r>
      <w:r>
        <w:t xml:space="preserve">). Indeed, the proposed scheme will represent an improvement over existing acoustic conditions. The application site is presently host to 13 No. livestock units capable of accommodating 8558 pigs. This is in addition to the adjacent 5 No. broiler poultry houses. Present levels of combined vehicular activity are significantly higher. Trip generation will reduce substantially as a result of the proposed development with vehicular derived noise also reducing in direct correlation.  </w:t>
      </w:r>
    </w:p>
    <w:p w14:paraId="09B3E48E" w14:textId="77777777" w:rsidR="003470E5" w:rsidRDefault="003470E5" w:rsidP="003470E5">
      <w:pPr>
        <w:pStyle w:val="NoSpacing"/>
      </w:pPr>
    </w:p>
    <w:p w14:paraId="5553C0C0" w14:textId="77777777" w:rsidR="003470E5" w:rsidRDefault="003470E5" w:rsidP="003470E5">
      <w:pPr>
        <w:pStyle w:val="NoSpacing"/>
        <w:ind w:left="720" w:hanging="720"/>
      </w:pPr>
      <w:r>
        <w:t>4.35</w:t>
      </w:r>
      <w:r>
        <w:tab/>
        <w:t xml:space="preserve">The proposed poultry house will incorporate 30 No. roof mounted electrical fan housings. These are relatively small and engineered to </w:t>
      </w:r>
      <w:r w:rsidRPr="00907903">
        <w:t>gene</w:t>
      </w:r>
      <w:r>
        <w:t xml:space="preserve">rate very low levels of noise. </w:t>
      </w:r>
      <w:r w:rsidRPr="00907903">
        <w:t>The</w:t>
      </w:r>
      <w:r>
        <w:t xml:space="preserve"> </w:t>
      </w:r>
      <w:r w:rsidRPr="00907903">
        <w:t xml:space="preserve">fans </w:t>
      </w:r>
      <w:r>
        <w:t>will be integrated with</w:t>
      </w:r>
      <w:r w:rsidRPr="00907903">
        <w:t xml:space="preserve"> an automatic clim</w:t>
      </w:r>
      <w:r>
        <w:t>ate control system that regulates</w:t>
      </w:r>
      <w:r w:rsidRPr="00907903">
        <w:t xml:space="preserve"> temperature</w:t>
      </w:r>
      <w:r>
        <w:t>s</w:t>
      </w:r>
      <w:r w:rsidRPr="00907903">
        <w:t xml:space="preserve"> in the building</w:t>
      </w:r>
      <w:r>
        <w:t>s</w:t>
      </w:r>
      <w:r w:rsidRPr="00907903">
        <w:t xml:space="preserve">. </w:t>
      </w:r>
      <w:r>
        <w:t>T</w:t>
      </w:r>
      <w:r w:rsidRPr="00907903">
        <w:t>he fan manufacturers</w:t>
      </w:r>
      <w:r w:rsidRPr="005B0224">
        <w:t xml:space="preserve"> specify that the sound level of 5</w:t>
      </w:r>
      <w:r>
        <w:t xml:space="preserve">0 </w:t>
      </w:r>
      <w:r w:rsidRPr="005B0224">
        <w:t xml:space="preserve">dBA will be emitted at a distance of 7 metres </w:t>
      </w:r>
      <w:r w:rsidRPr="00907903">
        <w:t>from each fan</w:t>
      </w:r>
      <w:r>
        <w:t xml:space="preserve"> when operating at maximum capacity (on rare occasions during summer months near the end of crop cycles)</w:t>
      </w:r>
      <w:r w:rsidRPr="00907903">
        <w:t>.</w:t>
      </w:r>
      <w:r>
        <w:t xml:space="preserve"> The existing poultry units include a combined 150 No. roof ridge ventilation fans of similar specification (180 fans in cumulation). It should however be noted that the proposal will result in removal of 4 No. pig units fitted with more substantial older generation roof ridge mounted capped ventilation fans (24 fans in total). Changes to ventilation derived noise emissions will not therefore be significant.   </w:t>
      </w:r>
    </w:p>
    <w:p w14:paraId="09166330" w14:textId="77777777" w:rsidR="003470E5" w:rsidRDefault="003470E5" w:rsidP="003470E5">
      <w:pPr>
        <w:pStyle w:val="NoSpacing"/>
      </w:pPr>
    </w:p>
    <w:p w14:paraId="3AE7EF52" w14:textId="77777777" w:rsidR="003470E5" w:rsidRDefault="003470E5" w:rsidP="003470E5">
      <w:pPr>
        <w:pStyle w:val="NoSpacing"/>
        <w:ind w:left="720" w:hanging="720"/>
      </w:pPr>
      <w:r>
        <w:rPr>
          <w:bCs/>
          <w:szCs w:val="24"/>
        </w:rPr>
        <w:t>4.36</w:t>
      </w:r>
      <w:r>
        <w:rPr>
          <w:bCs/>
          <w:szCs w:val="24"/>
        </w:rPr>
        <w:tab/>
        <w:t xml:space="preserve">The actual poultry housed within the proposed unit will technically generate noise, though the building provides a high level of attenuation and the typical decibel output of such is considered </w:t>
      </w:r>
      <w:r w:rsidRPr="00297311">
        <w:rPr>
          <w:bCs/>
          <w:i/>
          <w:szCs w:val="24"/>
        </w:rPr>
        <w:t>de minimis</w:t>
      </w:r>
      <w:r>
        <w:rPr>
          <w:bCs/>
          <w:szCs w:val="24"/>
        </w:rPr>
        <w:t xml:space="preserve"> and thus of no significance. However, pigs accommodated within the livestock units proposed for demolition/decommissioning are prone to generating higher volume noise emissions. </w:t>
      </w:r>
      <w:r>
        <w:t xml:space="preserve">A pig ‘squeal’ can typically reach between 110 and 115 decibels. Evidently the proposed development will prompt the removal of this potential source of disturbance. </w:t>
      </w:r>
    </w:p>
    <w:p w14:paraId="6ED4F02F" w14:textId="77777777" w:rsidR="003470E5" w:rsidRDefault="003470E5" w:rsidP="003470E5">
      <w:pPr>
        <w:pStyle w:val="NoSpacing"/>
      </w:pPr>
    </w:p>
    <w:p w14:paraId="7A0F1B47" w14:textId="77777777" w:rsidR="003470E5" w:rsidRDefault="003470E5" w:rsidP="003470E5">
      <w:pPr>
        <w:pStyle w:val="NoSpacing"/>
        <w:ind w:left="720" w:hanging="720"/>
      </w:pPr>
      <w:r>
        <w:t>4.37</w:t>
      </w:r>
      <w:r>
        <w:tab/>
        <w:t>The application site is sufficiently remote from sensitive receptors, such as dwellings in conventional residential use. It should be noted that neighbouring properties to the north of the existing/proposed poultry units are associated with the farm and occupied by employees. The most proximate conventional residential receptor comprises Skinnand Manor, which is situated in excess of 400 metres to the southwest of the site. Regardless, overall noise emissions are expected to reduce as a result of the development. It is not therefore anticipated that the proposed scheme will give rise to noise related disturbance either in isolation or cumulation with the established broiler poultry units.</w:t>
      </w:r>
    </w:p>
    <w:p w14:paraId="30967BB0" w14:textId="77777777" w:rsidR="003470E5" w:rsidRDefault="003470E5" w:rsidP="003470E5">
      <w:pPr>
        <w:pStyle w:val="NoSpacing"/>
      </w:pPr>
    </w:p>
    <w:p w14:paraId="1813E362" w14:textId="77777777" w:rsidR="003470E5" w:rsidRPr="006245CC" w:rsidRDefault="003470E5" w:rsidP="003470E5">
      <w:pPr>
        <w:pStyle w:val="NoSpacing"/>
        <w:ind w:firstLine="720"/>
        <w:rPr>
          <w:b/>
          <w:bCs/>
          <w:u w:val="single"/>
        </w:rPr>
      </w:pPr>
      <w:r w:rsidRPr="006245CC">
        <w:rPr>
          <w:b/>
          <w:bCs/>
          <w:u w:val="single"/>
        </w:rPr>
        <w:t>Air Quality</w:t>
      </w:r>
    </w:p>
    <w:p w14:paraId="4E06F547" w14:textId="77777777" w:rsidR="003470E5" w:rsidRDefault="003470E5" w:rsidP="003470E5">
      <w:pPr>
        <w:pStyle w:val="NoSpacing"/>
      </w:pPr>
    </w:p>
    <w:p w14:paraId="7BFC73FD" w14:textId="77777777" w:rsidR="003470E5" w:rsidRDefault="003470E5" w:rsidP="003470E5">
      <w:pPr>
        <w:pStyle w:val="NoSpacing"/>
        <w:ind w:left="720" w:hanging="720"/>
      </w:pPr>
      <w:r>
        <w:t>4.38</w:t>
      </w:r>
      <w:r>
        <w:tab/>
        <w:t xml:space="preserve">The proposed development will facilitate expansion of Barn Farm’s broiler poultry enterprise resultant in 5 No. existing broiler units, which accommodate a combined 200,000 chickens, being complemented by a new 40,000 bird broiler poultry house. The proposal will therefore allow total broiler places to increase to 240,000 chickens per crop cycle (with approximately 7.5 crop cycles per annum). The development will also entail ceasing/removal of the current pig farming operation, which presently involves up to 478 breeding sows and 8080 pigs for rearing/fattening being accommodated across 13 No. livestock units within the central and southern confines of the application site. The assessment of air quality therefore accounts for both baseline conditions (200,000 broilers in combination with 8558 pigs) and proposed changes </w:t>
      </w:r>
      <w:r>
        <w:lastRenderedPageBreak/>
        <w:t>resultant in removal of the pig units, retention of broiler poultry units 1 – 5 and introduction of the new poultry house.</w:t>
      </w:r>
    </w:p>
    <w:p w14:paraId="1EFAB0E4" w14:textId="77777777" w:rsidR="003470E5" w:rsidRDefault="003470E5" w:rsidP="003470E5">
      <w:pPr>
        <w:pStyle w:val="NoSpacing"/>
      </w:pPr>
    </w:p>
    <w:p w14:paraId="1260D799" w14:textId="77777777" w:rsidR="003470E5" w:rsidRDefault="003470E5" w:rsidP="003470E5">
      <w:pPr>
        <w:pStyle w:val="NoSpacing"/>
        <w:ind w:left="720" w:hanging="720"/>
      </w:pPr>
      <w:r>
        <w:t>4.39</w:t>
      </w:r>
      <w:r>
        <w:tab/>
        <w:t>It should be noted that the established broiler rearing farm is a specialist closely managed operation synonymous with high standards of animal welfare, climatic regulation, cleanliness and biosecurity. In terms of air quality, such operations therefore typically achieve good levels of environmental compatibility.</w:t>
      </w:r>
      <w:r w:rsidRPr="00216D03">
        <w:t xml:space="preserve"> </w:t>
      </w:r>
      <w:r>
        <w:t>Adverse impacts upon air quality arise from gaseous, particulate and volatile organic compounds. All of these can result in foul odour and pollution. Odour, gaseous and particulate emissions from poultry units typically derive</w:t>
      </w:r>
      <w:r w:rsidRPr="00DA4878">
        <w:t xml:space="preserve"> </w:t>
      </w:r>
      <w:r>
        <w:t xml:space="preserve">from </w:t>
      </w:r>
      <w:r w:rsidRPr="00DA4878">
        <w:t xml:space="preserve">a number of sources. </w:t>
      </w:r>
      <w:r>
        <w:t>Primarily, they are</w:t>
      </w:r>
      <w:r w:rsidRPr="00DA4878">
        <w:t xml:space="preserve"> caused by the </w:t>
      </w:r>
      <w:r>
        <w:t>breakdown of faeces and urine in combination with w</w:t>
      </w:r>
      <w:r w:rsidRPr="00DA4878">
        <w:t xml:space="preserve">aste food spilt onto floors, the scent glands of animals and the </w:t>
      </w:r>
      <w:r>
        <w:t xml:space="preserve">actual </w:t>
      </w:r>
      <w:r w:rsidRPr="00DA4878">
        <w:t>animal feed</w:t>
      </w:r>
      <w:r>
        <w:t xml:space="preserve">. </w:t>
      </w:r>
      <w:r w:rsidRPr="00DA4878">
        <w:t xml:space="preserve">The following factors </w:t>
      </w:r>
      <w:r>
        <w:t>also typically contribute to gaseous, odorous</w:t>
      </w:r>
      <w:r w:rsidRPr="00DA4878">
        <w:t xml:space="preserve"> </w:t>
      </w:r>
      <w:r>
        <w:t xml:space="preserve">and particulate </w:t>
      </w:r>
      <w:r w:rsidRPr="00DA4878">
        <w:t>emiss</w:t>
      </w:r>
      <w:r>
        <w:t>ions from poultry units:</w:t>
      </w:r>
    </w:p>
    <w:p w14:paraId="283BC7F9" w14:textId="77777777" w:rsidR="003470E5" w:rsidRDefault="003470E5" w:rsidP="003470E5">
      <w:pPr>
        <w:pStyle w:val="NoSpacing"/>
      </w:pPr>
    </w:p>
    <w:p w14:paraId="18736890" w14:textId="77777777" w:rsidR="003470E5" w:rsidRDefault="003470E5" w:rsidP="003470E5">
      <w:pPr>
        <w:pStyle w:val="NoSpacing"/>
        <w:numPr>
          <w:ilvl w:val="0"/>
          <w:numId w:val="8"/>
        </w:numPr>
      </w:pPr>
      <w:r w:rsidRPr="00DA4878">
        <w:t>Any build-up of slurry or manure on concrete areas around buildings;</w:t>
      </w:r>
    </w:p>
    <w:p w14:paraId="1E7F0C45" w14:textId="77777777" w:rsidR="003470E5" w:rsidRDefault="003470E5" w:rsidP="003470E5">
      <w:pPr>
        <w:pStyle w:val="NoSpacing"/>
        <w:numPr>
          <w:ilvl w:val="0"/>
          <w:numId w:val="8"/>
        </w:numPr>
      </w:pPr>
      <w:r w:rsidRPr="00DA4878">
        <w:t>The removal and disposal of dead animals;</w:t>
      </w:r>
    </w:p>
    <w:p w14:paraId="0B067023" w14:textId="77777777" w:rsidR="003470E5" w:rsidRDefault="003470E5" w:rsidP="003470E5">
      <w:pPr>
        <w:pStyle w:val="NoSpacing"/>
        <w:numPr>
          <w:ilvl w:val="0"/>
          <w:numId w:val="8"/>
        </w:numPr>
      </w:pPr>
      <w:r w:rsidRPr="00DA4878">
        <w:t>The maintenance of drains;</w:t>
      </w:r>
    </w:p>
    <w:p w14:paraId="1108A39E" w14:textId="77777777" w:rsidR="003470E5" w:rsidRDefault="003470E5" w:rsidP="003470E5">
      <w:pPr>
        <w:pStyle w:val="NoSpacing"/>
        <w:numPr>
          <w:ilvl w:val="0"/>
          <w:numId w:val="8"/>
        </w:numPr>
      </w:pPr>
      <w:r w:rsidRPr="00DA4878">
        <w:t>The cleanliness of bedding</w:t>
      </w:r>
      <w:r>
        <w:t>;</w:t>
      </w:r>
    </w:p>
    <w:p w14:paraId="1379A105" w14:textId="77777777" w:rsidR="003470E5" w:rsidRDefault="003470E5" w:rsidP="003470E5">
      <w:pPr>
        <w:pStyle w:val="NoSpacing"/>
        <w:numPr>
          <w:ilvl w:val="0"/>
          <w:numId w:val="8"/>
        </w:numPr>
      </w:pPr>
      <w:r>
        <w:t>The cleanliness of the poultry house;</w:t>
      </w:r>
    </w:p>
    <w:p w14:paraId="3C22EE45" w14:textId="77777777" w:rsidR="003470E5" w:rsidRDefault="003470E5" w:rsidP="003470E5">
      <w:pPr>
        <w:pStyle w:val="NoSpacing"/>
        <w:numPr>
          <w:ilvl w:val="0"/>
          <w:numId w:val="8"/>
        </w:numPr>
      </w:pPr>
      <w:r w:rsidRPr="00DA4878">
        <w:t>The management of drinking systems, with particular emphasis on frequently adjusting nipple and drip cups to birds eye level to avoid spillage and wet litter;</w:t>
      </w:r>
    </w:p>
    <w:p w14:paraId="231BA269" w14:textId="77777777" w:rsidR="003470E5" w:rsidRDefault="003470E5" w:rsidP="003470E5">
      <w:pPr>
        <w:pStyle w:val="NoSpacing"/>
        <w:numPr>
          <w:ilvl w:val="0"/>
          <w:numId w:val="8"/>
        </w:numPr>
      </w:pPr>
      <w:r w:rsidRPr="00DA4878">
        <w:t>The stocking density;</w:t>
      </w:r>
    </w:p>
    <w:p w14:paraId="76326BB6" w14:textId="77777777" w:rsidR="003470E5" w:rsidRDefault="003470E5" w:rsidP="003470E5">
      <w:pPr>
        <w:pStyle w:val="NoSpacing"/>
        <w:numPr>
          <w:ilvl w:val="0"/>
          <w:numId w:val="8"/>
        </w:numPr>
      </w:pPr>
      <w:r w:rsidRPr="00DA4878">
        <w:t>The moisture content of the litter;</w:t>
      </w:r>
    </w:p>
    <w:p w14:paraId="075B0F98" w14:textId="77777777" w:rsidR="003470E5" w:rsidRDefault="003470E5" w:rsidP="003470E5">
      <w:pPr>
        <w:pStyle w:val="NoSpacing"/>
        <w:numPr>
          <w:ilvl w:val="0"/>
          <w:numId w:val="8"/>
        </w:numPr>
      </w:pPr>
      <w:r w:rsidRPr="00DA4878">
        <w:t>The insulation of the buildings and the long-term maintenance of that insulation;</w:t>
      </w:r>
    </w:p>
    <w:p w14:paraId="4B71F20A" w14:textId="77777777" w:rsidR="003470E5" w:rsidRDefault="003470E5" w:rsidP="003470E5">
      <w:pPr>
        <w:pStyle w:val="NoSpacing"/>
        <w:numPr>
          <w:ilvl w:val="0"/>
          <w:numId w:val="8"/>
        </w:numPr>
      </w:pPr>
      <w:r>
        <w:t>The</w:t>
      </w:r>
      <w:r w:rsidRPr="00DA4878">
        <w:t xml:space="preserve"> ventilation system;</w:t>
      </w:r>
    </w:p>
    <w:p w14:paraId="6D5F4FD5" w14:textId="77777777" w:rsidR="003470E5" w:rsidRDefault="003470E5" w:rsidP="003470E5">
      <w:pPr>
        <w:pStyle w:val="NoSpacing"/>
        <w:numPr>
          <w:ilvl w:val="0"/>
          <w:numId w:val="8"/>
        </w:numPr>
      </w:pPr>
      <w:r w:rsidRPr="00DA4878">
        <w:t>The type of heating;</w:t>
      </w:r>
      <w:r>
        <w:t xml:space="preserve"> and</w:t>
      </w:r>
    </w:p>
    <w:p w14:paraId="7C869549" w14:textId="77777777" w:rsidR="003470E5" w:rsidRDefault="003470E5" w:rsidP="003470E5">
      <w:pPr>
        <w:pStyle w:val="NoSpacing"/>
        <w:numPr>
          <w:ilvl w:val="0"/>
          <w:numId w:val="8"/>
        </w:numPr>
      </w:pPr>
      <w:r w:rsidRPr="00DA4878">
        <w:t>The composition of the feed, particularly its oil and fat content.</w:t>
      </w:r>
    </w:p>
    <w:p w14:paraId="521A1BE9" w14:textId="77777777" w:rsidR="003470E5" w:rsidRDefault="003470E5" w:rsidP="003470E5">
      <w:pPr>
        <w:pStyle w:val="NoSpacing"/>
        <w:ind w:left="1080"/>
      </w:pPr>
    </w:p>
    <w:p w14:paraId="4EADA65D" w14:textId="77777777" w:rsidR="003470E5" w:rsidRDefault="003470E5" w:rsidP="003470E5">
      <w:pPr>
        <w:pStyle w:val="NoSpacing"/>
        <w:ind w:left="720" w:hanging="720"/>
      </w:pPr>
      <w:r>
        <w:t>4.40</w:t>
      </w:r>
      <w:r>
        <w:tab/>
        <w:t>In light of the above, it can be noted that the floor</w:t>
      </w:r>
      <w:r w:rsidRPr="00277CDE">
        <w:t xml:space="preserve"> of </w:t>
      </w:r>
      <w:r>
        <w:t xml:space="preserve">the proposed </w:t>
      </w:r>
      <w:r w:rsidRPr="00277CDE">
        <w:t xml:space="preserve">unit will be constructed of </w:t>
      </w:r>
      <w:r>
        <w:t xml:space="preserve">impermeable </w:t>
      </w:r>
      <w:r w:rsidRPr="00277CDE">
        <w:t>concrete</w:t>
      </w:r>
      <w:r>
        <w:t xml:space="preserve"> and poultry litter accumulating thereon will be removed at the end of each rearing cycle.</w:t>
      </w:r>
      <w:r w:rsidRPr="00277CDE">
        <w:t xml:space="preserve"> </w:t>
      </w:r>
      <w:r>
        <w:t>The unit will be automatically temperature controlled via a series of vents and roof mounted ventilation fans, which are designed to regulate air flow through the building. The electrical fans integrated into roof mounted chimney stacks will facilitate high velocity extraction. This system reduces the levels of odour and ammonia emissions by ensuring that the litter has a low moisture content of approximately 35% to 40%. Such also ensures effective emission dispersion.</w:t>
      </w:r>
    </w:p>
    <w:p w14:paraId="76D42D20" w14:textId="77777777" w:rsidR="003470E5" w:rsidRDefault="003470E5" w:rsidP="003470E5">
      <w:pPr>
        <w:pStyle w:val="NoSpacing"/>
      </w:pPr>
    </w:p>
    <w:p w14:paraId="44D421AE" w14:textId="77777777" w:rsidR="003470E5" w:rsidRDefault="003470E5" w:rsidP="003470E5">
      <w:pPr>
        <w:pStyle w:val="NoSpacing"/>
        <w:ind w:left="720" w:hanging="720"/>
      </w:pPr>
      <w:r>
        <w:t>4.41</w:t>
      </w:r>
      <w:r>
        <w:tab/>
        <w:t>Particulate matter/dust pollution will be minimised by 'control at source' measures. In accordance with EA guidance, t</w:t>
      </w:r>
      <w:r w:rsidRPr="00C901DB">
        <w:t>he</w:t>
      </w:r>
      <w:r>
        <w:t>se include: the use of wood shaving</w:t>
      </w:r>
      <w:r w:rsidRPr="00C901DB">
        <w:t xml:space="preserve"> bedding (as</w:t>
      </w:r>
      <w:r>
        <w:t xml:space="preserve"> opposed to wheat or barley straw);</w:t>
      </w:r>
      <w:r w:rsidRPr="00C901DB">
        <w:t xml:space="preserve"> use of feed pellets (where in</w:t>
      </w:r>
      <w:r>
        <w:t>gredients are less dusty by virtue of</w:t>
      </w:r>
      <w:r w:rsidRPr="00C901DB">
        <w:t xml:space="preserve"> being bound together), and good management including rigorous cleaning of units at the end of cycles and</w:t>
      </w:r>
      <w:r>
        <w:t>,</w:t>
      </w:r>
      <w:r w:rsidRPr="00C901DB">
        <w:t xml:space="preserve"> </w:t>
      </w:r>
      <w:r>
        <w:t>when birds are in situ, via regular use of</w:t>
      </w:r>
      <w:r w:rsidRPr="00C901DB">
        <w:t xml:space="preserve"> </w:t>
      </w:r>
      <w:r>
        <w:t xml:space="preserve">industrial </w:t>
      </w:r>
      <w:r w:rsidRPr="00C901DB">
        <w:t>vacuum cle</w:t>
      </w:r>
      <w:r>
        <w:t>aner systems to remove dust build up. DEFRA guidance on local air quality indicates that, given the cumulative scale of the proposed development/operation and the application site's remoteness from sensitive receptors, adverse effects arising from release of particulate matter are considered to be highly improbable.</w:t>
      </w:r>
    </w:p>
    <w:p w14:paraId="191CF032" w14:textId="77777777" w:rsidR="003470E5" w:rsidRDefault="003470E5" w:rsidP="003470E5">
      <w:pPr>
        <w:pStyle w:val="NoSpacing"/>
      </w:pPr>
    </w:p>
    <w:p w14:paraId="06377BCB" w14:textId="77777777" w:rsidR="003470E5" w:rsidRDefault="003470E5" w:rsidP="003470E5">
      <w:pPr>
        <w:pStyle w:val="NoSpacing"/>
        <w:ind w:firstLine="720"/>
      </w:pPr>
      <w:r w:rsidRPr="003321AB">
        <w:rPr>
          <w:u w:val="single"/>
        </w:rPr>
        <w:t>Odour Impact</w:t>
      </w:r>
    </w:p>
    <w:p w14:paraId="1994D51E" w14:textId="77777777" w:rsidR="003470E5" w:rsidRDefault="003470E5" w:rsidP="003470E5">
      <w:pPr>
        <w:pStyle w:val="NoSpacing"/>
      </w:pPr>
    </w:p>
    <w:p w14:paraId="7DC0A67A" w14:textId="77777777" w:rsidR="003470E5" w:rsidRDefault="003470E5" w:rsidP="003470E5">
      <w:pPr>
        <w:pStyle w:val="NoSpacing"/>
        <w:ind w:left="720" w:hanging="720"/>
      </w:pPr>
      <w:r>
        <w:lastRenderedPageBreak/>
        <w:t>4.42</w:t>
      </w:r>
      <w:r>
        <w:tab/>
        <w:t xml:space="preserve">Air quality specialists AS Modelling &amp; Data Ltd were commissioned in order to assess the potential cumulative odour impact of the proposed development/operation upon outlying sensitive receptors. The following should be read in conjunction with the accompanying report: </w:t>
      </w:r>
      <w:r w:rsidRPr="00463DEC">
        <w:rPr>
          <w:i/>
          <w:iCs/>
        </w:rPr>
        <w:t>AS modelling &amp; Data Ltd, 2021,</w:t>
      </w:r>
      <w:r w:rsidRPr="00670866">
        <w:t xml:space="preserve"> </w:t>
      </w:r>
      <w:r w:rsidRPr="00670866">
        <w:rPr>
          <w:i/>
          <w:iCs/>
        </w:rPr>
        <w:t>A Dispersion Modelling Study of the Impact of Odour from the Existing Pig Rearing Houses and the Existing and Proposed Broiler Chicken Rearing Houses at Navenby Lowfields, near Navenby in Lincolnshire</w:t>
      </w:r>
      <w:r>
        <w:t>.</w:t>
      </w:r>
    </w:p>
    <w:p w14:paraId="62BF9A91" w14:textId="77777777" w:rsidR="003470E5" w:rsidRDefault="003470E5" w:rsidP="003470E5">
      <w:pPr>
        <w:pStyle w:val="NoSpacing"/>
      </w:pPr>
    </w:p>
    <w:p w14:paraId="6B999D71" w14:textId="77777777" w:rsidR="003470E5" w:rsidRDefault="003470E5" w:rsidP="003470E5">
      <w:pPr>
        <w:pStyle w:val="NoSpacing"/>
        <w:ind w:left="720" w:hanging="720"/>
      </w:pPr>
      <w:r>
        <w:t>4.43</w:t>
      </w:r>
      <w:r>
        <w:tab/>
        <w:t>As previously stated, the existing (retained) broiler poultry units can theoretically rear up to 200,000 chickens over the course of 38 days followed by a 7+ day cleaning/restocking period. The proposed development will introduce a new 40,000 bird capacity unit operating over the same crop cycle, resultant in the farm collectively accommodating a maximum of 240,000 broiler chickens. The proposed scheme will also result in the existing farming operation ceasing with nine livestock units being removed and retained pig units being decommissioned to allow use for agricultural storage purposes. The cumulative odour impact of the proposed scheme was accordingly assessed on this basis.</w:t>
      </w:r>
    </w:p>
    <w:p w14:paraId="7F39E00C" w14:textId="77777777" w:rsidR="003470E5" w:rsidRDefault="003470E5" w:rsidP="003470E5">
      <w:pPr>
        <w:pStyle w:val="NoSpacing"/>
      </w:pPr>
    </w:p>
    <w:p w14:paraId="6A55310E" w14:textId="77777777" w:rsidR="003470E5" w:rsidRDefault="003470E5" w:rsidP="003470E5">
      <w:pPr>
        <w:pStyle w:val="NoSpacing"/>
        <w:ind w:left="720" w:hanging="720"/>
      </w:pPr>
      <w:r>
        <w:t>4.44</w:t>
      </w:r>
      <w:r>
        <w:tab/>
        <w:t>With specific reference to odour emissions, it should be noted that the potential for volatile organic (odorous) compounds increases as the crop cycle progresses. There is greater potential for odour release nearing the end of a crop cycle, when the birds are full grown and bedding has been in place for several weeks. Reliance upon ventilation systems therefore increases as the crop cycle progresses. Odour emissions should be regarded as cyclic (not constant) and in part affected by climatic conditions.</w:t>
      </w:r>
    </w:p>
    <w:p w14:paraId="6147DA4C" w14:textId="77777777" w:rsidR="003470E5" w:rsidRDefault="003470E5" w:rsidP="003470E5">
      <w:pPr>
        <w:pStyle w:val="NoSpacing"/>
      </w:pPr>
    </w:p>
    <w:p w14:paraId="1C8E8B40" w14:textId="77777777" w:rsidR="003470E5" w:rsidRDefault="003470E5" w:rsidP="003470E5">
      <w:pPr>
        <w:pStyle w:val="NoSpacing"/>
        <w:ind w:left="720" w:hanging="720"/>
      </w:pPr>
      <w:r>
        <w:t>4.45</w:t>
      </w:r>
      <w:r>
        <w:tab/>
        <w:t>Cumulative odour emissions anticipated to arise from the poultry farm development/operation were applied to an Atmospheric Dispersion Modelling System (ADMS 5 - which utilises the latest generation Gaussian plume modelling system) in order to accurately predict distribution and concentrations around the locality of the application site. As noted within section 4.4 of the submitted report, nine discrete receptors have been defined at a selection of nearby residences and commercial properties. The receptors are defined at 1.5 m above ground level within ADMS and their positions may be seen below (where they are marked by enumerated pink rectangles). It should be noted that receptors 1 to 5 comprise farmhouses/commercial premises under ownership of the applicant and directly associated with the farm business. These not therefore regarded as conventional sensitive receptors. Receptor 6 identifies commercial premises used for the fabrication of machinery. This property is under applicant ownership though not directly linked to the farm business. Somerton Castle has been denoted as Receptor 9. This domestic property comprises the principal farmhouse, being under applicant ownership and occupation.</w:t>
      </w:r>
    </w:p>
    <w:p w14:paraId="2380D079" w14:textId="77777777" w:rsidR="003470E5" w:rsidRDefault="003470E5" w:rsidP="003470E5">
      <w:pPr>
        <w:pStyle w:val="NoSpacing"/>
      </w:pPr>
    </w:p>
    <w:p w14:paraId="1FCA6A9B" w14:textId="77777777" w:rsidR="003470E5" w:rsidRDefault="003470E5" w:rsidP="003470E5">
      <w:pPr>
        <w:pStyle w:val="NoSpacing"/>
        <w:jc w:val="center"/>
      </w:pPr>
      <w:r w:rsidRPr="001C0E09">
        <w:rPr>
          <w:noProof/>
          <w:lang w:eastAsia="en-GB"/>
        </w:rPr>
        <w:lastRenderedPageBreak/>
        <w:drawing>
          <wp:inline distT="0" distB="0" distL="0" distR="0" wp14:anchorId="4876F643" wp14:editId="16D24999">
            <wp:extent cx="4659464" cy="3202672"/>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72810" cy="3211845"/>
                    </a:xfrm>
                    <a:prstGeom prst="rect">
                      <a:avLst/>
                    </a:prstGeom>
                  </pic:spPr>
                </pic:pic>
              </a:graphicData>
            </a:graphic>
          </wp:inline>
        </w:drawing>
      </w:r>
    </w:p>
    <w:p w14:paraId="33687C13" w14:textId="77777777" w:rsidR="003470E5" w:rsidRDefault="003470E5" w:rsidP="003470E5">
      <w:pPr>
        <w:pStyle w:val="NoSpacing"/>
        <w:jc w:val="center"/>
      </w:pPr>
      <w:r>
        <w:rPr>
          <w:rFonts w:ascii="Calibri" w:hAnsi="Calibri"/>
          <w:sz w:val="18"/>
          <w:szCs w:val="18"/>
        </w:rPr>
        <w:t>Extract from Figure 5 indicating locations of 9 identified sensitive odour receptors</w:t>
      </w:r>
    </w:p>
    <w:p w14:paraId="4A6CAE7B" w14:textId="77777777" w:rsidR="003470E5" w:rsidRDefault="003470E5" w:rsidP="003470E5">
      <w:pPr>
        <w:pStyle w:val="NoSpacing"/>
      </w:pPr>
    </w:p>
    <w:p w14:paraId="466E8CC2" w14:textId="77777777" w:rsidR="003470E5" w:rsidRDefault="003470E5" w:rsidP="003470E5">
      <w:pPr>
        <w:pStyle w:val="NoSpacing"/>
        <w:ind w:left="720" w:hanging="720"/>
      </w:pPr>
      <w:r>
        <w:t>4.46</w:t>
      </w:r>
      <w:r>
        <w:tab/>
        <w:t>With regard to the evaluation of odour impact, Section 3.4 of the appended report states:</w:t>
      </w:r>
      <w:r>
        <w:rPr>
          <w:i/>
        </w:rPr>
        <w:t xml:space="preserve"> </w:t>
      </w:r>
      <w:r>
        <w:rPr>
          <w:iCs/>
        </w:rPr>
        <w:t>‘</w:t>
      </w:r>
      <w:r w:rsidRPr="00CB7D1B">
        <w:rPr>
          <w:i/>
          <w:iCs/>
        </w:rPr>
        <w:t>Odours from poultry rearing are usually placed in the moderately offensive category. Therefore, for this study, the Environment Agency’s benchmark for moderately offensive odours, a 98th percentile hourly mean of 3.0 ouE/m3 over a one year period, is used to assess the impact of odour emissions from the proposed poultry unit at potentially sensitive receptors in the surrounding area. The UKWIR research is also considered</w:t>
      </w:r>
      <w:r w:rsidRPr="00AE4E8B">
        <w:t>.</w:t>
      </w:r>
      <w:r>
        <w:t xml:space="preserve">' Any exceedance of the Environment Agency’s </w:t>
      </w:r>
      <w:r w:rsidRPr="00266C4D">
        <w:t>98th percentile hourly mean of 3.0 ouE/m3 over a one year period</w:t>
      </w:r>
      <w:r>
        <w:t xml:space="preserve"> at outlying sensitive receptors should therefore be regarded as significant and potentially detrimental to levels of amenity afforded by occupants.</w:t>
      </w:r>
    </w:p>
    <w:p w14:paraId="1A1AD3C8" w14:textId="77777777" w:rsidR="003470E5" w:rsidRDefault="003470E5" w:rsidP="003470E5">
      <w:pPr>
        <w:pStyle w:val="NoSpacing"/>
      </w:pPr>
    </w:p>
    <w:p w14:paraId="123B6950" w14:textId="77777777" w:rsidR="003470E5" w:rsidRPr="00263FBC" w:rsidRDefault="003470E5" w:rsidP="003470E5">
      <w:pPr>
        <w:pStyle w:val="NoSpacing"/>
        <w:ind w:left="720" w:hanging="720"/>
      </w:pPr>
      <w:r>
        <w:t>4.47</w:t>
      </w:r>
      <w:r>
        <w:tab/>
        <w:t>In order to establish baseline odour conditions, an assessment has been undertaken of the current pig rearing/breeding operation. At the beginning of a growth cycle, when the pigs are smaller, litter/unit flooring is clean and only minimum ventilation is required. Odour emission rates may therefore be small. Towards the end of the growth cycle, odour production within the pig housing increases. The pigs are larger and ventilation requirements are greater and therefore emission rates are considerably greater than at the beginning of a growth cycle.</w:t>
      </w:r>
      <w:r w:rsidRPr="00263FBC">
        <w:t xml:space="preserve"> </w:t>
      </w:r>
      <w:r w:rsidRPr="0016279F">
        <w:t>Peak odour emission rates are likely to occur when pig housing is cleared of manure and spent litter. There is little available information on the magnitude of these peak emissions, but they are likely to be greater than any emission that might occur otherwise.</w:t>
      </w:r>
      <w:r w:rsidRPr="00263FBC">
        <w:rPr>
          <w:sz w:val="22"/>
        </w:rPr>
        <w:t xml:space="preserve"> </w:t>
      </w:r>
      <w:r>
        <w:t>Section 3.5.1 of the submitted report notes:</w:t>
      </w:r>
      <w:r w:rsidRPr="00263FBC">
        <w:t xml:space="preserve"> </w:t>
      </w:r>
      <w:r>
        <w:t>‘</w:t>
      </w:r>
      <w:r w:rsidRPr="00263FBC">
        <w:rPr>
          <w:i/>
          <w:iCs/>
        </w:rPr>
        <w:t>The estimated emission rates used in this report are based upon emission data obtained from available research. A figure of 225 ouE/livestock-unit/s is used (a livestock-unit is 500 kg).</w:t>
      </w:r>
      <w:r>
        <w:t>’</w:t>
      </w:r>
    </w:p>
    <w:p w14:paraId="0C43EABF" w14:textId="77777777" w:rsidR="003470E5" w:rsidRDefault="003470E5" w:rsidP="003470E5">
      <w:pPr>
        <w:pStyle w:val="NoSpacing"/>
      </w:pPr>
    </w:p>
    <w:p w14:paraId="24915C35" w14:textId="77777777" w:rsidR="003470E5" w:rsidRDefault="003470E5" w:rsidP="003470E5">
      <w:pPr>
        <w:pStyle w:val="NoSpacing"/>
        <w:ind w:left="720" w:hanging="720"/>
        <w:rPr>
          <w:sz w:val="22"/>
        </w:rPr>
      </w:pPr>
      <w:r>
        <w:t>4.48</w:t>
      </w:r>
      <w:r>
        <w:tab/>
        <w:t>The proposed broiler poultry house will be of near identical specification to the established units 1 – 5. All units will operate in synchronicity and with the same stocking densities up to 40,000 birds per unit. Emission and ventilation rates will therefore be equally applicable to the existing and proposed units. In this context, Section 3.5.2 of the submitted report states: ‘</w:t>
      </w:r>
      <w:r w:rsidRPr="000B3F1A">
        <w:rPr>
          <w:i/>
          <w:iCs/>
        </w:rPr>
        <w:t xml:space="preserve">To calculate an odour emission rate, it is </w:t>
      </w:r>
      <w:r w:rsidRPr="000B3F1A">
        <w:rPr>
          <w:i/>
          <w:iCs/>
        </w:rPr>
        <w:lastRenderedPageBreak/>
        <w:t>necessary to know the internal odour concentration and ventilation rate of the poultry house. For the calculation, the internal concentration is assumed to be a function of the age of the crop and the stocking density</w:t>
      </w:r>
      <w:r w:rsidRPr="007578B7">
        <w:t>.</w:t>
      </w:r>
      <w:r>
        <w:t xml:space="preserve"> </w:t>
      </w:r>
      <w:r w:rsidRPr="000B3F1A">
        <w:rPr>
          <w:i/>
          <w:iCs/>
          <w:szCs w:val="24"/>
        </w:rPr>
        <w:t>The internal concentrations used in the calculations increase exponentially from 300 ouE/m3 at day 1 of the crop, to approximately 700 ouE/m3 at day 16 of the crop, to approximately 1,800 ouE/m3 at day 30 of the crop and approximately 2,300 ouE/m3 at day 34 of the crop. These figures are obtained from a review of available literature and measured concentrations available to AS Modelling &amp; Data Ltd. and are based primarily on Robertson et al. (2002)</w:t>
      </w:r>
      <w:r w:rsidRPr="000B3F1A">
        <w:rPr>
          <w:i/>
          <w:iCs/>
          <w:sz w:val="22"/>
        </w:rPr>
        <w:t>.</w:t>
      </w:r>
      <w:r>
        <w:rPr>
          <w:sz w:val="22"/>
        </w:rPr>
        <w:t>’</w:t>
      </w:r>
    </w:p>
    <w:p w14:paraId="778B2748" w14:textId="77777777" w:rsidR="003470E5" w:rsidRDefault="003470E5" w:rsidP="003470E5">
      <w:pPr>
        <w:pStyle w:val="NoSpacing"/>
        <w:rPr>
          <w:sz w:val="22"/>
        </w:rPr>
      </w:pPr>
    </w:p>
    <w:p w14:paraId="306EE0AE" w14:textId="77777777" w:rsidR="003470E5" w:rsidRPr="000B3F1A" w:rsidRDefault="003470E5" w:rsidP="003470E5">
      <w:pPr>
        <w:pStyle w:val="NoSpacing"/>
        <w:ind w:left="720" w:hanging="720"/>
      </w:pPr>
      <w:r>
        <w:t>4.49</w:t>
      </w:r>
      <w:r>
        <w:tab/>
        <w:t>The results of the ADMS analysis are detailed within Section 5 of the submitted odour impact assessment. The data includes an assessment of both baseline conditions (existing poultry units and pig units) and the proposed development/operation in cumulation with the retained broiler poultry units. It is evident that the proposal will significantly reduce the odour emission plume and corresponding net odour concentrations. This is for reason that the existing pig farming operation is characteristically more odorous than the proposed expanded broiler rearing operation  For ease of reference a copies of figures 6a (which depicts the maximum spatial distribution/concentration of existing cumulative odour emissions in the locality of the proposed broiler poultry farm) and 6b (proposed scenarios) are included below.</w:t>
      </w:r>
    </w:p>
    <w:p w14:paraId="28AE3FDD" w14:textId="77777777" w:rsidR="003470E5" w:rsidRDefault="003470E5" w:rsidP="003470E5">
      <w:pPr>
        <w:pStyle w:val="NoSpacing"/>
      </w:pPr>
    </w:p>
    <w:p w14:paraId="3FD4D428" w14:textId="77777777" w:rsidR="003470E5" w:rsidRDefault="003470E5" w:rsidP="003470E5">
      <w:pPr>
        <w:pStyle w:val="NoSpacing"/>
      </w:pPr>
    </w:p>
    <w:p w14:paraId="62DBD853" w14:textId="77777777" w:rsidR="003470E5" w:rsidRDefault="003470E5" w:rsidP="003470E5">
      <w:pPr>
        <w:pStyle w:val="NoSpacing"/>
        <w:jc w:val="center"/>
      </w:pPr>
      <w:r w:rsidRPr="009157CE">
        <w:rPr>
          <w:noProof/>
          <w:lang w:eastAsia="en-GB"/>
        </w:rPr>
        <w:drawing>
          <wp:inline distT="0" distB="0" distL="0" distR="0" wp14:anchorId="1C5E4395" wp14:editId="67536C2A">
            <wp:extent cx="4659464" cy="2987921"/>
            <wp:effectExtent l="0" t="0" r="825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71044" cy="2995347"/>
                    </a:xfrm>
                    <a:prstGeom prst="rect">
                      <a:avLst/>
                    </a:prstGeom>
                    <a:noFill/>
                    <a:ln>
                      <a:noFill/>
                    </a:ln>
                  </pic:spPr>
                </pic:pic>
              </a:graphicData>
            </a:graphic>
          </wp:inline>
        </w:drawing>
      </w:r>
    </w:p>
    <w:p w14:paraId="2706C12B" w14:textId="77777777" w:rsidR="003470E5" w:rsidRDefault="003470E5" w:rsidP="003470E5">
      <w:pPr>
        <w:pStyle w:val="NoSpacing"/>
        <w:jc w:val="center"/>
        <w:rPr>
          <w:rFonts w:asciiTheme="minorHAnsi" w:hAnsiTheme="minorHAnsi" w:cstheme="minorHAnsi"/>
          <w:sz w:val="18"/>
          <w:szCs w:val="18"/>
        </w:rPr>
      </w:pPr>
      <w:r w:rsidRPr="009157CE">
        <w:rPr>
          <w:rFonts w:asciiTheme="minorHAnsi" w:hAnsiTheme="minorHAnsi" w:cstheme="minorHAnsi"/>
          <w:sz w:val="18"/>
          <w:szCs w:val="18"/>
        </w:rPr>
        <w:t>Figure 6a Extract:</w:t>
      </w:r>
      <w:r>
        <w:rPr>
          <w:rFonts w:asciiTheme="minorHAnsi" w:hAnsiTheme="minorHAnsi" w:cstheme="minorHAnsi"/>
          <w:sz w:val="18"/>
          <w:szCs w:val="18"/>
        </w:rPr>
        <w:t xml:space="preserve"> </w:t>
      </w:r>
      <w:r w:rsidRPr="009157CE">
        <w:rPr>
          <w:rFonts w:asciiTheme="minorHAnsi" w:hAnsiTheme="minorHAnsi" w:cstheme="minorHAnsi"/>
          <w:sz w:val="18"/>
          <w:szCs w:val="18"/>
        </w:rPr>
        <w:t>Predicted maximum annual 98th percentile hourly mean odour concentration</w:t>
      </w:r>
      <w:r>
        <w:rPr>
          <w:rFonts w:asciiTheme="minorHAnsi" w:hAnsiTheme="minorHAnsi" w:cstheme="minorHAnsi"/>
          <w:sz w:val="18"/>
          <w:szCs w:val="18"/>
        </w:rPr>
        <w:t xml:space="preserve"> </w:t>
      </w:r>
    </w:p>
    <w:p w14:paraId="492D605E" w14:textId="77777777" w:rsidR="003470E5" w:rsidRPr="009157CE" w:rsidRDefault="003470E5" w:rsidP="003470E5">
      <w:pPr>
        <w:pStyle w:val="NoSpacing"/>
        <w:jc w:val="center"/>
        <w:rPr>
          <w:rFonts w:asciiTheme="minorHAnsi" w:hAnsiTheme="minorHAnsi" w:cstheme="minorHAnsi"/>
          <w:sz w:val="18"/>
          <w:szCs w:val="18"/>
        </w:rPr>
      </w:pPr>
      <w:r>
        <w:rPr>
          <w:rFonts w:ascii="Calibri" w:hAnsi="Calibri"/>
          <w:sz w:val="18"/>
          <w:szCs w:val="18"/>
        </w:rPr>
        <w:t>area surrounding existing pig units and broiler units 1 – 5.</w:t>
      </w:r>
    </w:p>
    <w:p w14:paraId="6CD6D681" w14:textId="77777777" w:rsidR="003470E5" w:rsidRDefault="003470E5" w:rsidP="003470E5">
      <w:pPr>
        <w:pStyle w:val="NoSpacing"/>
      </w:pPr>
    </w:p>
    <w:p w14:paraId="08F00356" w14:textId="77777777" w:rsidR="003470E5" w:rsidRDefault="003470E5" w:rsidP="003470E5">
      <w:pPr>
        <w:pStyle w:val="NoSpacing"/>
      </w:pPr>
    </w:p>
    <w:p w14:paraId="7ABCA014" w14:textId="77777777" w:rsidR="003470E5" w:rsidRDefault="003470E5" w:rsidP="003470E5">
      <w:pPr>
        <w:pStyle w:val="NoSpacing"/>
        <w:jc w:val="center"/>
      </w:pPr>
      <w:r w:rsidRPr="009157CE">
        <w:rPr>
          <w:noProof/>
          <w:lang w:eastAsia="en-GB"/>
        </w:rPr>
        <w:lastRenderedPageBreak/>
        <w:drawing>
          <wp:inline distT="0" distB="0" distL="0" distR="0" wp14:anchorId="06697A94" wp14:editId="179021C9">
            <wp:extent cx="4643562" cy="3005505"/>
            <wp:effectExtent l="0" t="0" r="508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8302" cy="3015046"/>
                    </a:xfrm>
                    <a:prstGeom prst="rect">
                      <a:avLst/>
                    </a:prstGeom>
                    <a:noFill/>
                    <a:ln>
                      <a:noFill/>
                    </a:ln>
                  </pic:spPr>
                </pic:pic>
              </a:graphicData>
            </a:graphic>
          </wp:inline>
        </w:drawing>
      </w:r>
    </w:p>
    <w:p w14:paraId="3156150E" w14:textId="77777777" w:rsidR="003470E5" w:rsidRDefault="003470E5" w:rsidP="003470E5">
      <w:pPr>
        <w:jc w:val="center"/>
        <w:rPr>
          <w:rFonts w:ascii="Calibri" w:hAnsi="Calibri"/>
          <w:sz w:val="18"/>
          <w:szCs w:val="18"/>
        </w:rPr>
      </w:pPr>
      <w:r>
        <w:rPr>
          <w:rFonts w:ascii="Calibri" w:hAnsi="Calibri"/>
          <w:sz w:val="18"/>
          <w:szCs w:val="18"/>
        </w:rPr>
        <w:t xml:space="preserve">Figure 6b Extract: </w:t>
      </w:r>
      <w:r w:rsidRPr="00076015">
        <w:rPr>
          <w:rFonts w:ascii="Calibri" w:hAnsi="Calibri"/>
          <w:sz w:val="18"/>
          <w:szCs w:val="18"/>
        </w:rPr>
        <w:t>Predicted maximum annual 98th percentile hourly mean odour concen</w:t>
      </w:r>
      <w:r>
        <w:rPr>
          <w:rFonts w:ascii="Calibri" w:hAnsi="Calibri"/>
          <w:sz w:val="18"/>
          <w:szCs w:val="18"/>
        </w:rPr>
        <w:t xml:space="preserve">tration in </w:t>
      </w:r>
    </w:p>
    <w:p w14:paraId="4E72823E" w14:textId="77777777" w:rsidR="003470E5" w:rsidRDefault="003470E5" w:rsidP="003470E5">
      <w:pPr>
        <w:pStyle w:val="NoSpacing"/>
        <w:jc w:val="center"/>
      </w:pPr>
      <w:r>
        <w:rPr>
          <w:rFonts w:ascii="Calibri" w:hAnsi="Calibri"/>
          <w:sz w:val="18"/>
          <w:szCs w:val="18"/>
        </w:rPr>
        <w:t>area surrounding</w:t>
      </w:r>
      <w:r w:rsidRPr="00076015">
        <w:rPr>
          <w:rFonts w:ascii="Calibri" w:hAnsi="Calibri"/>
          <w:sz w:val="18"/>
          <w:szCs w:val="18"/>
        </w:rPr>
        <w:t xml:space="preserve"> </w:t>
      </w:r>
      <w:r>
        <w:rPr>
          <w:rFonts w:ascii="Calibri" w:hAnsi="Calibri"/>
          <w:sz w:val="18"/>
          <w:szCs w:val="18"/>
        </w:rPr>
        <w:t>retained/proposed broiler</w:t>
      </w:r>
      <w:r w:rsidRPr="00076015">
        <w:rPr>
          <w:rFonts w:ascii="Calibri" w:hAnsi="Calibri"/>
          <w:sz w:val="18"/>
          <w:szCs w:val="18"/>
        </w:rPr>
        <w:t xml:space="preserve"> unit</w:t>
      </w:r>
      <w:r>
        <w:rPr>
          <w:rFonts w:ascii="Calibri" w:hAnsi="Calibri"/>
          <w:sz w:val="18"/>
          <w:szCs w:val="18"/>
        </w:rPr>
        <w:t>s.</w:t>
      </w:r>
    </w:p>
    <w:p w14:paraId="19FB5B4B" w14:textId="77777777" w:rsidR="003470E5" w:rsidRDefault="003470E5" w:rsidP="003470E5">
      <w:pPr>
        <w:pStyle w:val="NoSpacing"/>
      </w:pPr>
    </w:p>
    <w:p w14:paraId="5AEA0CC2" w14:textId="77777777" w:rsidR="003470E5" w:rsidRDefault="003470E5" w:rsidP="003470E5">
      <w:pPr>
        <w:pStyle w:val="NoSpacing"/>
        <w:ind w:left="720" w:hanging="720"/>
      </w:pPr>
      <w:r>
        <w:t>4.50</w:t>
      </w:r>
      <w:r>
        <w:tab/>
        <w:t>In light of the above, Section 6 of the odour impact assessment states:</w:t>
      </w:r>
      <w:r w:rsidRPr="00CC02A7">
        <w:t xml:space="preserve"> </w:t>
      </w:r>
      <w:r>
        <w:t>‘</w:t>
      </w:r>
      <w:r w:rsidRPr="00CC02A7">
        <w:rPr>
          <w:i/>
          <w:iCs/>
        </w:rPr>
        <w:t>Odour exposure levels at: residences at Navenby Lowfields Farm; Porters Mill; the residence at Manor Farm; Ivy House Farm and residences off Castle Lane Farm are currently above the Environment Agency’s benchmark for moderately offensive odours, which is a maximum annual 98</w:t>
      </w:r>
      <w:r w:rsidRPr="00CC02A7">
        <w:rPr>
          <w:i/>
          <w:iCs/>
          <w:sz w:val="14"/>
          <w:szCs w:val="14"/>
        </w:rPr>
        <w:t xml:space="preserve">th </w:t>
      </w:r>
      <w:r w:rsidRPr="00CC02A7">
        <w:rPr>
          <w:i/>
          <w:iCs/>
        </w:rPr>
        <w:t>percentile hourly mean concentration of 3.0 ou</w:t>
      </w:r>
      <w:r w:rsidRPr="00CC02A7">
        <w:rPr>
          <w:i/>
          <w:iCs/>
          <w:sz w:val="14"/>
          <w:szCs w:val="14"/>
        </w:rPr>
        <w:t>E</w:t>
      </w:r>
      <w:r w:rsidRPr="00CC02A7">
        <w:rPr>
          <w:i/>
          <w:iCs/>
        </w:rPr>
        <w:t>/m</w:t>
      </w:r>
      <w:r w:rsidRPr="00CC02A7">
        <w:rPr>
          <w:i/>
          <w:iCs/>
          <w:sz w:val="14"/>
          <w:szCs w:val="14"/>
        </w:rPr>
        <w:t>3</w:t>
      </w:r>
      <w:r w:rsidRPr="00CC02A7">
        <w:rPr>
          <w:i/>
          <w:iCs/>
        </w:rPr>
        <w:t>. At the residences at Navenby Lowfields Farm and Porters Mill and within the curtilage of Manor Farm, the exposure is at levels where annoyance and complaint would normally be expected</w:t>
      </w:r>
      <w:r>
        <w:t>.’</w:t>
      </w:r>
    </w:p>
    <w:p w14:paraId="5FF85760" w14:textId="77777777" w:rsidR="003470E5" w:rsidRDefault="003470E5" w:rsidP="003470E5">
      <w:pPr>
        <w:pStyle w:val="NoSpacing"/>
      </w:pPr>
    </w:p>
    <w:p w14:paraId="553CE31A" w14:textId="77777777" w:rsidR="003470E5" w:rsidRDefault="003470E5" w:rsidP="003470E5">
      <w:pPr>
        <w:pStyle w:val="NoSpacing"/>
        <w:ind w:left="720" w:hanging="720"/>
      </w:pPr>
      <w:r>
        <w:t>4.51</w:t>
      </w:r>
      <w:r>
        <w:tab/>
        <w:t>Following the advent of the proposed development, the odour impact assessment report concludes that: ‘</w:t>
      </w:r>
      <w:r w:rsidRPr="00CC02A7">
        <w:rPr>
          <w:i/>
          <w:iCs/>
        </w:rPr>
        <w:t>Should the decommissioning of the existing piggeries and the construction of a new poultry rearing house at Navenby Lowfields proceed, then odour levels would significantly lower than they currently are at all nearby residences. However, at the residences at Navenby Lowfields Farm and at Porters Mill, they would remain above the Environment Agency’s benchmark for moderately offensive odours.</w:t>
      </w:r>
      <w:r>
        <w:t>’</w:t>
      </w:r>
    </w:p>
    <w:p w14:paraId="1BE1457F" w14:textId="77777777" w:rsidR="003470E5" w:rsidRDefault="003470E5" w:rsidP="003470E5">
      <w:pPr>
        <w:pStyle w:val="NoSpacing"/>
      </w:pPr>
    </w:p>
    <w:p w14:paraId="2C33E5F1" w14:textId="77777777" w:rsidR="003470E5" w:rsidRDefault="003470E5" w:rsidP="003470E5">
      <w:pPr>
        <w:pStyle w:val="NoSpacing"/>
        <w:ind w:left="720" w:hanging="720"/>
      </w:pPr>
      <w:r>
        <w:t>4.52</w:t>
      </w:r>
      <w:r>
        <w:tab/>
        <w:t>It is therefore evident that predicted cumulative odour emissions are highly unlikely to give rise to adverse environmental effects. Indeed, when compared to baseline conditions, it is clear that the proposed development will not result in any significant improvements to levels of odour experienced at outlying receptors (excluding agricultural dwellings and office premises within the Barn Farm complex). Levels of residential amenity afforded by neighbouring occupants will therefore notably improve as a result of the proposed poultry farm development/operation in the short, medium or long term.</w:t>
      </w:r>
    </w:p>
    <w:p w14:paraId="5E0908FE" w14:textId="77777777" w:rsidR="003470E5" w:rsidRDefault="003470E5" w:rsidP="003470E5">
      <w:pPr>
        <w:pStyle w:val="NoSpacing"/>
      </w:pPr>
    </w:p>
    <w:p w14:paraId="1BAAEC31" w14:textId="77777777" w:rsidR="003470E5" w:rsidRPr="005C402D" w:rsidRDefault="003470E5" w:rsidP="003470E5">
      <w:pPr>
        <w:pStyle w:val="NoSpacing"/>
        <w:ind w:firstLine="720"/>
        <w:rPr>
          <w:u w:val="single"/>
        </w:rPr>
      </w:pPr>
      <w:r w:rsidRPr="005C402D">
        <w:rPr>
          <w:u w:val="single"/>
        </w:rPr>
        <w:t>Ammonia Impact</w:t>
      </w:r>
    </w:p>
    <w:p w14:paraId="0733C735" w14:textId="77777777" w:rsidR="003470E5" w:rsidRDefault="003470E5" w:rsidP="003470E5">
      <w:pPr>
        <w:pStyle w:val="NoSpacing"/>
      </w:pPr>
    </w:p>
    <w:p w14:paraId="686DE098" w14:textId="77777777" w:rsidR="003470E5" w:rsidRDefault="003470E5" w:rsidP="003470E5">
      <w:pPr>
        <w:pStyle w:val="NoSpacing"/>
        <w:ind w:left="720" w:hanging="720"/>
      </w:pPr>
      <w:r>
        <w:t>4.53</w:t>
      </w:r>
      <w:r>
        <w:tab/>
        <w:t>The release of ammonia (NH</w:t>
      </w:r>
      <w:r>
        <w:rPr>
          <w:vertAlign w:val="subscript"/>
        </w:rPr>
        <w:t>3</w:t>
      </w:r>
      <w:r>
        <w:t xml:space="preserve">) is a well-known by-product of poultry farming. Concentrations of gaseous ammonia are hazardous to both human health and the welfare of flora/fauna habitats. Factors leading to the production of ammonia are noted </w:t>
      </w:r>
      <w:r>
        <w:lastRenderedPageBreak/>
        <w:t>to comprise: t</w:t>
      </w:r>
      <w:r w:rsidRPr="00D50269">
        <w:t xml:space="preserve">he amount of degradable nitrogen in the litter which is influenced by the rate of conversion of feed based nitrogen to muscle; and </w:t>
      </w:r>
      <w:r>
        <w:t>t</w:t>
      </w:r>
      <w:r w:rsidRPr="00D50269">
        <w:t>he conditions within the litter to facilitate microbial activity</w:t>
      </w:r>
      <w:r>
        <w:t>,</w:t>
      </w:r>
      <w:r w:rsidRPr="00D50269">
        <w:t xml:space="preserve"> which is influenced by the moisture content of the litter as well as temperature.</w:t>
      </w:r>
    </w:p>
    <w:p w14:paraId="5A4E04BA" w14:textId="77777777" w:rsidR="003470E5" w:rsidRDefault="003470E5" w:rsidP="003470E5">
      <w:pPr>
        <w:pStyle w:val="NoSpacing"/>
      </w:pPr>
    </w:p>
    <w:p w14:paraId="7E1847C8" w14:textId="77777777" w:rsidR="003470E5" w:rsidRPr="00A963BD" w:rsidRDefault="003470E5" w:rsidP="003470E5">
      <w:pPr>
        <w:pStyle w:val="NoSpacing"/>
        <w:ind w:left="720" w:hanging="720"/>
      </w:pPr>
      <w:r>
        <w:t>4.54</w:t>
      </w:r>
      <w:r>
        <w:tab/>
        <w:t>Ammonia emissions have the potential to adversely affect areas of ecological/habitat value.</w:t>
      </w:r>
      <w:r w:rsidRPr="006C7BA7">
        <w:t xml:space="preserve"> </w:t>
      </w:r>
      <w:r w:rsidRPr="00A963BD">
        <w:t>There is one area designated as a Local Wildlife Site (LWS) within approximately 2 k</w:t>
      </w:r>
      <w:r>
        <w:t>ilometres</w:t>
      </w:r>
      <w:r w:rsidRPr="00A963BD">
        <w:t xml:space="preserve"> (the normal screening distance for non-statutory sites) of </w:t>
      </w:r>
      <w:r>
        <w:t>Barn Farm/the application site</w:t>
      </w:r>
      <w:r w:rsidRPr="00A963BD">
        <w:t>. There are two areas that are designated as Sites of Special Scientific Interest (SSSIs) within 10 k</w:t>
      </w:r>
      <w:r>
        <w:t>ilo</w:t>
      </w:r>
      <w:r w:rsidRPr="00A963BD">
        <w:t>m</w:t>
      </w:r>
      <w:r>
        <w:t xml:space="preserve">etres of Barn Farm, though no internationally designated sites have been identified within a 10 kilometre radius. </w:t>
      </w:r>
      <w:r>
        <w:rPr>
          <w:szCs w:val="24"/>
        </w:rPr>
        <w:t xml:space="preserve">As a cautionary measure, </w:t>
      </w:r>
      <w:r>
        <w:t xml:space="preserve">it was considered appropriate to undertake an ammonia impact assessment. Air quality specialists AS Modelling &amp; Data Ltd were therefore commissioned to investigate whether cumulative ammonia emissions arising from the existing and proposed units would give rise to adverse environmental effects. The following should be read in conjunction with the accompanying report: </w:t>
      </w:r>
      <w:r w:rsidRPr="00415178">
        <w:rPr>
          <w:i/>
          <w:iCs/>
        </w:rPr>
        <w:t>AS modelling &amp; Data Ltd, 2021, A Report on the Modelling of the Dispersion and Deposition of Ammonia from the Existing Pig Rearing Houses and the Existing and Proposed Broiler Chicken Rearing Houses at Navenby Lowfields, near Navenby in Lincolnshire</w:t>
      </w:r>
      <w:r w:rsidRPr="00A963BD">
        <w:t>.</w:t>
      </w:r>
    </w:p>
    <w:p w14:paraId="0486B94C" w14:textId="77777777" w:rsidR="003470E5" w:rsidRDefault="003470E5" w:rsidP="003470E5">
      <w:pPr>
        <w:pStyle w:val="NoSpacing"/>
      </w:pPr>
    </w:p>
    <w:p w14:paraId="3F7F52FB" w14:textId="77777777" w:rsidR="003470E5" w:rsidRDefault="003470E5" w:rsidP="003470E5">
      <w:pPr>
        <w:pStyle w:val="NoSpacing"/>
        <w:ind w:left="720" w:hanging="720"/>
      </w:pPr>
      <w:r>
        <w:t>4.55</w:t>
      </w:r>
      <w:r>
        <w:tab/>
        <w:t xml:space="preserve">The assessment comparatively examined ammonia emissions currently arising from the existing units (200,000 broiler chickens distributed across five poultry houses and 8558 pigs accommodate within thirteen livestock units) and the proposed scenario (retained 200,000 broilers in units 1 - 5 plus 40,000 broilers accommodated within proposed unit). </w:t>
      </w:r>
    </w:p>
    <w:p w14:paraId="129F2DC5" w14:textId="77777777" w:rsidR="003470E5" w:rsidRDefault="003470E5" w:rsidP="003470E5">
      <w:pPr>
        <w:pStyle w:val="NoSpacing"/>
      </w:pPr>
    </w:p>
    <w:p w14:paraId="7FAB9616" w14:textId="77777777" w:rsidR="003470E5" w:rsidRPr="00AA2EA8" w:rsidRDefault="003470E5" w:rsidP="003470E5">
      <w:pPr>
        <w:pStyle w:val="NoSpacing"/>
        <w:ind w:left="720" w:hanging="720"/>
      </w:pPr>
      <w:r>
        <w:rPr>
          <w:iCs/>
        </w:rPr>
        <w:t>4.56</w:t>
      </w:r>
      <w:r>
        <w:rPr>
          <w:iCs/>
        </w:rPr>
        <w:tab/>
        <w:t>With regard to ammonia emission rates derived the existing pig breeding and rearing operation, Section 3.5.1 of the submitted ammonia impact assessment report emphasises that: ‘</w:t>
      </w:r>
      <w:r w:rsidRPr="00AA2EA8">
        <w:rPr>
          <w:i/>
          <w:iCs/>
        </w:rPr>
        <w:t>Ammonia emission rates from pig housing depend on many factors and are likely to be rather variable. However, the benchmarks for assessing impacts of ammonia and nitrogen deposition are framed in terms of an annual mean ammonia concentration and annual nitrogen deposition rates. To obtain relatively robust figures for these statistics it is not necessary to model short term temporal variations and a steady continuous emission rate can be assumed. In fact, modelling short term temporal variations might introduce rather more uncertainty than modelling continuous emissions.</w:t>
      </w:r>
      <w:r>
        <w:rPr>
          <w:iCs/>
        </w:rPr>
        <w:t>’ Emission rates have therefore been calculated on the basis of operations and characteristics specific to each of the established pig units. Data is outline din detail within Table 2a of the submitted report.</w:t>
      </w:r>
    </w:p>
    <w:p w14:paraId="74A9BAAE" w14:textId="77777777" w:rsidR="003470E5" w:rsidRDefault="003470E5" w:rsidP="003470E5">
      <w:pPr>
        <w:pStyle w:val="NoSpacing"/>
      </w:pPr>
    </w:p>
    <w:p w14:paraId="2E6BAC9C" w14:textId="77777777" w:rsidR="003470E5" w:rsidRDefault="003470E5" w:rsidP="003470E5">
      <w:pPr>
        <w:pStyle w:val="NoSpacing"/>
        <w:ind w:left="720" w:hanging="720"/>
        <w:rPr>
          <w:iCs/>
        </w:rPr>
      </w:pPr>
      <w:r>
        <w:t>4.57</w:t>
      </w:r>
      <w:r>
        <w:tab/>
        <w:t>With reach of the existing/proposed broiler houses being of near identical specification and stocked to the same density, ammonia emission rates are more readily calculated. Section 3.5.2 of the submitted report notes that the Environment Agency provides an Intensive farming guidance note which lists standard ammonia emission factors for a variety of livestock, including poultry. The emissions factor for broiler chickens is 0.034 kg-NH</w:t>
      </w:r>
      <w:r>
        <w:rPr>
          <w:sz w:val="14"/>
          <w:szCs w:val="14"/>
        </w:rPr>
        <w:t>3</w:t>
      </w:r>
      <w:r>
        <w:t>/bird place/year. This figures are used to calculate the emission rates from the existing and proposed poultry houses (note table 2b)</w:t>
      </w:r>
      <w:r>
        <w:rPr>
          <w:iCs/>
        </w:rPr>
        <w:t>.</w:t>
      </w:r>
    </w:p>
    <w:p w14:paraId="73C998D6" w14:textId="77777777" w:rsidR="003470E5" w:rsidRDefault="003470E5" w:rsidP="003470E5">
      <w:pPr>
        <w:pStyle w:val="NoSpacing"/>
        <w:rPr>
          <w:iCs/>
        </w:rPr>
      </w:pPr>
    </w:p>
    <w:p w14:paraId="17F9447A" w14:textId="77777777" w:rsidR="003470E5" w:rsidRPr="00AF7775" w:rsidRDefault="003470E5" w:rsidP="003470E5">
      <w:pPr>
        <w:pStyle w:val="NoSpacing"/>
        <w:ind w:left="720" w:hanging="720"/>
        <w:rPr>
          <w:iCs/>
        </w:rPr>
      </w:pPr>
      <w:r>
        <w:t>4.58</w:t>
      </w:r>
      <w:r>
        <w:tab/>
      </w:r>
      <w:r w:rsidRPr="00F12EDD">
        <w:t xml:space="preserve">With regard to assessing the impact of ammonia emissions upon outlying habitat land, </w:t>
      </w:r>
      <w:r>
        <w:t>five</w:t>
      </w:r>
      <w:r w:rsidRPr="00F12EDD">
        <w:t xml:space="preserve"> discrete receptors have been defined at the nearby statutory wildlife sites. The receptors are defined at ground level within ADMS. </w:t>
      </w:r>
      <w:r w:rsidRPr="00DC59EB">
        <w:t xml:space="preserve">The positions of the discrete </w:t>
      </w:r>
      <w:r w:rsidRPr="00DC59EB">
        <w:lastRenderedPageBreak/>
        <w:t>receptors may be seen in Figure 4</w:t>
      </w:r>
      <w:r>
        <w:t xml:space="preserve"> of the accompanying ammonia impact assessment report (extract below)</w:t>
      </w:r>
      <w:r w:rsidRPr="00DC59EB">
        <w:t>, where they are marked by enumerated pink rectangles.</w:t>
      </w:r>
      <w:r>
        <w:rPr>
          <w:iCs/>
        </w:rPr>
        <w:t xml:space="preserve"> </w:t>
      </w:r>
    </w:p>
    <w:p w14:paraId="50C4C42D" w14:textId="77777777" w:rsidR="003470E5" w:rsidRDefault="003470E5" w:rsidP="003470E5">
      <w:pPr>
        <w:pStyle w:val="NoSpacing"/>
      </w:pPr>
    </w:p>
    <w:p w14:paraId="27A6D39B" w14:textId="77777777" w:rsidR="003470E5" w:rsidRDefault="003470E5" w:rsidP="003470E5">
      <w:pPr>
        <w:pStyle w:val="NoSpacing"/>
        <w:jc w:val="center"/>
      </w:pPr>
      <w:r w:rsidRPr="00037D3A">
        <w:rPr>
          <w:noProof/>
          <w:lang w:eastAsia="en-GB"/>
        </w:rPr>
        <w:drawing>
          <wp:inline distT="0" distB="0" distL="0" distR="0" wp14:anchorId="0F6CE155" wp14:editId="5F0D2E07">
            <wp:extent cx="3745064" cy="5452651"/>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5124" cy="5481857"/>
                    </a:xfrm>
                    <a:prstGeom prst="rect">
                      <a:avLst/>
                    </a:prstGeom>
                    <a:noFill/>
                    <a:ln>
                      <a:noFill/>
                    </a:ln>
                  </pic:spPr>
                </pic:pic>
              </a:graphicData>
            </a:graphic>
          </wp:inline>
        </w:drawing>
      </w:r>
    </w:p>
    <w:p w14:paraId="4610B24E" w14:textId="77777777" w:rsidR="003470E5" w:rsidRDefault="003470E5" w:rsidP="003470E5">
      <w:pPr>
        <w:jc w:val="center"/>
        <w:rPr>
          <w:rFonts w:asciiTheme="minorHAnsi" w:hAnsiTheme="minorHAnsi" w:cstheme="minorHAnsi"/>
          <w:sz w:val="18"/>
          <w:szCs w:val="18"/>
        </w:rPr>
      </w:pPr>
      <w:r w:rsidRPr="0073254C">
        <w:rPr>
          <w:rFonts w:asciiTheme="minorHAnsi" w:hAnsiTheme="minorHAnsi" w:cstheme="minorHAnsi"/>
          <w:sz w:val="18"/>
          <w:szCs w:val="18"/>
        </w:rPr>
        <w:t>Extract from Figure 4: Diagram indicating geographic positions of identified sensitive receptors</w:t>
      </w:r>
      <w:r>
        <w:rPr>
          <w:rFonts w:asciiTheme="minorHAnsi" w:hAnsiTheme="minorHAnsi" w:cstheme="minorHAnsi"/>
          <w:sz w:val="18"/>
          <w:szCs w:val="18"/>
        </w:rPr>
        <w:t xml:space="preserve">. </w:t>
      </w:r>
    </w:p>
    <w:p w14:paraId="099541BE" w14:textId="77777777" w:rsidR="003470E5" w:rsidRPr="00037D3A" w:rsidRDefault="003470E5" w:rsidP="003470E5">
      <w:pPr>
        <w:pStyle w:val="NoSpacing"/>
        <w:jc w:val="center"/>
        <w:rPr>
          <w:rFonts w:asciiTheme="minorHAnsi" w:hAnsiTheme="minorHAnsi" w:cstheme="minorHAnsi"/>
        </w:rPr>
      </w:pPr>
      <w:r>
        <w:rPr>
          <w:rFonts w:asciiTheme="minorHAnsi" w:hAnsiTheme="minorHAnsi" w:cstheme="minorHAnsi"/>
          <w:sz w:val="18"/>
          <w:szCs w:val="18"/>
        </w:rPr>
        <w:t>LWS shade yellow. SSSI’s identified in green.</w:t>
      </w:r>
    </w:p>
    <w:p w14:paraId="3E07BC9D" w14:textId="77777777" w:rsidR="003470E5" w:rsidRDefault="003470E5" w:rsidP="003470E5">
      <w:pPr>
        <w:pStyle w:val="NoSpacing"/>
      </w:pPr>
    </w:p>
    <w:p w14:paraId="49DB9B6A" w14:textId="77777777" w:rsidR="003470E5" w:rsidRPr="002E65E6" w:rsidRDefault="003470E5" w:rsidP="003470E5">
      <w:pPr>
        <w:pStyle w:val="NoSpacing"/>
        <w:ind w:left="720" w:hanging="720"/>
      </w:pPr>
      <w:r>
        <w:t>4.59</w:t>
      </w:r>
      <w:r>
        <w:tab/>
      </w:r>
      <w:r w:rsidRPr="002E65E6">
        <w:t>Ammonia emission rates from the existing pig rearing houses and the existing and proposed broiler chicken rearing houses have been assessed and quantified based upon the Environment Agency’s standard ammonia emission factors/BAT AEL emission factors. The ammonia emission rates have then been used as inputs to an atmospheric dispersion and deposition model which calculates ammonia exposure levels and nitrogen and acid deposition rates in the surrounding area.</w:t>
      </w:r>
    </w:p>
    <w:p w14:paraId="08E61D2F" w14:textId="77777777" w:rsidR="003470E5" w:rsidRDefault="003470E5" w:rsidP="003470E5">
      <w:pPr>
        <w:pStyle w:val="NoSpacing"/>
      </w:pPr>
    </w:p>
    <w:p w14:paraId="7EFA4839" w14:textId="77777777" w:rsidR="003470E5" w:rsidRDefault="003470E5" w:rsidP="003470E5">
      <w:pPr>
        <w:pStyle w:val="NoSpacing"/>
        <w:ind w:left="720" w:hanging="720"/>
      </w:pPr>
      <w:r>
        <w:t>4.60</w:t>
      </w:r>
      <w:r>
        <w:tab/>
        <w:t>Section 5 of the submitted ammonia impact assessment includes full data for the model runs undertaken and subsequent results. As a cautionary approach, AS Modelling &amp; Data Ltd apply a ‘</w:t>
      </w:r>
      <w:r w:rsidRPr="00DE4CB6">
        <w:t>1% of Critical Level</w:t>
      </w:r>
      <w:r>
        <w:t xml:space="preserve"> or Critical Load’ to </w:t>
      </w:r>
      <w:r w:rsidRPr="00DE4CB6">
        <w:t>predicated ammonia concentrations and nitrogen deposition rates</w:t>
      </w:r>
      <w:r>
        <w:t>. Any concentrations exceeding this threshold at outlying statutory site (i.e. SSSI) receptors are considered to be of technical significance, though not necessarily tangibly harmful.</w:t>
      </w:r>
    </w:p>
    <w:p w14:paraId="62B19CBB" w14:textId="77777777" w:rsidR="003470E5" w:rsidRDefault="003470E5" w:rsidP="003470E5">
      <w:pPr>
        <w:pStyle w:val="NoSpacing"/>
      </w:pPr>
    </w:p>
    <w:p w14:paraId="52D68CAC" w14:textId="77777777" w:rsidR="003470E5" w:rsidRDefault="003470E5" w:rsidP="003470E5">
      <w:pPr>
        <w:pStyle w:val="NoSpacing"/>
        <w:ind w:left="720" w:hanging="720"/>
      </w:pPr>
      <w:r>
        <w:t>4.61</w:t>
      </w:r>
      <w:r>
        <w:tab/>
        <w:t>As demonstrated within tables 6a and 6b of section 5, it is evident that the proposed development will result in a significantly reduced level of nitrogen deposition/lower ammonia emissions, bringing concentrations down below the 1% cautionary threshold at the most proximate receptors. The contour diagrams included below depict the spatial distribution of the predicted nitrogen deposition for both the existing and proposed scenarios.</w:t>
      </w:r>
    </w:p>
    <w:p w14:paraId="0BDF7B0E" w14:textId="77777777" w:rsidR="003470E5" w:rsidRDefault="003470E5" w:rsidP="003470E5">
      <w:pPr>
        <w:pStyle w:val="NoSpacing"/>
      </w:pPr>
    </w:p>
    <w:p w14:paraId="17807007" w14:textId="77777777" w:rsidR="003470E5" w:rsidRDefault="003470E5" w:rsidP="003470E5">
      <w:pPr>
        <w:pStyle w:val="NoSpacing"/>
        <w:jc w:val="center"/>
      </w:pPr>
      <w:r w:rsidRPr="000A5B14">
        <w:rPr>
          <w:noProof/>
          <w:lang w:eastAsia="en-GB"/>
        </w:rPr>
        <w:drawing>
          <wp:inline distT="0" distB="0" distL="0" distR="0" wp14:anchorId="17ABAC92" wp14:editId="30081157">
            <wp:extent cx="4293704" cy="4931147"/>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1500" cy="4940100"/>
                    </a:xfrm>
                    <a:prstGeom prst="rect">
                      <a:avLst/>
                    </a:prstGeom>
                    <a:noFill/>
                    <a:ln>
                      <a:noFill/>
                    </a:ln>
                  </pic:spPr>
                </pic:pic>
              </a:graphicData>
            </a:graphic>
          </wp:inline>
        </w:drawing>
      </w:r>
    </w:p>
    <w:p w14:paraId="355668E7" w14:textId="77777777" w:rsidR="003470E5" w:rsidRDefault="003470E5" w:rsidP="003470E5">
      <w:pPr>
        <w:pStyle w:val="NoSpacing"/>
        <w:jc w:val="center"/>
        <w:rPr>
          <w:rFonts w:asciiTheme="minorHAnsi" w:hAnsiTheme="minorHAnsi" w:cstheme="minorHAnsi"/>
          <w:sz w:val="18"/>
          <w:szCs w:val="18"/>
        </w:rPr>
      </w:pPr>
      <w:r>
        <w:rPr>
          <w:rFonts w:asciiTheme="minorHAnsi" w:hAnsiTheme="minorHAnsi" w:cstheme="minorHAnsi"/>
          <w:sz w:val="18"/>
          <w:szCs w:val="18"/>
        </w:rPr>
        <w:t>Extract from Figure 5a showing existing maximum annual mean ammonia concentrations.</w:t>
      </w:r>
    </w:p>
    <w:p w14:paraId="4F032DC6" w14:textId="77777777" w:rsidR="003470E5" w:rsidRDefault="003470E5" w:rsidP="003470E5">
      <w:pPr>
        <w:pStyle w:val="NoSpacing"/>
        <w:jc w:val="center"/>
        <w:rPr>
          <w:rFonts w:asciiTheme="minorHAnsi" w:hAnsiTheme="minorHAnsi" w:cstheme="minorHAnsi"/>
          <w:sz w:val="18"/>
          <w:szCs w:val="18"/>
        </w:rPr>
      </w:pPr>
    </w:p>
    <w:p w14:paraId="47FFE630" w14:textId="77777777" w:rsidR="003470E5" w:rsidRDefault="003470E5" w:rsidP="003470E5">
      <w:pPr>
        <w:pStyle w:val="NoSpacing"/>
        <w:jc w:val="center"/>
      </w:pPr>
    </w:p>
    <w:p w14:paraId="3F2E906F" w14:textId="77777777" w:rsidR="003470E5" w:rsidRDefault="003470E5" w:rsidP="003470E5">
      <w:pPr>
        <w:pStyle w:val="NoSpacing"/>
        <w:jc w:val="center"/>
      </w:pPr>
    </w:p>
    <w:p w14:paraId="7867D9B9" w14:textId="77777777" w:rsidR="003470E5" w:rsidRDefault="003470E5" w:rsidP="003470E5">
      <w:pPr>
        <w:pStyle w:val="NoSpacing"/>
        <w:jc w:val="center"/>
      </w:pPr>
      <w:r w:rsidRPr="000A5B14">
        <w:rPr>
          <w:noProof/>
          <w:lang w:eastAsia="en-GB"/>
        </w:rPr>
        <w:lastRenderedPageBreak/>
        <w:drawing>
          <wp:inline distT="0" distB="0" distL="0" distR="0" wp14:anchorId="408E0834" wp14:editId="23DD8550">
            <wp:extent cx="4341412" cy="505375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8153" cy="5061605"/>
                    </a:xfrm>
                    <a:prstGeom prst="rect">
                      <a:avLst/>
                    </a:prstGeom>
                    <a:noFill/>
                    <a:ln>
                      <a:noFill/>
                    </a:ln>
                  </pic:spPr>
                </pic:pic>
              </a:graphicData>
            </a:graphic>
          </wp:inline>
        </w:drawing>
      </w:r>
    </w:p>
    <w:p w14:paraId="43188186" w14:textId="77777777" w:rsidR="003470E5" w:rsidRDefault="003470E5" w:rsidP="003470E5">
      <w:pPr>
        <w:pStyle w:val="NoSpacing"/>
        <w:jc w:val="center"/>
      </w:pPr>
      <w:r>
        <w:rPr>
          <w:rFonts w:asciiTheme="minorHAnsi" w:hAnsiTheme="minorHAnsi" w:cstheme="minorHAnsi"/>
          <w:sz w:val="18"/>
          <w:szCs w:val="18"/>
        </w:rPr>
        <w:t>Extract from Figure 5b showing proposed maximum annual mean ammonia concentrations</w:t>
      </w:r>
    </w:p>
    <w:p w14:paraId="1E2DBA23" w14:textId="77777777" w:rsidR="003470E5" w:rsidRDefault="003470E5" w:rsidP="003470E5">
      <w:pPr>
        <w:pStyle w:val="NoSpacing"/>
      </w:pPr>
    </w:p>
    <w:p w14:paraId="5B4A9CFE" w14:textId="77777777" w:rsidR="003470E5" w:rsidRPr="0039076F" w:rsidRDefault="003470E5" w:rsidP="003470E5">
      <w:pPr>
        <w:pStyle w:val="NoSpacing"/>
        <w:ind w:left="720" w:hanging="720"/>
      </w:pPr>
      <w:r>
        <w:t>4.62</w:t>
      </w:r>
      <w:r>
        <w:tab/>
      </w:r>
      <w:r w:rsidRPr="0039076F">
        <w:t>In context of the above, Section 6 of the submitted report identifies that current ammonia concentrations derived f</w:t>
      </w:r>
      <w:r>
        <w:t>rom</w:t>
      </w:r>
      <w:r w:rsidRPr="0039076F">
        <w:t xml:space="preserve"> the combined broiler and pig farming operations are relatively high with the possibility of harm being caused to the outlying Swanholme Lakes SSSI. However, the proposed development, which will see removal of the entire pig breeding/rearing farming enterprise in place of modest expansion of the established broiler farm, will</w:t>
      </w:r>
      <w:r>
        <w:t xml:space="preserve"> prompt a substantive environmental improvement.</w:t>
      </w:r>
      <w:r w:rsidRPr="0039076F">
        <w:t xml:space="preserve"> The process contribution to the annual mean ammonia and nitrogen deposition rates would be very significantly reduced at all wildlife sites considered.</w:t>
      </w:r>
      <w:r>
        <w:t xml:space="preserve"> Section 6 of the submitted report concludes: ‘…</w:t>
      </w:r>
      <w:r w:rsidRPr="0039076F">
        <w:rPr>
          <w:i/>
          <w:iCs/>
        </w:rPr>
        <w:t>the process contribution to the annual mean ammonia concentration and nitrogen deposition rate would be well below the Environment Agency’s lower threshold percentage of the precautionary Critical Level and Critical Load (100% for the LWS and 20% for the SSSIs) and also below 1% of the Critical Level and Critical Load.</w:t>
      </w:r>
      <w:r>
        <w:t>’</w:t>
      </w:r>
      <w:r w:rsidRPr="0039076F">
        <w:t xml:space="preserve"> </w:t>
      </w:r>
    </w:p>
    <w:p w14:paraId="587592AA" w14:textId="77777777" w:rsidR="003470E5" w:rsidRDefault="003470E5" w:rsidP="003470E5">
      <w:pPr>
        <w:pStyle w:val="NoSpacing"/>
      </w:pPr>
    </w:p>
    <w:p w14:paraId="31886E28" w14:textId="77777777" w:rsidR="003470E5" w:rsidRDefault="003470E5" w:rsidP="003470E5">
      <w:pPr>
        <w:pStyle w:val="NoSpacing"/>
        <w:ind w:left="720" w:hanging="720"/>
      </w:pPr>
      <w:r>
        <w:t>4.63</w:t>
      </w:r>
      <w:r>
        <w:tab/>
        <w:t xml:space="preserve">On the basis of the </w:t>
      </w:r>
      <w:r w:rsidRPr="00295AD4">
        <w:t xml:space="preserve">above it can be concluded that </w:t>
      </w:r>
      <w:r>
        <w:t xml:space="preserve">cumulative </w:t>
      </w:r>
      <w:r w:rsidRPr="00295AD4">
        <w:t xml:space="preserve">ammonia emissions arising from the </w:t>
      </w:r>
      <w:r>
        <w:t xml:space="preserve">existing retained broiler units operating in cumulation with the </w:t>
      </w:r>
      <w:r w:rsidRPr="00295AD4">
        <w:t>proposed</w:t>
      </w:r>
      <w:r>
        <w:t xml:space="preserve"> poultry unit (combined 240,000 broiler chickens) </w:t>
      </w:r>
      <w:r w:rsidRPr="00295AD4">
        <w:t>will have no significant environmental impact in the short, medium or long term.</w:t>
      </w:r>
      <w:r>
        <w:t xml:space="preserve"> The development will also present a case of betterment by virtue of reducing existing ammonia levels and </w:t>
      </w:r>
      <w:r>
        <w:lastRenderedPageBreak/>
        <w:t>consequent nitrogen deposition rates. The development will therefore have a positive environmental impact.</w:t>
      </w:r>
    </w:p>
    <w:p w14:paraId="59F6CBAC" w14:textId="77777777" w:rsidR="003470E5" w:rsidRDefault="003470E5" w:rsidP="003470E5">
      <w:pPr>
        <w:pStyle w:val="NoSpacing"/>
      </w:pPr>
    </w:p>
    <w:p w14:paraId="6BF068D6" w14:textId="77777777" w:rsidR="003470E5" w:rsidRPr="006245CC" w:rsidRDefault="003470E5" w:rsidP="003470E5">
      <w:pPr>
        <w:pStyle w:val="NoSpacing"/>
        <w:ind w:firstLine="720"/>
        <w:rPr>
          <w:b/>
          <w:bCs/>
          <w:u w:val="single"/>
        </w:rPr>
      </w:pPr>
      <w:r w:rsidRPr="006245CC">
        <w:rPr>
          <w:b/>
          <w:bCs/>
          <w:u w:val="single"/>
        </w:rPr>
        <w:t>Flood Risk</w:t>
      </w:r>
      <w:r>
        <w:rPr>
          <w:b/>
          <w:bCs/>
          <w:u w:val="single"/>
        </w:rPr>
        <w:t xml:space="preserve"> Assessment &amp; Drainage</w:t>
      </w:r>
    </w:p>
    <w:p w14:paraId="00F2D467" w14:textId="77777777" w:rsidR="003470E5" w:rsidRDefault="003470E5" w:rsidP="003470E5">
      <w:pPr>
        <w:pStyle w:val="NoSpacing"/>
      </w:pPr>
    </w:p>
    <w:p w14:paraId="7ECB343A" w14:textId="77777777" w:rsidR="003470E5" w:rsidRDefault="003470E5" w:rsidP="003470E5">
      <w:pPr>
        <w:pStyle w:val="NoSpacing"/>
        <w:ind w:left="720" w:hanging="720"/>
      </w:pPr>
      <w:r>
        <w:t>4.64</w:t>
      </w:r>
      <w:r>
        <w:tab/>
      </w:r>
      <w:r w:rsidRPr="00422ABB">
        <w:t>With regard to ‘Planning and Flood Risk’, paragraph 167 of the National Planning Policy Framework 20</w:t>
      </w:r>
      <w:r>
        <w:t>21</w:t>
      </w:r>
      <w:r w:rsidRPr="00422ABB">
        <w:t xml:space="preserve"> stipulates that: ‘</w:t>
      </w:r>
      <w:r w:rsidRPr="00422ABB">
        <w:rPr>
          <w:i/>
          <w:iCs/>
        </w:rPr>
        <w:t>When determining any planning applications, local planning authorities should ensure that flood risk is not increased elsewhere. Where appropriate, applications should be supported by a site-specific flood-risk assessment [55]. Development should only be allowed in areas at risk of flooding where, in the light of this assessment (and the sequential and exception tests, as applicable) it can be demonstrated that</w:t>
      </w:r>
      <w:r w:rsidRPr="00422ABB">
        <w:t>:</w:t>
      </w:r>
    </w:p>
    <w:p w14:paraId="549F99D8" w14:textId="77777777" w:rsidR="003470E5" w:rsidRDefault="003470E5" w:rsidP="003470E5">
      <w:pPr>
        <w:pStyle w:val="NoSpacing"/>
      </w:pPr>
    </w:p>
    <w:p w14:paraId="09DDD3C1" w14:textId="77777777" w:rsidR="003470E5" w:rsidRDefault="003470E5" w:rsidP="003470E5">
      <w:pPr>
        <w:pStyle w:val="NoSpacing"/>
        <w:numPr>
          <w:ilvl w:val="0"/>
          <w:numId w:val="13"/>
        </w:numPr>
      </w:pPr>
      <w:r w:rsidRPr="0056156B">
        <w:rPr>
          <w:i/>
          <w:iCs/>
        </w:rPr>
        <w:t>within the site, the most vulnerable development is located in areas of lowest flood risk, unless there are overriding reasons to prefer a different location</w:t>
      </w:r>
      <w:r>
        <w:t xml:space="preserve">; </w:t>
      </w:r>
    </w:p>
    <w:p w14:paraId="1E115640" w14:textId="77777777" w:rsidR="003470E5" w:rsidRDefault="003470E5" w:rsidP="003470E5">
      <w:pPr>
        <w:pStyle w:val="NoSpacing"/>
        <w:numPr>
          <w:ilvl w:val="0"/>
          <w:numId w:val="13"/>
        </w:numPr>
      </w:pPr>
      <w:r w:rsidRPr="0056156B">
        <w:rPr>
          <w:i/>
          <w:iCs/>
        </w:rPr>
        <w:t>the development is appropriately flood resistant and resilient such that, in the event of a flood, it could be quickly brought back into use without significant refurbishment</w:t>
      </w:r>
      <w:r>
        <w:t xml:space="preserve">; </w:t>
      </w:r>
    </w:p>
    <w:p w14:paraId="1A26A580" w14:textId="77777777" w:rsidR="003470E5" w:rsidRDefault="003470E5" w:rsidP="003470E5">
      <w:pPr>
        <w:pStyle w:val="NoSpacing"/>
        <w:numPr>
          <w:ilvl w:val="0"/>
          <w:numId w:val="13"/>
        </w:numPr>
      </w:pPr>
      <w:r w:rsidRPr="0056156B">
        <w:rPr>
          <w:i/>
          <w:iCs/>
        </w:rPr>
        <w:t>it incorporates sustainable drainage systems, unless there is clear evidence that this would be inappropriate</w:t>
      </w:r>
      <w:r>
        <w:t xml:space="preserve">; </w:t>
      </w:r>
    </w:p>
    <w:p w14:paraId="57A7E794" w14:textId="77777777" w:rsidR="003470E5" w:rsidRDefault="003470E5" w:rsidP="003470E5">
      <w:pPr>
        <w:pStyle w:val="NoSpacing"/>
        <w:numPr>
          <w:ilvl w:val="0"/>
          <w:numId w:val="13"/>
        </w:numPr>
      </w:pPr>
      <w:r w:rsidRPr="0056156B">
        <w:rPr>
          <w:i/>
          <w:iCs/>
        </w:rPr>
        <w:t>any residual risk can be safely managed</w:t>
      </w:r>
      <w:r>
        <w:t xml:space="preserve">; and </w:t>
      </w:r>
    </w:p>
    <w:p w14:paraId="5F6C0EED" w14:textId="77777777" w:rsidR="003470E5" w:rsidRDefault="003470E5" w:rsidP="003470E5">
      <w:pPr>
        <w:pStyle w:val="NoSpacing"/>
        <w:numPr>
          <w:ilvl w:val="0"/>
          <w:numId w:val="13"/>
        </w:numPr>
      </w:pPr>
      <w:r w:rsidRPr="001A78DA">
        <w:rPr>
          <w:i/>
          <w:iCs/>
        </w:rPr>
        <w:t>safe access and escape routes are included where appropriate, as part of an agreed emergency plan</w:t>
      </w:r>
      <w:r>
        <w:t>.</w:t>
      </w:r>
      <w:r w:rsidRPr="0056156B">
        <w:t>’</w:t>
      </w:r>
    </w:p>
    <w:p w14:paraId="4F858518" w14:textId="77777777" w:rsidR="003470E5" w:rsidRDefault="003470E5" w:rsidP="003470E5">
      <w:pPr>
        <w:pStyle w:val="NoSpacing"/>
      </w:pPr>
    </w:p>
    <w:p w14:paraId="504FD23E" w14:textId="77777777" w:rsidR="003470E5" w:rsidRDefault="003470E5" w:rsidP="003470E5">
      <w:pPr>
        <w:pStyle w:val="NoSpacing"/>
        <w:ind w:left="720" w:hanging="720"/>
      </w:pPr>
      <w:r>
        <w:t>4.65</w:t>
      </w:r>
      <w:r>
        <w:tab/>
        <w:t>Expanding on the above, NPPF footnote 55 states: ‘</w:t>
      </w:r>
      <w:r w:rsidRPr="0056156B">
        <w:rPr>
          <w:i/>
          <w:iCs/>
        </w:rPr>
        <w:t>A site-specific flood risk assessment should be provided for all development in Flood Zones 2 and 3. In Flood Zone 1, an assessment should accompany all proposals involving: sites of 1 hectare or more; land which has been identified by the Environment Agency as having critical drainage problems; land identified in a strategic flood risk assessment as being at increased flood risk in future; or land that may be subject to other sources of flooding, where its development would introduce a more vulnerable use</w:t>
      </w:r>
      <w:r>
        <w:t>.’</w:t>
      </w:r>
    </w:p>
    <w:p w14:paraId="21417D46" w14:textId="77777777" w:rsidR="003470E5" w:rsidRDefault="003470E5" w:rsidP="003470E5">
      <w:pPr>
        <w:pStyle w:val="NoSpacing"/>
      </w:pPr>
    </w:p>
    <w:p w14:paraId="686FBDB8" w14:textId="77777777" w:rsidR="003470E5" w:rsidRDefault="003470E5" w:rsidP="003470E5">
      <w:pPr>
        <w:pStyle w:val="NoSpacing"/>
        <w:ind w:left="720" w:hanging="720"/>
      </w:pPr>
      <w:r>
        <w:t>4.66</w:t>
      </w:r>
      <w:r>
        <w:tab/>
        <w:t xml:space="preserve">In light of the above it can be noted that the application site encompasses </w:t>
      </w:r>
      <w:r w:rsidRPr="002D7A33">
        <w:t>approximately 2.4 hectares</w:t>
      </w:r>
      <w:r>
        <w:t xml:space="preserve"> (though only 0.27 hectares will be subject to new development) and </w:t>
      </w:r>
      <w:r>
        <w:rPr>
          <w:shd w:val="clear" w:color="auto" w:fill="FFFFFF"/>
        </w:rPr>
        <w:t>the proposed unit</w:t>
      </w:r>
      <w:r>
        <w:t xml:space="preserve"> occupies land identified as being within Flood Zones 1 (low risk), 2 (medium risk) and 3a ‘high risk’ (note EA flood map extract below)</w:t>
      </w:r>
      <w:r>
        <w:rPr>
          <w:shd w:val="clear" w:color="auto" w:fill="FFFFFF"/>
        </w:rPr>
        <w:t>. Under these circumstances, NPPF paragraph 167 and footnote 55 require that a site specific flood risk assessment (FRA) is submitted in support of the planning application. Such is addressed as follows.</w:t>
      </w:r>
    </w:p>
    <w:p w14:paraId="21CE2D23" w14:textId="77777777" w:rsidR="003470E5" w:rsidRDefault="003470E5" w:rsidP="003470E5">
      <w:pPr>
        <w:pStyle w:val="NoSpacing"/>
      </w:pPr>
    </w:p>
    <w:p w14:paraId="7DA663C3" w14:textId="77777777" w:rsidR="003470E5" w:rsidRDefault="003470E5" w:rsidP="003470E5">
      <w:pPr>
        <w:pStyle w:val="NoSpacing"/>
      </w:pPr>
    </w:p>
    <w:p w14:paraId="734E3E0D" w14:textId="77777777" w:rsidR="003470E5" w:rsidRDefault="003470E5" w:rsidP="003470E5">
      <w:pPr>
        <w:pStyle w:val="NoSpacing"/>
        <w:jc w:val="center"/>
      </w:pPr>
      <w:r>
        <w:rPr>
          <w:noProof/>
          <w:lang w:eastAsia="en-GB"/>
        </w:rPr>
        <w:lastRenderedPageBreak/>
        <w:drawing>
          <wp:inline distT="0" distB="0" distL="0" distR="0" wp14:anchorId="0450206A" wp14:editId="10F82787">
            <wp:extent cx="4667416" cy="29180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3599" cy="2928158"/>
                    </a:xfrm>
                    <a:prstGeom prst="rect">
                      <a:avLst/>
                    </a:prstGeom>
                    <a:noFill/>
                    <a:ln>
                      <a:noFill/>
                    </a:ln>
                  </pic:spPr>
                </pic:pic>
              </a:graphicData>
            </a:graphic>
          </wp:inline>
        </w:drawing>
      </w:r>
    </w:p>
    <w:p w14:paraId="1BAF6FA3" w14:textId="77777777" w:rsidR="003470E5" w:rsidRDefault="003470E5" w:rsidP="003470E5">
      <w:pPr>
        <w:pStyle w:val="NoSpacing"/>
        <w:jc w:val="center"/>
        <w:rPr>
          <w:rFonts w:asciiTheme="minorHAnsi" w:hAnsiTheme="minorHAnsi"/>
          <w:sz w:val="18"/>
          <w:szCs w:val="18"/>
        </w:rPr>
      </w:pPr>
      <w:r>
        <w:rPr>
          <w:rFonts w:asciiTheme="minorHAnsi" w:hAnsiTheme="minorHAnsi"/>
          <w:sz w:val="18"/>
          <w:szCs w:val="18"/>
        </w:rPr>
        <w:t xml:space="preserve">Extract from EA Flood Map depicting proposed unit location in </w:t>
      </w:r>
    </w:p>
    <w:p w14:paraId="345A7DE2" w14:textId="77777777" w:rsidR="003470E5" w:rsidRDefault="003470E5" w:rsidP="003470E5">
      <w:pPr>
        <w:pStyle w:val="NoSpacing"/>
        <w:jc w:val="center"/>
      </w:pPr>
      <w:r>
        <w:rPr>
          <w:rFonts w:asciiTheme="minorHAnsi" w:hAnsiTheme="minorHAnsi"/>
          <w:sz w:val="18"/>
          <w:szCs w:val="18"/>
        </w:rPr>
        <w:t>Flood Zones 2 (light blue) and 3 (dark blue).</w:t>
      </w:r>
    </w:p>
    <w:p w14:paraId="0E9C0D63" w14:textId="77777777" w:rsidR="003470E5" w:rsidRDefault="003470E5" w:rsidP="003470E5">
      <w:pPr>
        <w:pStyle w:val="NoSpacing"/>
      </w:pPr>
    </w:p>
    <w:p w14:paraId="13BA50FB" w14:textId="77777777" w:rsidR="003470E5" w:rsidRDefault="003470E5" w:rsidP="003470E5">
      <w:pPr>
        <w:pStyle w:val="NoSpacing"/>
        <w:ind w:left="720" w:hanging="720"/>
      </w:pPr>
      <w:r>
        <w:t>4.67</w:t>
      </w:r>
      <w:r>
        <w:tab/>
        <w:t>Approximately 25% of the new poultry house will be constructed upon land in Flood Zone 3, which is defined by the Environment Agency as: ‘</w:t>
      </w:r>
      <w:r w:rsidRPr="001111EE">
        <w:rPr>
          <w:i/>
          <w:iCs/>
          <w:shd w:val="clear" w:color="auto" w:fill="FFFFFF"/>
        </w:rPr>
        <w:t>Land having a 1 in 100 or greater annual probability of river flooding; or Land having a 1 in 200 or greater annual probability of sea flooding</w:t>
      </w:r>
      <w:r>
        <w:rPr>
          <w:shd w:val="clear" w:color="auto" w:fill="FFFFFF"/>
        </w:rPr>
        <w:t>.</w:t>
      </w:r>
      <w:r>
        <w:t xml:space="preserve">’ The majority of building will however be within Flood Zone 2: </w:t>
      </w:r>
      <w:r w:rsidRPr="000B568B">
        <w:rPr>
          <w:i/>
          <w:iCs/>
          <w:shd w:val="clear" w:color="auto" w:fill="FFFFFF"/>
        </w:rPr>
        <w:t>Land having between a 1 in 100 and 1 in 1,000 annual probability of river flooding; or land having between a 1 in 200 and 1 in 1,000 annual probability of sea flooding</w:t>
      </w:r>
      <w:r>
        <w:rPr>
          <w:shd w:val="clear" w:color="auto" w:fill="FFFFFF"/>
        </w:rPr>
        <w:t>.</w:t>
      </w:r>
      <w:r>
        <w:t xml:space="preserve"> The potential sources of flood risk are summarised below:</w:t>
      </w:r>
    </w:p>
    <w:p w14:paraId="6DC161A2" w14:textId="77777777" w:rsidR="003470E5" w:rsidRDefault="003470E5" w:rsidP="003470E5">
      <w:pPr>
        <w:pStyle w:val="NoSpacing"/>
      </w:pPr>
    </w:p>
    <w:p w14:paraId="2ECB6363" w14:textId="77777777" w:rsidR="003470E5" w:rsidRDefault="003470E5" w:rsidP="003470E5">
      <w:pPr>
        <w:pStyle w:val="NoSpacing"/>
        <w:numPr>
          <w:ilvl w:val="0"/>
          <w:numId w:val="14"/>
        </w:numPr>
      </w:pPr>
      <w:r w:rsidRPr="001111EE">
        <w:t xml:space="preserve">Flooding from a breach or overtopping of the raised defences to the River </w:t>
      </w:r>
      <w:r>
        <w:t>Brant;</w:t>
      </w:r>
    </w:p>
    <w:p w14:paraId="4BB09738" w14:textId="77777777" w:rsidR="003470E5" w:rsidRDefault="003470E5" w:rsidP="003470E5">
      <w:pPr>
        <w:pStyle w:val="NoSpacing"/>
        <w:numPr>
          <w:ilvl w:val="0"/>
          <w:numId w:val="14"/>
        </w:numPr>
      </w:pPr>
      <w:r w:rsidRPr="001111EE">
        <w:t>Flooding from high water levels in the dykes surrounding the Site</w:t>
      </w:r>
      <w:r>
        <w:t>;</w:t>
      </w:r>
    </w:p>
    <w:p w14:paraId="50A61968" w14:textId="77777777" w:rsidR="003470E5" w:rsidRDefault="003470E5" w:rsidP="003470E5">
      <w:pPr>
        <w:pStyle w:val="NoSpacing"/>
        <w:numPr>
          <w:ilvl w:val="0"/>
          <w:numId w:val="14"/>
        </w:numPr>
      </w:pPr>
      <w:r w:rsidRPr="001111EE">
        <w:t>Flooding from infrastructure failure</w:t>
      </w:r>
      <w:r>
        <w:t>;</w:t>
      </w:r>
    </w:p>
    <w:p w14:paraId="0F29915D" w14:textId="77777777" w:rsidR="003470E5" w:rsidRDefault="003470E5" w:rsidP="003470E5">
      <w:pPr>
        <w:pStyle w:val="NoSpacing"/>
        <w:numPr>
          <w:ilvl w:val="0"/>
          <w:numId w:val="14"/>
        </w:numPr>
      </w:pPr>
      <w:r w:rsidRPr="001111EE">
        <w:t>Flooding from groundwater</w:t>
      </w:r>
      <w:r>
        <w:t>;</w:t>
      </w:r>
    </w:p>
    <w:p w14:paraId="48BA4373" w14:textId="77777777" w:rsidR="003470E5" w:rsidRDefault="003470E5" w:rsidP="003470E5">
      <w:pPr>
        <w:pStyle w:val="NoSpacing"/>
        <w:numPr>
          <w:ilvl w:val="0"/>
          <w:numId w:val="14"/>
        </w:numPr>
      </w:pPr>
      <w:r w:rsidRPr="001111EE">
        <w:t>Flooding from failure of the site surface water drainage system.</w:t>
      </w:r>
    </w:p>
    <w:p w14:paraId="2CBA6221" w14:textId="77777777" w:rsidR="003470E5" w:rsidRDefault="003470E5" w:rsidP="003470E5">
      <w:pPr>
        <w:pStyle w:val="NoSpacing"/>
      </w:pPr>
    </w:p>
    <w:p w14:paraId="05534D2E" w14:textId="77777777" w:rsidR="003470E5" w:rsidRDefault="003470E5" w:rsidP="003470E5">
      <w:pPr>
        <w:pStyle w:val="NoSpacing"/>
        <w:ind w:left="720" w:hanging="720"/>
      </w:pPr>
      <w:r>
        <w:t>4.68</w:t>
      </w:r>
      <w:r>
        <w:tab/>
        <w:t>The National Planning Policy Framework 2021, Annex 3 categorises agricultural development as being ‘less vulnerable’ to flooding. With reference to the National Planning Practice Guidance (2014), Table 3, which identifies the flood risk vulnerability and potential compatibility of new development within the various flood zones, it can be noted that ‘less vulnerable’ agricultural development is considered strategically acceptable within Flood Zone 3 subject to passing the ‘Sequential Test’.</w:t>
      </w:r>
      <w:r w:rsidRPr="003813A0">
        <w:rPr>
          <w:shd w:val="clear" w:color="auto" w:fill="FFFFFF"/>
        </w:rPr>
        <w:t xml:space="preserve"> </w:t>
      </w:r>
      <w:r>
        <w:rPr>
          <w:shd w:val="clear" w:color="auto" w:fill="FFFFFF"/>
        </w:rPr>
        <w:t>However, there is no need to apply the ‘Exception Test’.</w:t>
      </w:r>
    </w:p>
    <w:p w14:paraId="67C4923C" w14:textId="77777777" w:rsidR="003470E5" w:rsidRDefault="003470E5" w:rsidP="003470E5">
      <w:pPr>
        <w:pStyle w:val="NoSpacing"/>
      </w:pPr>
    </w:p>
    <w:p w14:paraId="7B2AEE4C" w14:textId="77777777" w:rsidR="003470E5" w:rsidRDefault="003470E5" w:rsidP="003470E5">
      <w:pPr>
        <w:pStyle w:val="NoSpacing"/>
        <w:jc w:val="center"/>
      </w:pPr>
      <w:r w:rsidRPr="00035049">
        <w:rPr>
          <w:noProof/>
          <w:lang w:eastAsia="en-GB"/>
        </w:rPr>
        <w:lastRenderedPageBreak/>
        <w:drawing>
          <wp:inline distT="0" distB="0" distL="0" distR="0" wp14:anchorId="1B110F2E" wp14:editId="788026D5">
            <wp:extent cx="3967701" cy="2543443"/>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3483" cy="2566380"/>
                    </a:xfrm>
                    <a:prstGeom prst="rect">
                      <a:avLst/>
                    </a:prstGeom>
                    <a:noFill/>
                    <a:ln>
                      <a:noFill/>
                    </a:ln>
                  </pic:spPr>
                </pic:pic>
              </a:graphicData>
            </a:graphic>
          </wp:inline>
        </w:drawing>
      </w:r>
    </w:p>
    <w:p w14:paraId="3904C608" w14:textId="77777777" w:rsidR="003470E5" w:rsidRDefault="003470E5" w:rsidP="003470E5">
      <w:pPr>
        <w:pStyle w:val="NoSpacing"/>
        <w:jc w:val="center"/>
      </w:pPr>
      <w:r w:rsidRPr="00035049">
        <w:rPr>
          <w:rFonts w:asciiTheme="minorHAnsi" w:hAnsiTheme="minorHAnsi" w:cstheme="minorHAnsi"/>
          <w:sz w:val="18"/>
          <w:szCs w:val="18"/>
        </w:rPr>
        <w:t>NPPG Table 3 extract outlining development vulnerability to flood risk classifications</w:t>
      </w:r>
    </w:p>
    <w:p w14:paraId="072DF475" w14:textId="77777777" w:rsidR="003470E5" w:rsidRDefault="003470E5" w:rsidP="003470E5">
      <w:pPr>
        <w:pStyle w:val="NoSpacing"/>
        <w:jc w:val="center"/>
      </w:pPr>
    </w:p>
    <w:p w14:paraId="0907CDED" w14:textId="77777777" w:rsidR="003470E5" w:rsidRDefault="003470E5" w:rsidP="003470E5">
      <w:pPr>
        <w:pStyle w:val="NoSpacing"/>
        <w:ind w:left="720" w:hanging="720"/>
      </w:pPr>
      <w:r>
        <w:t>4.69</w:t>
      </w:r>
      <w:r>
        <w:tab/>
        <w:t>The National Planning Policy Framework identifies that a sequential approach should be taken with regard to site selection with the aim of minimising the exposure of new development to higher levels of flood risk. In this context, paragraph 162 of the NPPF emphasises that: ‘</w:t>
      </w:r>
      <w:r w:rsidRPr="005F278F">
        <w:rPr>
          <w:i/>
          <w:iCs/>
        </w:rPr>
        <w:t>The aim of the sequential test is to steer new development to areas with the lowest risk of flooding from any source</w:t>
      </w:r>
      <w:r>
        <w:t>.’</w:t>
      </w:r>
      <w:r w:rsidRPr="006762B3">
        <w:t xml:space="preserve"> </w:t>
      </w:r>
      <w:r>
        <w:t>The NPPF does not precisely define the geographic extent criteria of the sequential test area. In this case it is considered appropriate to apply the sequential test to land under ownership of the applicant.</w:t>
      </w:r>
    </w:p>
    <w:p w14:paraId="0B73B107" w14:textId="77777777" w:rsidR="003470E5" w:rsidRDefault="003470E5" w:rsidP="003470E5">
      <w:pPr>
        <w:pStyle w:val="NoSpacing"/>
      </w:pPr>
    </w:p>
    <w:p w14:paraId="705B084C" w14:textId="77777777" w:rsidR="003470E5" w:rsidRDefault="003470E5" w:rsidP="003470E5">
      <w:pPr>
        <w:pStyle w:val="NoSpacing"/>
        <w:ind w:left="720" w:hanging="720"/>
      </w:pPr>
      <w:r>
        <w:t>4.70</w:t>
      </w:r>
      <w:r>
        <w:tab/>
        <w:t>In this context, it should be noted that the proposed development is an extension of the existing broiler poultry rearing site at Barn Farm. The application site has been selected to enable operational integration with the established business. Spatially separating the proposed development from the existing broiler units/farm complex would be operationally and financially inefficient, resulting in a loss of viability and competitiveness. It can also be noted that the majority of land within and adjacent to Barn Farm is also in Flood Zone 3. Even following the removal of various existing pig units/storage buildings, there will not be sufficient land in Flood Zone 1 suitable for accommodating the proposed unit (such would essentially develop over hardstanding required to access the feed mill/wider complex, lorry park and dwelling gardens). Sequentially, there are no locally available alternative sites in areas of lower flood risk that would allow the proposed unit to operate cohesively with existing units 1 - 5. On this basis, the proposed development is considered to pass the sequential test.</w:t>
      </w:r>
    </w:p>
    <w:p w14:paraId="6F5A32A2" w14:textId="77777777" w:rsidR="003470E5" w:rsidRDefault="003470E5" w:rsidP="003470E5">
      <w:pPr>
        <w:pStyle w:val="NoSpacing"/>
      </w:pPr>
    </w:p>
    <w:p w14:paraId="725567C3" w14:textId="77777777" w:rsidR="003470E5" w:rsidRDefault="003470E5" w:rsidP="003470E5">
      <w:pPr>
        <w:pStyle w:val="NoSpacing"/>
        <w:ind w:left="720" w:hanging="720"/>
      </w:pPr>
      <w:r>
        <w:t>4.71</w:t>
      </w:r>
      <w:r>
        <w:tab/>
        <w:t>The new poultry house will not be occupied by personnel in the same manner as an office or dwelling. In the advent of an extreme flood event, staff will be able to exit the unit via the northern elevation doorway, which allows exit immediately onto higher ground within Flood Zone 1.</w:t>
      </w:r>
    </w:p>
    <w:p w14:paraId="517A87DE" w14:textId="77777777" w:rsidR="003470E5" w:rsidRDefault="003470E5" w:rsidP="003470E5">
      <w:pPr>
        <w:pStyle w:val="NoSpacing"/>
      </w:pPr>
    </w:p>
    <w:p w14:paraId="64BB3C5E" w14:textId="77777777" w:rsidR="003470E5" w:rsidRDefault="003470E5" w:rsidP="003470E5">
      <w:pPr>
        <w:pStyle w:val="NoSpacing"/>
        <w:ind w:left="720" w:hanging="720"/>
      </w:pPr>
      <w:r>
        <w:t>4.72</w:t>
      </w:r>
      <w:r>
        <w:tab/>
        <w:t>Surface water discharge from the poultry farm’s building roof and hardstanding areas has the potential to exacerbate localised flood risk if not effectively managed. The proposal will therefore incorporate a surface water drainage system designed to prevent the development from giving rise to drainage/flood risk problems within and beyond the application site.</w:t>
      </w:r>
    </w:p>
    <w:p w14:paraId="7E07D17D" w14:textId="77777777" w:rsidR="003470E5" w:rsidRDefault="003470E5" w:rsidP="003470E5">
      <w:pPr>
        <w:pStyle w:val="NoSpacing"/>
      </w:pPr>
    </w:p>
    <w:p w14:paraId="0CFCA578" w14:textId="77777777" w:rsidR="003470E5" w:rsidRDefault="003470E5" w:rsidP="003470E5">
      <w:pPr>
        <w:pStyle w:val="NoSpacing"/>
        <w:ind w:left="720" w:hanging="720"/>
      </w:pPr>
      <w:r>
        <w:lastRenderedPageBreak/>
        <w:t>4.73</w:t>
      </w:r>
      <w:r>
        <w:tab/>
      </w:r>
      <w:r w:rsidRPr="00DB2033">
        <w:t>Following the preferred hierarchy of drainage stated in Part H of the Building Regulations and The SuDS Manual, the following disposal routes were considered:</w:t>
      </w:r>
    </w:p>
    <w:p w14:paraId="5364A636" w14:textId="77777777" w:rsidR="003470E5" w:rsidRDefault="003470E5" w:rsidP="003470E5">
      <w:pPr>
        <w:pStyle w:val="NoSpacing"/>
      </w:pPr>
    </w:p>
    <w:p w14:paraId="5749599B" w14:textId="77777777" w:rsidR="003470E5" w:rsidRDefault="003470E5" w:rsidP="003470E5">
      <w:pPr>
        <w:pStyle w:val="NoSpacing"/>
        <w:numPr>
          <w:ilvl w:val="0"/>
          <w:numId w:val="15"/>
        </w:numPr>
      </w:pPr>
      <w:r w:rsidRPr="000C56F0">
        <w:t>Disposal via Infiltration</w:t>
      </w:r>
    </w:p>
    <w:p w14:paraId="33FF700B" w14:textId="77777777" w:rsidR="003470E5" w:rsidRDefault="003470E5" w:rsidP="003470E5">
      <w:pPr>
        <w:pStyle w:val="NoSpacing"/>
        <w:numPr>
          <w:ilvl w:val="0"/>
          <w:numId w:val="15"/>
        </w:numPr>
      </w:pPr>
      <w:r w:rsidRPr="000C56F0">
        <w:t>Disposal to a Watercourse</w:t>
      </w:r>
    </w:p>
    <w:p w14:paraId="697A1C94" w14:textId="77777777" w:rsidR="003470E5" w:rsidRDefault="003470E5" w:rsidP="003470E5">
      <w:pPr>
        <w:pStyle w:val="NoSpacing"/>
        <w:numPr>
          <w:ilvl w:val="0"/>
          <w:numId w:val="15"/>
        </w:numPr>
      </w:pPr>
      <w:r w:rsidRPr="000C56F0">
        <w:t>Disposal to Surface Water Sewer</w:t>
      </w:r>
    </w:p>
    <w:p w14:paraId="0CA737A7" w14:textId="77777777" w:rsidR="003470E5" w:rsidRDefault="003470E5" w:rsidP="003470E5">
      <w:pPr>
        <w:pStyle w:val="NoSpacing"/>
      </w:pPr>
    </w:p>
    <w:p w14:paraId="060ECC00" w14:textId="77777777" w:rsidR="003470E5" w:rsidRDefault="003470E5" w:rsidP="003470E5">
      <w:pPr>
        <w:pStyle w:val="NoSpacing"/>
        <w:ind w:left="720" w:hanging="720"/>
      </w:pPr>
      <w:r>
        <w:t>4.74</w:t>
      </w:r>
      <w:r>
        <w:tab/>
      </w:r>
      <w:r w:rsidRPr="002C6330">
        <w:t xml:space="preserve">The infiltration of large collected surface water volumes into the groundwater system requires the site to be underlain by soils with acceptable permeability. </w:t>
      </w:r>
      <w:r>
        <w:t xml:space="preserve">Previous developments within the Barn Farm complex allowed examination of </w:t>
      </w:r>
      <w:r w:rsidRPr="002C6330">
        <w:t xml:space="preserve">ground </w:t>
      </w:r>
      <w:r>
        <w:t xml:space="preserve">conditions. It is evident that the </w:t>
      </w:r>
      <w:r w:rsidRPr="002C6330">
        <w:t xml:space="preserve">site and its surroundings are underlain by clay strata that are </w:t>
      </w:r>
      <w:r w:rsidRPr="00E826FC">
        <w:t>unlikely to suitable for surface water disposal via infiltration systems</w:t>
      </w:r>
      <w:r w:rsidRPr="002C6330">
        <w:t>.</w:t>
      </w:r>
      <w:r>
        <w:t xml:space="preserve"> </w:t>
      </w:r>
      <w:r w:rsidRPr="002C6330">
        <w:t xml:space="preserve">Given the potential volume of rain water collectively discharged from the </w:t>
      </w:r>
      <w:r>
        <w:t>new poultry house</w:t>
      </w:r>
      <w:r w:rsidRPr="002C6330">
        <w:t xml:space="preserve"> roof</w:t>
      </w:r>
      <w:r>
        <w:t xml:space="preserve"> (2280 </w:t>
      </w:r>
      <w:r w:rsidRPr="00CB5A4A">
        <w:t>m</w:t>
      </w:r>
      <w:r w:rsidRPr="00B90658">
        <w:rPr>
          <w:vertAlign w:val="superscript"/>
        </w:rPr>
        <w:t>2</w:t>
      </w:r>
      <w:r>
        <w:t>) and hardstanding</w:t>
      </w:r>
      <w:r w:rsidRPr="002C6330">
        <w:t xml:space="preserve">, solely relying upon drainage via infiltration/soakaway </w:t>
      </w:r>
      <w:r>
        <w:t>is</w:t>
      </w:r>
      <w:r w:rsidRPr="002C6330">
        <w:t xml:space="preserve"> not </w:t>
      </w:r>
      <w:r>
        <w:t xml:space="preserve">therefore </w:t>
      </w:r>
      <w:r w:rsidRPr="002C6330">
        <w:t>considered to be a viable proposition</w:t>
      </w:r>
      <w:r>
        <w:t xml:space="preserve"> in this location.</w:t>
      </w:r>
    </w:p>
    <w:p w14:paraId="00B4D6AC" w14:textId="77777777" w:rsidR="003470E5" w:rsidRDefault="003470E5" w:rsidP="003470E5">
      <w:pPr>
        <w:pStyle w:val="NoSpacing"/>
      </w:pPr>
    </w:p>
    <w:p w14:paraId="349C4094" w14:textId="77777777" w:rsidR="003470E5" w:rsidRDefault="003470E5" w:rsidP="003470E5">
      <w:pPr>
        <w:pStyle w:val="NoSpacing"/>
        <w:ind w:left="720" w:hanging="720"/>
      </w:pPr>
      <w:r>
        <w:t>4.75</w:t>
      </w:r>
      <w:r>
        <w:tab/>
        <w:t xml:space="preserve">The preferred hierarchy of drainage stated in Part H of the Building Regulations and The SuDS Manual indicates that, if an infiltration system is not viable, disposal via watercourse should be pursued. </w:t>
      </w:r>
    </w:p>
    <w:p w14:paraId="69663B2A" w14:textId="77777777" w:rsidR="003470E5" w:rsidRDefault="003470E5" w:rsidP="003470E5">
      <w:pPr>
        <w:pStyle w:val="NoSpacing"/>
      </w:pPr>
    </w:p>
    <w:p w14:paraId="11F8B7F4" w14:textId="77777777" w:rsidR="003470E5" w:rsidRDefault="003470E5" w:rsidP="003470E5">
      <w:pPr>
        <w:pStyle w:val="NoSpacing"/>
        <w:jc w:val="center"/>
      </w:pPr>
      <w:r w:rsidRPr="00966DFD">
        <w:rPr>
          <w:noProof/>
          <w:lang w:eastAsia="en-GB"/>
        </w:rPr>
        <w:drawing>
          <wp:inline distT="0" distB="0" distL="0" distR="0" wp14:anchorId="675EB263" wp14:editId="36EE674B">
            <wp:extent cx="4675367" cy="376681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89800" cy="3778443"/>
                    </a:xfrm>
                    <a:prstGeom prst="rect">
                      <a:avLst/>
                    </a:prstGeom>
                  </pic:spPr>
                </pic:pic>
              </a:graphicData>
            </a:graphic>
          </wp:inline>
        </w:drawing>
      </w:r>
    </w:p>
    <w:p w14:paraId="0DB5C6D6" w14:textId="77777777" w:rsidR="003470E5" w:rsidRDefault="003470E5" w:rsidP="003470E5">
      <w:pPr>
        <w:pStyle w:val="NoSpacing"/>
        <w:jc w:val="center"/>
        <w:rPr>
          <w:rFonts w:asciiTheme="minorHAnsi" w:hAnsiTheme="minorHAnsi" w:cstheme="minorHAnsi"/>
          <w:sz w:val="18"/>
          <w:szCs w:val="18"/>
        </w:rPr>
      </w:pPr>
      <w:r>
        <w:rPr>
          <w:rFonts w:asciiTheme="minorHAnsi" w:hAnsiTheme="minorHAnsi" w:cstheme="minorHAnsi"/>
          <w:sz w:val="18"/>
          <w:szCs w:val="18"/>
        </w:rPr>
        <w:t xml:space="preserve">Indicative drainage scheme depicting new poultry house (red) discharging surface water to </w:t>
      </w:r>
    </w:p>
    <w:p w14:paraId="1199C641" w14:textId="77777777" w:rsidR="003470E5" w:rsidRPr="00214A7C" w:rsidRDefault="003470E5" w:rsidP="003470E5">
      <w:pPr>
        <w:pStyle w:val="NoSpacing"/>
        <w:jc w:val="center"/>
        <w:rPr>
          <w:rFonts w:asciiTheme="minorHAnsi" w:hAnsiTheme="minorHAnsi" w:cstheme="minorHAnsi"/>
          <w:sz w:val="18"/>
          <w:szCs w:val="18"/>
        </w:rPr>
      </w:pPr>
      <w:r>
        <w:rPr>
          <w:rFonts w:asciiTheme="minorHAnsi" w:hAnsiTheme="minorHAnsi" w:cstheme="minorHAnsi"/>
          <w:sz w:val="18"/>
          <w:szCs w:val="18"/>
        </w:rPr>
        <w:t xml:space="preserve">proposed attenuation basin with restricted outfall to land drain system. </w:t>
      </w:r>
    </w:p>
    <w:p w14:paraId="53575C2A" w14:textId="77777777" w:rsidR="003470E5" w:rsidRDefault="003470E5" w:rsidP="003470E5">
      <w:pPr>
        <w:pStyle w:val="NoSpacing"/>
      </w:pPr>
    </w:p>
    <w:p w14:paraId="5977AC12" w14:textId="77777777" w:rsidR="003470E5" w:rsidRDefault="003470E5" w:rsidP="003470E5">
      <w:pPr>
        <w:pStyle w:val="NoSpacing"/>
        <w:ind w:left="720" w:hanging="720"/>
      </w:pPr>
      <w:r>
        <w:t>4.76</w:t>
      </w:r>
      <w:r>
        <w:tab/>
        <w:t>As depicted above, clean surface water will be discharged from the new poultry house roof and hardstanding via a series of gutters and pipes to a new drainage attenuation basin. The basin, which, will be formed adjacent to existing washout water lagoons, can be readily be constructed to provide a temporary storage capacity of 1000 m</w:t>
      </w:r>
      <w:r>
        <w:rPr>
          <w:vertAlign w:val="superscript"/>
        </w:rPr>
        <w:t>3</w:t>
      </w:r>
      <w:r>
        <w:t xml:space="preserve">. The basin will be unlined, thus allowing clean surface water to infiltrate into the ground during dryer periods and overflow to the adjacent drainage ditch system during storm </w:t>
      </w:r>
      <w:r>
        <w:lastRenderedPageBreak/>
        <w:t>event storm events. A discharge control chamber will limit the overflow rate to less than 5.0 litres per second, thereby preventing inundation of the land drain network. This solution is considered to be appropriate in light of SUDS best practice guidance and site specific constraints.</w:t>
      </w:r>
    </w:p>
    <w:p w14:paraId="5F110F32" w14:textId="77777777" w:rsidR="003470E5" w:rsidRDefault="003470E5" w:rsidP="003470E5">
      <w:pPr>
        <w:pStyle w:val="NoSpacing"/>
      </w:pPr>
    </w:p>
    <w:p w14:paraId="2C80D725" w14:textId="77777777" w:rsidR="003470E5" w:rsidRDefault="003470E5" w:rsidP="003470E5">
      <w:pPr>
        <w:pStyle w:val="NoSpacing"/>
        <w:ind w:left="720" w:hanging="720"/>
      </w:pPr>
      <w:r>
        <w:t>4.77</w:t>
      </w:r>
      <w:r>
        <w:tab/>
        <w:t>A detailed surface water drainage scheme will be produced prior to commencement of development. This can be submitted for approval by the LPA subject to use of a suitable condition attached to the grant of planning permission.</w:t>
      </w:r>
    </w:p>
    <w:p w14:paraId="65CA6215" w14:textId="77777777" w:rsidR="003470E5" w:rsidRDefault="003470E5" w:rsidP="003470E5">
      <w:pPr>
        <w:pStyle w:val="NoSpacing"/>
      </w:pPr>
    </w:p>
    <w:p w14:paraId="2021AFF3" w14:textId="77777777" w:rsidR="003470E5" w:rsidRDefault="003470E5" w:rsidP="003470E5">
      <w:pPr>
        <w:pStyle w:val="NoSpacing"/>
        <w:ind w:left="720" w:hanging="720"/>
      </w:pPr>
      <w:r>
        <w:t>4.78</w:t>
      </w:r>
      <w:r>
        <w:tab/>
        <w:t>With regard to water resource protection/pollution prevention measures, it should be noted that a</w:t>
      </w:r>
      <w:r w:rsidRPr="006A6596">
        <w:t>ll water used fo</w:t>
      </w:r>
      <w:r>
        <w:t>r cleaning out the new broiler unit will drain into the farm’s existing sealed drainage system. The washout water is periodically collected and removed from the farm via a specialist contractor then treated in order to allow spreading upon farmland in accordance</w:t>
      </w:r>
      <w:r>
        <w:rPr>
          <w:bCs/>
        </w:rPr>
        <w:t xml:space="preserve"> with the </w:t>
      </w:r>
      <w:r w:rsidRPr="00C83AA4">
        <w:rPr>
          <w:lang w:eastAsia="en-GB"/>
        </w:rPr>
        <w:t>Code of Good Agricultural</w:t>
      </w:r>
      <w:r>
        <w:rPr>
          <w:lang w:eastAsia="en-GB"/>
        </w:rPr>
        <w:t xml:space="preserve"> Practice (DEFRA</w:t>
      </w:r>
      <w:r w:rsidRPr="00C83AA4">
        <w:rPr>
          <w:lang w:eastAsia="en-GB"/>
        </w:rPr>
        <w:t>, 2009)</w:t>
      </w:r>
      <w:r>
        <w:t>. The proposed development will not give rise to contamination of groundwater.</w:t>
      </w:r>
    </w:p>
    <w:p w14:paraId="4767BB78" w14:textId="77777777" w:rsidR="003470E5" w:rsidRDefault="003470E5" w:rsidP="003470E5">
      <w:pPr>
        <w:pStyle w:val="NoSpacing"/>
      </w:pPr>
    </w:p>
    <w:p w14:paraId="718FBB4A" w14:textId="77777777" w:rsidR="003470E5" w:rsidRDefault="003470E5" w:rsidP="003470E5">
      <w:pPr>
        <w:pStyle w:val="NoSpacing"/>
        <w:ind w:left="720" w:hanging="720"/>
      </w:pPr>
      <w:r>
        <w:t>4.79</w:t>
      </w:r>
      <w:r>
        <w:tab/>
      </w:r>
      <w:r w:rsidRPr="00D112BD">
        <w:t xml:space="preserve">On this basis, it is concluded that the agricultural development can be accommodated without </w:t>
      </w:r>
      <w:r>
        <w:t xml:space="preserve">unacceptable </w:t>
      </w:r>
      <w:r w:rsidRPr="00D112BD">
        <w:t>exposure to flood risk and the proposal will not give rise to localised flooding/surface water drainage or groundwater pollution problems.</w:t>
      </w:r>
    </w:p>
    <w:p w14:paraId="3210F7C6" w14:textId="77777777" w:rsidR="003470E5" w:rsidRDefault="003470E5" w:rsidP="003470E5">
      <w:pPr>
        <w:pStyle w:val="NoSpacing"/>
      </w:pPr>
    </w:p>
    <w:p w14:paraId="4FFE445D" w14:textId="77777777" w:rsidR="003470E5" w:rsidRPr="006245CC" w:rsidRDefault="003470E5" w:rsidP="003470E5">
      <w:pPr>
        <w:pStyle w:val="NoSpacing"/>
        <w:ind w:firstLine="720"/>
        <w:rPr>
          <w:b/>
          <w:bCs/>
          <w:u w:val="single"/>
        </w:rPr>
      </w:pPr>
      <w:r w:rsidRPr="006245CC">
        <w:rPr>
          <w:b/>
          <w:bCs/>
          <w:u w:val="single"/>
        </w:rPr>
        <w:t>Ecology &amp; Nature Conservation</w:t>
      </w:r>
    </w:p>
    <w:p w14:paraId="68919107" w14:textId="77777777" w:rsidR="003470E5" w:rsidRDefault="003470E5" w:rsidP="003470E5">
      <w:pPr>
        <w:pStyle w:val="NoSpacing"/>
      </w:pPr>
    </w:p>
    <w:p w14:paraId="3375B34D" w14:textId="77777777" w:rsidR="003470E5" w:rsidRDefault="003470E5" w:rsidP="003470E5">
      <w:pPr>
        <w:pStyle w:val="NoSpacing"/>
        <w:ind w:left="720" w:hanging="720"/>
      </w:pPr>
      <w:r>
        <w:t>4.80</w:t>
      </w:r>
      <w:r>
        <w:tab/>
        <w:t>The application site is located within the confines of an established farm complex. With the exception of a small 0.002 hectare area of landscaping, the proposed poultry house will be constructed upon the footprint of four existing pig breeding/rearing units with ancillary hardstanding. The application site is essentially devoid of habitat value, fauna and flora. For this reason it was considered unnecessary to undertake a detailed investigation of the application site's habitat/biodiversity value.</w:t>
      </w:r>
    </w:p>
    <w:p w14:paraId="456C712E" w14:textId="77777777" w:rsidR="003470E5" w:rsidRDefault="003470E5" w:rsidP="003470E5">
      <w:pPr>
        <w:pStyle w:val="NoSpacing"/>
      </w:pPr>
    </w:p>
    <w:p w14:paraId="6C3ED43D" w14:textId="77777777" w:rsidR="003470E5" w:rsidRDefault="003470E5" w:rsidP="003470E5">
      <w:pPr>
        <w:pStyle w:val="NoSpacing"/>
        <w:ind w:left="720" w:hanging="720"/>
      </w:pPr>
      <w:r>
        <w:t>4.81</w:t>
      </w:r>
      <w:r>
        <w:tab/>
        <w:t>There are relatively few areas of designated habitat land within the locality of the application site.</w:t>
      </w:r>
      <w:r w:rsidRPr="004573D2">
        <w:t xml:space="preserve"> </w:t>
      </w:r>
      <w:r>
        <w:t>Indeed, the new poultry unit will be remote from</w:t>
      </w:r>
      <w:r w:rsidRPr="006A5435">
        <w:rPr>
          <w:szCs w:val="24"/>
        </w:rPr>
        <w:t xml:space="preserve"> Ancient Woodlands (AWs)</w:t>
      </w:r>
      <w:r>
        <w:rPr>
          <w:szCs w:val="24"/>
        </w:rPr>
        <w:t xml:space="preserve">, </w:t>
      </w:r>
      <w:r w:rsidRPr="006A5435">
        <w:rPr>
          <w:szCs w:val="24"/>
        </w:rPr>
        <w:t xml:space="preserve">Special Areas of Conservation (SACs), Special </w:t>
      </w:r>
      <w:r>
        <w:rPr>
          <w:szCs w:val="24"/>
        </w:rPr>
        <w:t>Protection Areas</w:t>
      </w:r>
      <w:r w:rsidRPr="006A5435">
        <w:rPr>
          <w:szCs w:val="24"/>
        </w:rPr>
        <w:t xml:space="preserve"> (SPAs) </w:t>
      </w:r>
      <w:r>
        <w:rPr>
          <w:szCs w:val="24"/>
        </w:rPr>
        <w:t>and</w:t>
      </w:r>
      <w:r w:rsidRPr="006A5435">
        <w:rPr>
          <w:szCs w:val="24"/>
        </w:rPr>
        <w:t xml:space="preserve"> Ramsar site</w:t>
      </w:r>
      <w:r>
        <w:rPr>
          <w:szCs w:val="24"/>
        </w:rPr>
        <w:t xml:space="preserve">s. </w:t>
      </w:r>
      <w:r w:rsidRPr="00A963BD">
        <w:t xml:space="preserve">There is </w:t>
      </w:r>
      <w:r>
        <w:t xml:space="preserve">only </w:t>
      </w:r>
      <w:r w:rsidRPr="00A963BD">
        <w:t>one area designated as a Local Wildlife Site (LWS) within approximately 2 k</w:t>
      </w:r>
      <w:r>
        <w:t xml:space="preserve">ilometres </w:t>
      </w:r>
      <w:r w:rsidRPr="00A963BD">
        <w:t xml:space="preserve">of </w:t>
      </w:r>
      <w:r>
        <w:t>Barn Farm and</w:t>
      </w:r>
      <w:r w:rsidRPr="00A963BD">
        <w:t xml:space="preserve"> two areas that are designated as Sites of Special Scientific Interest (SSSIs) within 10 k</w:t>
      </w:r>
      <w:r>
        <w:t>ilo</w:t>
      </w:r>
      <w:r w:rsidRPr="00A963BD">
        <w:t>m</w:t>
      </w:r>
      <w:r>
        <w:t>etres of the site.</w:t>
      </w:r>
    </w:p>
    <w:p w14:paraId="416122E5" w14:textId="77777777" w:rsidR="003470E5" w:rsidRDefault="003470E5" w:rsidP="003470E5">
      <w:pPr>
        <w:pStyle w:val="NoSpacing"/>
      </w:pPr>
    </w:p>
    <w:p w14:paraId="4684730C" w14:textId="77777777" w:rsidR="003470E5" w:rsidRDefault="003470E5" w:rsidP="003470E5">
      <w:pPr>
        <w:pStyle w:val="NoSpacing"/>
        <w:ind w:left="720" w:hanging="720"/>
      </w:pPr>
      <w:r>
        <w:t>4.82</w:t>
      </w:r>
      <w:r>
        <w:tab/>
        <w:t>An ammonia impact assessment has nevertheless been undertaken (note ‘Air Quality’ section of this report) in order to establish cumulative levels of nitrogen deposition at a number of remote habitat receptors. Atmospheric dispersion modelling indicates that ammonia concentrations and resultant nitrogen deposition rates arising from the retained and proposed broiler poultry units will not be sufficient to cause any tangible adverse effects upon identified ecological receptors. It is also evident that the proposed scheme will result in a significant improvement over baseline conditions due to the demise of the existing pig breeding/rearing enterprise.</w:t>
      </w:r>
    </w:p>
    <w:p w14:paraId="623E749D" w14:textId="77777777" w:rsidR="003470E5" w:rsidRDefault="003470E5" w:rsidP="003470E5">
      <w:pPr>
        <w:pStyle w:val="NoSpacing"/>
      </w:pPr>
    </w:p>
    <w:p w14:paraId="110CA266" w14:textId="77777777" w:rsidR="003470E5" w:rsidRDefault="003470E5" w:rsidP="003470E5">
      <w:pPr>
        <w:pStyle w:val="NoSpacing"/>
        <w:ind w:left="720" w:hanging="720"/>
      </w:pPr>
      <w:r>
        <w:t>4.83</w:t>
      </w:r>
      <w:r>
        <w:tab/>
        <w:t xml:space="preserve">With regard to pollution prevention measures and the avoidance of ground water contamination it is emphasised that, as with the existing poultry farm, all foul water arising from cleaning of the proposed poultry unit will be contained within a sealed drainage system. The proposal will not therefore have any impact upon the surrounding </w:t>
      </w:r>
      <w:r>
        <w:lastRenderedPageBreak/>
        <w:t>arable land, neighbouring woodland or aquatic habitat (including the outlying River Brant and drainage ditches).</w:t>
      </w:r>
    </w:p>
    <w:p w14:paraId="2CBEE418" w14:textId="77777777" w:rsidR="003470E5" w:rsidRDefault="003470E5" w:rsidP="003470E5">
      <w:pPr>
        <w:pStyle w:val="NoSpacing"/>
      </w:pPr>
    </w:p>
    <w:p w14:paraId="324139AC" w14:textId="77777777" w:rsidR="003470E5" w:rsidRDefault="003470E5" w:rsidP="003470E5">
      <w:pPr>
        <w:pStyle w:val="NoSpacing"/>
        <w:ind w:left="720" w:hanging="720"/>
      </w:pPr>
      <w:r>
        <w:t>4.84</w:t>
      </w:r>
      <w:r>
        <w:tab/>
        <w:t>As noted above, existing landscaping occupying marginally in excess of 200 m</w:t>
      </w:r>
      <w:r>
        <w:rPr>
          <w:vertAlign w:val="superscript"/>
        </w:rPr>
        <w:t>2</w:t>
      </w:r>
      <w:r>
        <w:t xml:space="preserve"> will require removal in order to facilitate to the proposed development. This is host to 12 No. trees planted amidst an area laid to grass. The trees, which were planted in 2005 and include species such as Bird Cherry and Field Maple, are still in a state or relative immaturity with trunk diameters typically ranging between 10cm to 15cm (note photograph below). Their habitat value is presently somewhat limited. It can also be observed that the grassland area exhibits poor biodiversity. It is regularly mown and somewhat monocultural, being absent of legumes, wild flowers and other species.   </w:t>
      </w:r>
    </w:p>
    <w:p w14:paraId="0B4E43DE" w14:textId="77777777" w:rsidR="003470E5" w:rsidRPr="00DF2450" w:rsidRDefault="003470E5" w:rsidP="003470E5">
      <w:pPr>
        <w:pStyle w:val="NoSpacing"/>
      </w:pPr>
      <w:r>
        <w:t xml:space="preserve">   </w:t>
      </w:r>
    </w:p>
    <w:p w14:paraId="548E60F5" w14:textId="77777777" w:rsidR="003470E5" w:rsidRDefault="003470E5" w:rsidP="003470E5">
      <w:pPr>
        <w:pStyle w:val="NoSpacing"/>
        <w:jc w:val="center"/>
      </w:pPr>
      <w:r w:rsidRPr="00DF2450">
        <w:rPr>
          <w:noProof/>
          <w:lang w:eastAsia="en-GB"/>
        </w:rPr>
        <w:drawing>
          <wp:inline distT="0" distB="0" distL="0" distR="0" wp14:anchorId="72FD6E3A" wp14:editId="7F7A99EF">
            <wp:extent cx="4656977" cy="2321781"/>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80342" cy="2333430"/>
                    </a:xfrm>
                    <a:prstGeom prst="rect">
                      <a:avLst/>
                    </a:prstGeom>
                  </pic:spPr>
                </pic:pic>
              </a:graphicData>
            </a:graphic>
          </wp:inline>
        </w:drawing>
      </w:r>
    </w:p>
    <w:p w14:paraId="752A7184" w14:textId="77777777" w:rsidR="003470E5" w:rsidRPr="002A3BAE" w:rsidRDefault="003470E5" w:rsidP="003470E5">
      <w:pPr>
        <w:pStyle w:val="NoSpacing"/>
        <w:jc w:val="center"/>
        <w:rPr>
          <w:rFonts w:asciiTheme="minorHAnsi" w:hAnsiTheme="minorHAnsi" w:cstheme="minorHAnsi"/>
          <w:sz w:val="18"/>
          <w:szCs w:val="18"/>
        </w:rPr>
      </w:pPr>
      <w:r>
        <w:rPr>
          <w:rFonts w:asciiTheme="minorHAnsi" w:hAnsiTheme="minorHAnsi" w:cstheme="minorHAnsi"/>
          <w:sz w:val="18"/>
          <w:szCs w:val="18"/>
        </w:rPr>
        <w:t>Photograph identifying area of existing landscaping proposed for removal.</w:t>
      </w:r>
    </w:p>
    <w:p w14:paraId="7851BEF9" w14:textId="77777777" w:rsidR="003470E5" w:rsidRDefault="003470E5" w:rsidP="003470E5">
      <w:pPr>
        <w:pStyle w:val="NoSpacing"/>
      </w:pPr>
    </w:p>
    <w:p w14:paraId="7318578E" w14:textId="77777777" w:rsidR="003470E5" w:rsidRPr="00374AC9" w:rsidRDefault="003470E5" w:rsidP="003470E5">
      <w:pPr>
        <w:pStyle w:val="NoSpacing"/>
        <w:ind w:left="720" w:hanging="720"/>
      </w:pPr>
      <w:r>
        <w:t>4.85</w:t>
      </w:r>
      <w:r>
        <w:tab/>
        <w:t>As discussed within the latter ‘Landscaping’ section of this statement, there is potential for the trees to be carefully extracted and re-planted as part of a wider scheme of proposed landscaping within an area occupying approximately 450 m</w:t>
      </w:r>
      <w:r>
        <w:rPr>
          <w:vertAlign w:val="superscript"/>
        </w:rPr>
        <w:t>2</w:t>
      </w:r>
      <w:r>
        <w:t xml:space="preserve"> within the south-eastern corner of the application site (as depicted upon submitted proposed site layout plan F3046-02). The new tree planting scheme will include additional species such as Sessile Oak, which is known to be particularly effective at enhancing biodiversity/creating rich micro-habitats. It is therefore anticipated that, in accordance with the objectives outlined in paragraph 179 of the National Planning Policy Framework 2021, the proposal will be capable of achieving biodiversity net gain. </w:t>
      </w:r>
    </w:p>
    <w:p w14:paraId="07E3E198" w14:textId="77777777" w:rsidR="003470E5" w:rsidRDefault="003470E5" w:rsidP="003470E5">
      <w:pPr>
        <w:pStyle w:val="NoSpacing"/>
      </w:pPr>
    </w:p>
    <w:p w14:paraId="4C523333" w14:textId="77777777" w:rsidR="003470E5" w:rsidRDefault="003470E5" w:rsidP="003470E5">
      <w:pPr>
        <w:pStyle w:val="NoSpacing"/>
        <w:ind w:left="720" w:hanging="720"/>
      </w:pPr>
      <w:r>
        <w:t>4.86</w:t>
      </w:r>
      <w:r>
        <w:tab/>
        <w:t xml:space="preserve">In light of the above, it can be concluded that the development scheme will have a minor positive impact upon areas of outlying habitat land by virtue of reduced ammonia emissions and consequent nitrogen deposition. </w:t>
      </w:r>
      <w:r w:rsidRPr="00DA7B01">
        <w:t xml:space="preserve">The habitat/biodiversity value of the application site is presently very limited and the proposal will facilitate </w:t>
      </w:r>
      <w:r>
        <w:t>enhancement</w:t>
      </w:r>
      <w:r w:rsidRPr="00DA7B01">
        <w:t xml:space="preserve"> via mitigating landscaping measures</w:t>
      </w:r>
      <w:r>
        <w:t>.</w:t>
      </w:r>
    </w:p>
    <w:p w14:paraId="08830119" w14:textId="77777777" w:rsidR="003470E5" w:rsidRDefault="003470E5" w:rsidP="003470E5">
      <w:pPr>
        <w:pStyle w:val="NoSpacing"/>
      </w:pPr>
    </w:p>
    <w:p w14:paraId="24CDE032" w14:textId="77777777" w:rsidR="003470E5" w:rsidRPr="006245CC" w:rsidRDefault="003470E5" w:rsidP="003470E5">
      <w:pPr>
        <w:pStyle w:val="NoSpacing"/>
        <w:ind w:firstLine="720"/>
        <w:rPr>
          <w:b/>
          <w:bCs/>
          <w:u w:val="single"/>
        </w:rPr>
      </w:pPr>
      <w:r w:rsidRPr="006245CC">
        <w:rPr>
          <w:b/>
          <w:bCs/>
          <w:u w:val="single"/>
        </w:rPr>
        <w:t>Archaeology &amp; Heritage</w:t>
      </w:r>
    </w:p>
    <w:p w14:paraId="091E95EA" w14:textId="77777777" w:rsidR="003470E5" w:rsidRDefault="003470E5" w:rsidP="003470E5">
      <w:pPr>
        <w:pStyle w:val="NoSpacing"/>
      </w:pPr>
    </w:p>
    <w:p w14:paraId="7569EAE0" w14:textId="77777777" w:rsidR="003470E5" w:rsidRDefault="003470E5" w:rsidP="003470E5">
      <w:pPr>
        <w:pStyle w:val="NoSpacing"/>
        <w:ind w:left="720" w:hanging="720"/>
      </w:pPr>
      <w:r>
        <w:t>4.87</w:t>
      </w:r>
      <w:r>
        <w:tab/>
        <w:t>The following comprises an appraisal of the proposed development’s impact upon identified heritage assets. Such has been undertaken in accordance with paragraph 194 of the National Planning Policy Framework (2021), which stipulates that: ‘</w:t>
      </w:r>
      <w:r w:rsidRPr="00E86826">
        <w:rPr>
          <w:i/>
        </w:rPr>
        <w:t xml:space="preserve">In determining applications, local planning authorities should require an applicant to describe the significance of any heritage assets affected, including any contribution </w:t>
      </w:r>
      <w:r w:rsidRPr="00E86826">
        <w:rPr>
          <w:i/>
        </w:rPr>
        <w:lastRenderedPageBreak/>
        <w:t>made by their setting. The level of detail should be proportionate to the assets’ importance and no more than is sufficient to understand the potential impact of the proposal on their significance. As a minimum the relevant historic environment record should have been consulted and the heritage assets assessed using appropriate expertise where necessary. Where a site on which development is proposed includes, or has the potential to include, heritage assets with archaeological interest, local planning authorities should require developers to submit an appropriate desk-based assessment and, where necessary, a field evaluation.</w:t>
      </w:r>
      <w:r>
        <w:t>’</w:t>
      </w:r>
    </w:p>
    <w:p w14:paraId="7B648E67" w14:textId="77777777" w:rsidR="003470E5" w:rsidRDefault="003470E5" w:rsidP="003470E5">
      <w:pPr>
        <w:pStyle w:val="NoSpacing"/>
      </w:pPr>
    </w:p>
    <w:p w14:paraId="5BB80F82" w14:textId="77777777" w:rsidR="003470E5" w:rsidRDefault="003470E5" w:rsidP="003470E5">
      <w:pPr>
        <w:pStyle w:val="NoSpacing"/>
        <w:ind w:left="720" w:hanging="720"/>
      </w:pPr>
      <w:r>
        <w:t>4.88</w:t>
      </w:r>
      <w:r>
        <w:tab/>
        <w:t xml:space="preserve">In light of the above, a search of Historic England's database was undertaken to ascertain whether any designated heritage assets such as Conservation Areas, Listed Buildings and Scheduled Ancient Monuments were located in proximity to the application site or within the development’s zone of visual influence. </w:t>
      </w:r>
    </w:p>
    <w:p w14:paraId="3F37E570" w14:textId="77777777" w:rsidR="003470E5" w:rsidRDefault="003470E5" w:rsidP="003470E5">
      <w:pPr>
        <w:pStyle w:val="NoSpacing"/>
      </w:pPr>
    </w:p>
    <w:p w14:paraId="5E69D326" w14:textId="77777777" w:rsidR="003470E5" w:rsidRDefault="003470E5" w:rsidP="003470E5">
      <w:pPr>
        <w:pStyle w:val="NoSpacing"/>
        <w:ind w:left="720" w:hanging="720"/>
      </w:pPr>
      <w:r>
        <w:t>4.89</w:t>
      </w:r>
      <w:r>
        <w:tab/>
        <w:t xml:space="preserve">Somerton Castle, which comprises a scheduled monument host to Grade I listed buildings (note LEN </w:t>
      </w:r>
      <w:r w:rsidRPr="00B95DB3">
        <w:t>1061974</w:t>
      </w:r>
      <w:r>
        <w:t xml:space="preserve">), is located 1.0 kilometre to the northeast of the application site. However, the new poultry house will be screened from view of this designated heritage asset by the wider Barn Farm complex. Changes to the wider setting of Somerton Castle will not therefore be apparent subsequent to the proposed development. It should also be noted that Somerton Castle is under ownership of the applicant and essentially functions in the capacity of ‘principal farmhouse’. </w:t>
      </w:r>
    </w:p>
    <w:p w14:paraId="1CD6545D" w14:textId="77777777" w:rsidR="003470E5" w:rsidRDefault="003470E5" w:rsidP="003470E5">
      <w:pPr>
        <w:pStyle w:val="NoSpacing"/>
      </w:pPr>
    </w:p>
    <w:p w14:paraId="656F3B6A" w14:textId="77777777" w:rsidR="003470E5" w:rsidRDefault="003470E5" w:rsidP="003470E5">
      <w:pPr>
        <w:pStyle w:val="NoSpacing"/>
        <w:ind w:left="720" w:hanging="720"/>
      </w:pPr>
      <w:r>
        <w:t>4.90</w:t>
      </w:r>
      <w:r>
        <w:tab/>
        <w:t>The Lincolnshire Historic Environment Record (HER) has not highlighted evidence of archaeological finds or features within/adjacent to the application site. The wider agricultural building cluster was originally occupied by a 19</w:t>
      </w:r>
      <w:r w:rsidRPr="0009546E">
        <w:rPr>
          <w:vertAlign w:val="superscript"/>
        </w:rPr>
        <w:t>th</w:t>
      </w:r>
      <w:r>
        <w:t xml:space="preserve"> Century farmstead (HER Ref: </w:t>
      </w:r>
      <w:r w:rsidRPr="00776474">
        <w:t>MLI120983</w:t>
      </w:r>
      <w:r>
        <w:t xml:space="preserve">). This has however been redeveloped and is thus no longer evident. Crop marks indicating the possible presence of medieval remains including a pond, mound and linear feature (HER Ref: </w:t>
      </w:r>
      <w:r w:rsidRPr="0009546E">
        <w:t>MLI86438</w:t>
      </w:r>
      <w:r>
        <w:t>) have been identified within the neighbouring field approximately 450 metres to the west of the application site. As aforementioned, the medieval village of Skinnand (HER Ref</w:t>
      </w:r>
      <w:r w:rsidRPr="003A1D17">
        <w:t>: MLI60773</w:t>
      </w:r>
      <w:r>
        <w:t>) is located approximately 500+ metres to the southwest of the proposed site. Skinnand was originally recorded in the ‘Doomsday Book’ and occupation of the rather impoverished settlement continued into the mid-19</w:t>
      </w:r>
      <w:r w:rsidRPr="00936FF9">
        <w:rPr>
          <w:vertAlign w:val="superscript"/>
        </w:rPr>
        <w:t>th</w:t>
      </w:r>
      <w:r>
        <w:t xml:space="preserve"> Century. Only earthworks, a small graveyard and the ruin of a farmhouse now remain. The confines of the village did not extend towards the vicinity of the application site. Archaeological potential is therefore expected to be low.</w:t>
      </w:r>
    </w:p>
    <w:p w14:paraId="77474438" w14:textId="77777777" w:rsidR="003470E5" w:rsidRDefault="003470E5" w:rsidP="003470E5">
      <w:pPr>
        <w:pStyle w:val="NoSpacing"/>
      </w:pPr>
    </w:p>
    <w:p w14:paraId="04111C12" w14:textId="77777777" w:rsidR="003470E5" w:rsidRDefault="003470E5" w:rsidP="003470E5">
      <w:pPr>
        <w:pStyle w:val="NoSpacing"/>
        <w:ind w:left="720" w:hanging="720"/>
      </w:pPr>
      <w:r>
        <w:t>4.91</w:t>
      </w:r>
      <w:r>
        <w:tab/>
      </w:r>
      <w:r w:rsidRPr="000154B0">
        <w:t>An examination of aerial photographs has not highlighted the potential presence of any archaeological remains within or near the site (e.g. traces evident through topography or crop markings indicating man made features). LiDAR data overlaid with aerial photography indicates that the application site is situated amidst predominantly contemporary agricultural features including farm tracks, agricultural buildings and associated works (note image included below</w:t>
      </w:r>
      <w:r>
        <w:t>).</w:t>
      </w:r>
    </w:p>
    <w:p w14:paraId="1F6E9E9B" w14:textId="77777777" w:rsidR="003470E5" w:rsidRDefault="003470E5" w:rsidP="003470E5">
      <w:pPr>
        <w:pStyle w:val="NoSpacing"/>
      </w:pPr>
    </w:p>
    <w:p w14:paraId="71C75F65" w14:textId="77777777" w:rsidR="003470E5" w:rsidRDefault="003470E5" w:rsidP="003470E5">
      <w:pPr>
        <w:pStyle w:val="NoSpacing"/>
        <w:jc w:val="center"/>
      </w:pPr>
      <w:r w:rsidRPr="00DF5E3E">
        <w:rPr>
          <w:noProof/>
          <w:lang w:eastAsia="en-GB"/>
        </w:rPr>
        <w:lastRenderedPageBreak/>
        <w:drawing>
          <wp:inline distT="0" distB="0" distL="0" distR="0" wp14:anchorId="1D705133" wp14:editId="78E7D03D">
            <wp:extent cx="4651513" cy="30137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68779" cy="3024929"/>
                    </a:xfrm>
                    <a:prstGeom prst="rect">
                      <a:avLst/>
                    </a:prstGeom>
                  </pic:spPr>
                </pic:pic>
              </a:graphicData>
            </a:graphic>
          </wp:inline>
        </w:drawing>
      </w:r>
    </w:p>
    <w:p w14:paraId="08A3A3A6" w14:textId="77777777" w:rsidR="003470E5" w:rsidRDefault="003470E5" w:rsidP="003470E5">
      <w:pPr>
        <w:pStyle w:val="NoSpacing"/>
        <w:jc w:val="center"/>
      </w:pPr>
      <w:r w:rsidRPr="005D4871">
        <w:rPr>
          <w:rFonts w:asciiTheme="minorHAnsi" w:hAnsiTheme="minorHAnsi" w:cstheme="minorHAnsi"/>
          <w:sz w:val="18"/>
          <w:szCs w:val="18"/>
        </w:rPr>
        <w:t xml:space="preserve">LiDAR data depicting application site situated amidst </w:t>
      </w:r>
      <w:r>
        <w:rPr>
          <w:rFonts w:asciiTheme="minorHAnsi" w:hAnsiTheme="minorHAnsi" w:cstheme="minorHAnsi"/>
          <w:sz w:val="18"/>
          <w:szCs w:val="18"/>
        </w:rPr>
        <w:t xml:space="preserve">predominantly </w:t>
      </w:r>
      <w:r w:rsidRPr="005D4871">
        <w:rPr>
          <w:rFonts w:asciiTheme="minorHAnsi" w:hAnsiTheme="minorHAnsi" w:cstheme="minorHAnsi"/>
          <w:sz w:val="18"/>
          <w:szCs w:val="18"/>
        </w:rPr>
        <w:t>contemporary features</w:t>
      </w:r>
    </w:p>
    <w:p w14:paraId="08C9D7D2" w14:textId="77777777" w:rsidR="003470E5" w:rsidRDefault="003470E5" w:rsidP="003470E5">
      <w:pPr>
        <w:pStyle w:val="NoSpacing"/>
      </w:pPr>
    </w:p>
    <w:p w14:paraId="426955D3" w14:textId="77777777" w:rsidR="003470E5" w:rsidRDefault="003470E5" w:rsidP="003470E5">
      <w:pPr>
        <w:pStyle w:val="NoSpacing"/>
        <w:ind w:left="720" w:hanging="720"/>
      </w:pPr>
      <w:r>
        <w:t>4.92</w:t>
      </w:r>
      <w:r>
        <w:tab/>
        <w:t>Earthworks associated with the abandoned village of Skinnand are evident adjacent to the flood defence banks of the River Brant to the southwest of the site. The LiDAR image also includes moated earthworks within the grounds of Somerton Castle (north-eastern corner).</w:t>
      </w:r>
    </w:p>
    <w:p w14:paraId="5E0E64E1" w14:textId="77777777" w:rsidR="003470E5" w:rsidRDefault="003470E5" w:rsidP="003470E5">
      <w:pPr>
        <w:pStyle w:val="NoSpacing"/>
      </w:pPr>
    </w:p>
    <w:p w14:paraId="6940F4C9" w14:textId="77777777" w:rsidR="003470E5" w:rsidRDefault="003470E5" w:rsidP="003470E5">
      <w:pPr>
        <w:pStyle w:val="NoSpacing"/>
        <w:ind w:left="720" w:hanging="720"/>
      </w:pPr>
      <w:r>
        <w:t>4.93</w:t>
      </w:r>
      <w:r>
        <w:tab/>
        <w:t xml:space="preserve">A search of cartographic resources identifies that a small cluster of structures (possibly historically associated with Barn Farm) were located adjacent to the northern verge of Church Lane approximately 400 metres to the northwest of the application site in 1869. An extract from a late Georgian/early Victorian era OS map of 1805 - 1869 is included below (application site outlined thereon in red. It can be observed that the application site/contemporary Barn Farm complex is located within an open field absent of development during this period. </w:t>
      </w:r>
    </w:p>
    <w:p w14:paraId="7BFBB62E" w14:textId="77777777" w:rsidR="003470E5" w:rsidRDefault="003470E5" w:rsidP="003470E5">
      <w:pPr>
        <w:pStyle w:val="NoSpacing"/>
      </w:pPr>
    </w:p>
    <w:p w14:paraId="028909E3" w14:textId="77777777" w:rsidR="003470E5" w:rsidRDefault="003470E5" w:rsidP="003470E5">
      <w:pPr>
        <w:pStyle w:val="NoSpacing"/>
        <w:jc w:val="center"/>
      </w:pPr>
      <w:r w:rsidRPr="00A83615">
        <w:rPr>
          <w:noProof/>
          <w:lang w:eastAsia="en-GB"/>
        </w:rPr>
        <w:lastRenderedPageBreak/>
        <w:drawing>
          <wp:inline distT="0" distB="0" distL="0" distR="0" wp14:anchorId="702CB5A2" wp14:editId="7E410341">
            <wp:extent cx="4683318" cy="3450484"/>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00518" cy="3463156"/>
                    </a:xfrm>
                    <a:prstGeom prst="rect">
                      <a:avLst/>
                    </a:prstGeom>
                  </pic:spPr>
                </pic:pic>
              </a:graphicData>
            </a:graphic>
          </wp:inline>
        </w:drawing>
      </w:r>
    </w:p>
    <w:p w14:paraId="5E4CF0A7" w14:textId="77777777" w:rsidR="003470E5" w:rsidRPr="008C7F32" w:rsidRDefault="003470E5" w:rsidP="003470E5">
      <w:pPr>
        <w:pStyle w:val="NoSpacing"/>
        <w:jc w:val="center"/>
        <w:rPr>
          <w:rFonts w:asciiTheme="minorHAnsi" w:hAnsiTheme="minorHAnsi" w:cstheme="minorHAnsi"/>
          <w:sz w:val="18"/>
          <w:szCs w:val="18"/>
        </w:rPr>
      </w:pPr>
      <w:r w:rsidRPr="008C7F32">
        <w:rPr>
          <w:rFonts w:asciiTheme="minorHAnsi" w:hAnsiTheme="minorHAnsi" w:cstheme="minorHAnsi"/>
          <w:sz w:val="18"/>
          <w:szCs w:val="18"/>
        </w:rPr>
        <w:t>Late Georgian/early Victorian 1 inch OS map of 1805 - 1869</w:t>
      </w:r>
    </w:p>
    <w:p w14:paraId="48B9106F" w14:textId="77777777" w:rsidR="003470E5" w:rsidRDefault="003470E5" w:rsidP="003470E5">
      <w:pPr>
        <w:pStyle w:val="NoSpacing"/>
      </w:pPr>
    </w:p>
    <w:p w14:paraId="7EB85407" w14:textId="77777777" w:rsidR="003470E5" w:rsidRPr="000154B0" w:rsidRDefault="003470E5" w:rsidP="003470E5">
      <w:pPr>
        <w:pStyle w:val="NoSpacing"/>
        <w:ind w:left="720" w:hanging="720"/>
      </w:pPr>
      <w:r>
        <w:t>4.94</w:t>
      </w:r>
      <w:r>
        <w:tab/>
      </w:r>
      <w:r w:rsidRPr="000154B0">
        <w:t xml:space="preserve">The Lincolnshire HER, LiDAR and cartographic data suggests that the proposed development will not prove erosive to, or adversely impact upon any historic landscape features or areas of potential archaeological significance. </w:t>
      </w:r>
    </w:p>
    <w:p w14:paraId="007C8B5B" w14:textId="77777777" w:rsidR="003470E5" w:rsidRDefault="003470E5" w:rsidP="003470E5">
      <w:pPr>
        <w:pStyle w:val="NoSpacing"/>
      </w:pPr>
    </w:p>
    <w:p w14:paraId="44FACA72" w14:textId="77777777" w:rsidR="003470E5" w:rsidRPr="000154B0" w:rsidRDefault="003470E5" w:rsidP="003470E5">
      <w:pPr>
        <w:pStyle w:val="NoSpacing"/>
        <w:ind w:left="720" w:hanging="720"/>
      </w:pPr>
      <w:r>
        <w:t>4.95</w:t>
      </w:r>
      <w:r>
        <w:tab/>
      </w:r>
      <w:r w:rsidRPr="000154B0">
        <w:t>It is accordingly concluded that the proposed development will not have any tangible impact upon the setting of outlying designated heritage assets. The application site</w:t>
      </w:r>
      <w:r>
        <w:t>, which is essentially previously developed land,</w:t>
      </w:r>
      <w:r w:rsidRPr="000154B0">
        <w:t xml:space="preserve"> is also considered to have low archaeological potential</w:t>
      </w:r>
      <w:r>
        <w:t>. T</w:t>
      </w:r>
      <w:r w:rsidRPr="000154B0">
        <w:t>he proposal is therefore unlikely to have any adverse impact upon archaeological resources.</w:t>
      </w:r>
    </w:p>
    <w:p w14:paraId="64354D95" w14:textId="77777777" w:rsidR="003470E5" w:rsidRDefault="003470E5" w:rsidP="003470E5">
      <w:pPr>
        <w:pStyle w:val="NoSpacing"/>
      </w:pPr>
    </w:p>
    <w:p w14:paraId="6BEE2E15" w14:textId="77777777" w:rsidR="003470E5" w:rsidRPr="006245CC" w:rsidRDefault="003470E5" w:rsidP="003470E5">
      <w:pPr>
        <w:pStyle w:val="NoSpacing"/>
        <w:ind w:firstLine="720"/>
        <w:rPr>
          <w:b/>
          <w:bCs/>
          <w:u w:val="single"/>
        </w:rPr>
      </w:pPr>
      <w:r w:rsidRPr="006245CC">
        <w:rPr>
          <w:b/>
          <w:bCs/>
          <w:u w:val="single"/>
        </w:rPr>
        <w:t>Population</w:t>
      </w:r>
    </w:p>
    <w:p w14:paraId="2B6ADD7B" w14:textId="77777777" w:rsidR="003470E5" w:rsidRDefault="003470E5" w:rsidP="003470E5">
      <w:pPr>
        <w:pStyle w:val="NoSpacing"/>
      </w:pPr>
    </w:p>
    <w:p w14:paraId="3DBF8948" w14:textId="77777777" w:rsidR="003470E5" w:rsidRDefault="003470E5" w:rsidP="003470E5">
      <w:pPr>
        <w:pStyle w:val="NoSpacing"/>
        <w:ind w:left="720" w:hanging="720"/>
      </w:pPr>
      <w:r>
        <w:t>4.96</w:t>
      </w:r>
      <w:r>
        <w:tab/>
        <w:t>I</w:t>
      </w:r>
      <w:r w:rsidRPr="008D1AF6">
        <w:t xml:space="preserve">ntensive livestock units </w:t>
      </w:r>
      <w:r>
        <w:t>can</w:t>
      </w:r>
      <w:r w:rsidRPr="008D1AF6">
        <w:t xml:space="preserve"> potential</w:t>
      </w:r>
      <w:r>
        <w:t>ly give rise to environmental effects that adversely</w:t>
      </w:r>
      <w:r w:rsidRPr="008D1AF6">
        <w:t xml:space="preserve"> impact upon level</w:t>
      </w:r>
      <w:r>
        <w:t>s of residential amenity afforded</w:t>
      </w:r>
      <w:r w:rsidRPr="008D1AF6">
        <w:t xml:space="preserve"> by surrounding occupants. Under normal conditions, the effects of </w:t>
      </w:r>
      <w:r>
        <w:t xml:space="preserve">noise and airborne </w:t>
      </w:r>
      <w:r w:rsidRPr="008D1AF6">
        <w:t>pollution typically diffuse as the distance from the source increases. Though controls will be in place to minimise adverse effects</w:t>
      </w:r>
      <w:r>
        <w:t xml:space="preserve"> (site </w:t>
      </w:r>
      <w:r w:rsidRPr="008D1AF6">
        <w:t xml:space="preserve">regulated in accordance with EA permit), it is reasonable to state that potential impacts will be more tangible in closer proximity to the development scheme. The proposed site </w:t>
      </w:r>
      <w:r>
        <w:t xml:space="preserve">was therefore carefully screened at the outset in order to ensure that occupants of neighbouring dwellings would not suffer any loss of residential amenity.  </w:t>
      </w:r>
    </w:p>
    <w:p w14:paraId="78026193" w14:textId="77777777" w:rsidR="003470E5" w:rsidRDefault="003470E5" w:rsidP="003470E5">
      <w:pPr>
        <w:pStyle w:val="NoSpacing"/>
      </w:pPr>
    </w:p>
    <w:p w14:paraId="0E663D1D" w14:textId="77777777" w:rsidR="003470E5" w:rsidRDefault="003470E5" w:rsidP="003470E5">
      <w:pPr>
        <w:pStyle w:val="NoSpacing"/>
        <w:ind w:left="720" w:hanging="720"/>
      </w:pPr>
      <w:r>
        <w:t>4.97</w:t>
      </w:r>
      <w:r>
        <w:tab/>
        <w:t>Excluding dwellings/property associated with the applicants’ farm holding, the most proximate sensitive receptor comprises a dwelling (Skinnand Manor) located off Parson’s Lane approximately 450 metres to the south of the proposed broiler units. As detailed within the 'Air Quality' and ‘Noise' sections of this statement, t</w:t>
      </w:r>
      <w:r w:rsidRPr="008D1AF6">
        <w:t xml:space="preserve">he </w:t>
      </w:r>
      <w:r>
        <w:t>remoteness</w:t>
      </w:r>
      <w:r w:rsidRPr="008D1AF6">
        <w:t xml:space="preserve"> of th</w:t>
      </w:r>
      <w:r>
        <w:t>is receptor is sufficient to ensure</w:t>
      </w:r>
      <w:r w:rsidRPr="008D1AF6">
        <w:t xml:space="preserve"> that the </w:t>
      </w:r>
      <w:r>
        <w:t xml:space="preserve">proposed </w:t>
      </w:r>
      <w:r w:rsidRPr="008D1AF6">
        <w:t>development</w:t>
      </w:r>
      <w:r>
        <w:t>/operation, in cumulation with the retained broiler units,</w:t>
      </w:r>
      <w:r w:rsidRPr="008D1AF6">
        <w:t xml:space="preserve"> is </w:t>
      </w:r>
      <w:r>
        <w:t>unlikely to have any tangible</w:t>
      </w:r>
      <w:r w:rsidRPr="008D1AF6">
        <w:t xml:space="preserve"> impact upon existing levels of residential amenity.</w:t>
      </w:r>
      <w:r>
        <w:t xml:space="preserve"> Despite the net increase in bird numbers, the </w:t>
      </w:r>
      <w:r>
        <w:lastRenderedPageBreak/>
        <w:t xml:space="preserve">transition away from pig breeding/rearing presents a number of environmental benefits. Both odour and ammonia concentrations will reduce significantly as a result of the development. Indeed, odour concentrations at Skinnand Manor will fall from 11.7 </w:t>
      </w:r>
      <w:r w:rsidRPr="00326EF2">
        <w:t>ouE/m3</w:t>
      </w:r>
      <w:r>
        <w:t xml:space="preserve"> to below </w:t>
      </w:r>
      <w:r w:rsidRPr="00326EF2">
        <w:t>1.5 ouE/m3 over a</w:t>
      </w:r>
      <w:r>
        <w:t>ny given</w:t>
      </w:r>
      <w:r w:rsidRPr="00326EF2">
        <w:t xml:space="preserve"> one year period</w:t>
      </w:r>
      <w:r>
        <w:t xml:space="preserve"> (well below EA thresholds). This will notably improve the quality of life experienced by occupants of the property.  </w:t>
      </w:r>
    </w:p>
    <w:p w14:paraId="03434CFE" w14:textId="77777777" w:rsidR="003470E5" w:rsidRDefault="003470E5" w:rsidP="003470E5">
      <w:pPr>
        <w:pStyle w:val="NoSpacing"/>
      </w:pPr>
    </w:p>
    <w:p w14:paraId="47ED5C61" w14:textId="77777777" w:rsidR="003470E5" w:rsidRDefault="003470E5" w:rsidP="003470E5">
      <w:pPr>
        <w:pStyle w:val="NoSpacing"/>
        <w:ind w:left="720" w:hanging="720"/>
      </w:pPr>
      <w:r>
        <w:t>4.98</w:t>
      </w:r>
      <w:r>
        <w:tab/>
      </w:r>
      <w:r w:rsidRPr="008D1AF6">
        <w:t xml:space="preserve">With </w:t>
      </w:r>
      <w:r>
        <w:t>regard to concerns over potential</w:t>
      </w:r>
      <w:r w:rsidRPr="008D1AF6">
        <w:t xml:space="preserve"> nuisance arising from flies, it is emphasised that</w:t>
      </w:r>
      <w:r w:rsidRPr="008D1AF6">
        <w:rPr>
          <w:szCs w:val="24"/>
        </w:rPr>
        <w:t xml:space="preserve"> the poultry </w:t>
      </w:r>
      <w:r>
        <w:rPr>
          <w:szCs w:val="24"/>
        </w:rPr>
        <w:t>house</w:t>
      </w:r>
      <w:r w:rsidRPr="008D1AF6">
        <w:rPr>
          <w:szCs w:val="24"/>
        </w:rPr>
        <w:t xml:space="preserve"> will be regularly cleaned at the end of each </w:t>
      </w:r>
      <w:r>
        <w:rPr>
          <w:szCs w:val="24"/>
        </w:rPr>
        <w:t xml:space="preserve">38 day </w:t>
      </w:r>
      <w:r w:rsidRPr="008D1AF6">
        <w:rPr>
          <w:szCs w:val="24"/>
        </w:rPr>
        <w:t xml:space="preserve">cycle and fly infestation is not considered to be an issue in modern </w:t>
      </w:r>
      <w:r>
        <w:rPr>
          <w:szCs w:val="24"/>
        </w:rPr>
        <w:t xml:space="preserve">broiler </w:t>
      </w:r>
      <w:r w:rsidRPr="008D1AF6">
        <w:rPr>
          <w:szCs w:val="24"/>
        </w:rPr>
        <w:t>poultry units of the type proposed. The litter will have a low moisture content which will reduce the ability of flies to breed.  Flies require a source of food, water and an organic substrate to lay their eggs. This organic matter needs to have moisture content of between 40% and 70% in order for their eggs to be viable and allow for metamorphosis from egg to larva, pupa and a</w:t>
      </w:r>
      <w:r w:rsidRPr="008D1AF6">
        <w:t xml:space="preserve">dult fly to progress normally. </w:t>
      </w:r>
      <w:r w:rsidRPr="008D1AF6">
        <w:rPr>
          <w:szCs w:val="24"/>
        </w:rPr>
        <w:t xml:space="preserve">The climate controlled unit </w:t>
      </w:r>
      <w:r>
        <w:rPr>
          <w:szCs w:val="24"/>
        </w:rPr>
        <w:t>will achieve a bedding/litter moisture content of between 35% and 39%, which is unsuitable for fly breeding</w:t>
      </w:r>
      <w:r w:rsidRPr="008D1AF6">
        <w:rPr>
          <w:szCs w:val="24"/>
        </w:rPr>
        <w:t>.</w:t>
      </w:r>
      <w:r>
        <w:rPr>
          <w:szCs w:val="24"/>
        </w:rPr>
        <w:t xml:space="preserve"> In this context, the proposal will present an improvement over the existing pig breeding and rearing operations, which are accommodated within old generation livestock units with naturally ventilated/capped fan ventilation systems that tend to be notably less efficient resultant in higher bedding moisture content/more potential for fly nuisance. The proposed development is therefore anticipated to have a positive impact upon levels of amenity afforded by neighbouring occupants.</w:t>
      </w:r>
    </w:p>
    <w:p w14:paraId="77FDC03E" w14:textId="77777777" w:rsidR="003470E5" w:rsidRDefault="003470E5" w:rsidP="003470E5">
      <w:pPr>
        <w:pStyle w:val="NoSpacing"/>
      </w:pPr>
    </w:p>
    <w:p w14:paraId="5CC4F48C" w14:textId="77777777" w:rsidR="003470E5" w:rsidRDefault="003470E5" w:rsidP="003470E5">
      <w:pPr>
        <w:pStyle w:val="NoSpacing"/>
        <w:ind w:left="720" w:hanging="720"/>
      </w:pPr>
      <w:r>
        <w:t>4.99</w:t>
      </w:r>
      <w:r>
        <w:tab/>
        <w:t>In context of the above, it is reasonable to state that the proposed development will not give rise to any cumulative environmental effects that might prove detrimental to levels of residential amenity or human health.</w:t>
      </w:r>
    </w:p>
    <w:p w14:paraId="02E7AA22" w14:textId="77777777" w:rsidR="003470E5" w:rsidRPr="003470E5" w:rsidRDefault="003470E5" w:rsidP="003470E5">
      <w:pPr>
        <w:pStyle w:val="NoSpacing"/>
      </w:pPr>
    </w:p>
    <w:sectPr w:rsidR="003470E5" w:rsidRPr="003470E5">
      <w:head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0D6D8" w14:textId="77777777" w:rsidR="00C0182D" w:rsidRDefault="00C0182D" w:rsidP="00C0182D">
      <w:r>
        <w:separator/>
      </w:r>
    </w:p>
  </w:endnote>
  <w:endnote w:type="continuationSeparator" w:id="0">
    <w:p w14:paraId="03D7FA4D" w14:textId="77777777" w:rsidR="00C0182D" w:rsidRDefault="00C0182D" w:rsidP="00C018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egano">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114CF7" w14:textId="77777777" w:rsidR="00C0182D" w:rsidRDefault="00C0182D" w:rsidP="00C0182D">
      <w:r>
        <w:separator/>
      </w:r>
    </w:p>
  </w:footnote>
  <w:footnote w:type="continuationSeparator" w:id="0">
    <w:p w14:paraId="30C03A0D" w14:textId="77777777" w:rsidR="00C0182D" w:rsidRDefault="00C0182D" w:rsidP="00C018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5A62B" w14:textId="77777777" w:rsidR="00C0182D" w:rsidRDefault="00C0182D" w:rsidP="00C0182D">
    <w:pPr>
      <w:tabs>
        <w:tab w:val="center" w:pos="4513"/>
        <w:tab w:val="right" w:pos="9026"/>
      </w:tabs>
      <w:rPr>
        <w:rFonts w:ascii="Bookman Old Style" w:eastAsiaTheme="minorHAnsi" w:hAnsi="Bookman Old Style" w:cstheme="minorBidi"/>
        <w:color w:val="C00000"/>
        <w:sz w:val="18"/>
        <w:szCs w:val="18"/>
      </w:rPr>
    </w:pPr>
    <w:r>
      <w:rPr>
        <w:rFonts w:ascii="Bookman Old Style" w:eastAsiaTheme="minorHAnsi" w:hAnsi="Bookman Old Style" w:cstheme="minorBidi"/>
        <w:color w:val="C00000"/>
        <w:sz w:val="18"/>
        <w:szCs w:val="18"/>
      </w:rPr>
      <w:t>Submitted as part of the application to vary the permit for Barn Farm EPR/FP3739UW – April 2022</w:t>
    </w:r>
  </w:p>
  <w:p w14:paraId="5A6492A4" w14:textId="77777777" w:rsidR="00C0182D" w:rsidRDefault="00C0182D" w:rsidP="00C0182D">
    <w:pPr>
      <w:pStyle w:val="Header"/>
      <w:rPr>
        <w:rFonts w:ascii="Comic Sans MS" w:hAnsi="Comic Sans MS"/>
        <w:szCs w:val="24"/>
      </w:rPr>
    </w:pPr>
  </w:p>
  <w:p w14:paraId="69147DF8" w14:textId="77777777" w:rsidR="00C0182D" w:rsidRDefault="00C018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23BB"/>
    <w:multiLevelType w:val="hybridMultilevel"/>
    <w:tmpl w:val="DF6A8BC4"/>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2687472E"/>
    <w:multiLevelType w:val="hybridMultilevel"/>
    <w:tmpl w:val="DD7808F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7EC5053"/>
    <w:multiLevelType w:val="hybridMultilevel"/>
    <w:tmpl w:val="8D86B226"/>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BA221FF"/>
    <w:multiLevelType w:val="hybridMultilevel"/>
    <w:tmpl w:val="EC66C75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2CA161C0"/>
    <w:multiLevelType w:val="hybridMultilevel"/>
    <w:tmpl w:val="9E7C8848"/>
    <w:lvl w:ilvl="0" w:tplc="08090017">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37087310"/>
    <w:multiLevelType w:val="hybridMultilevel"/>
    <w:tmpl w:val="EF7627A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57412E01"/>
    <w:multiLevelType w:val="hybridMultilevel"/>
    <w:tmpl w:val="1C3EDAB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576A4204"/>
    <w:multiLevelType w:val="hybridMultilevel"/>
    <w:tmpl w:val="B2563C8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5B6211DE"/>
    <w:multiLevelType w:val="hybridMultilevel"/>
    <w:tmpl w:val="A96C27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60764F77"/>
    <w:multiLevelType w:val="hybridMultilevel"/>
    <w:tmpl w:val="7994B4C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65651F0B"/>
    <w:multiLevelType w:val="hybridMultilevel"/>
    <w:tmpl w:val="39EEC07E"/>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6E1D1A69"/>
    <w:multiLevelType w:val="hybridMultilevel"/>
    <w:tmpl w:val="D8A003B4"/>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721A162C"/>
    <w:multiLevelType w:val="hybridMultilevel"/>
    <w:tmpl w:val="9C1A1B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76817D6E"/>
    <w:multiLevelType w:val="hybridMultilevel"/>
    <w:tmpl w:val="767257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799D5167"/>
    <w:multiLevelType w:val="hybridMultilevel"/>
    <w:tmpl w:val="BE30CF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342930416">
    <w:abstractNumId w:val="1"/>
  </w:num>
  <w:num w:numId="2" w16cid:durableId="862086597">
    <w:abstractNumId w:val="9"/>
  </w:num>
  <w:num w:numId="3" w16cid:durableId="796334280">
    <w:abstractNumId w:val="0"/>
  </w:num>
  <w:num w:numId="4" w16cid:durableId="853882162">
    <w:abstractNumId w:val="10"/>
  </w:num>
  <w:num w:numId="5" w16cid:durableId="418599545">
    <w:abstractNumId w:val="7"/>
  </w:num>
  <w:num w:numId="6" w16cid:durableId="1232622594">
    <w:abstractNumId w:val="3"/>
  </w:num>
  <w:num w:numId="7" w16cid:durableId="462576255">
    <w:abstractNumId w:val="14"/>
  </w:num>
  <w:num w:numId="8" w16cid:durableId="1828668234">
    <w:abstractNumId w:val="8"/>
  </w:num>
  <w:num w:numId="9" w16cid:durableId="1848980122">
    <w:abstractNumId w:val="12"/>
  </w:num>
  <w:num w:numId="10" w16cid:durableId="1802114209">
    <w:abstractNumId w:val="5"/>
  </w:num>
  <w:num w:numId="11" w16cid:durableId="1260943637">
    <w:abstractNumId w:val="6"/>
  </w:num>
  <w:num w:numId="12" w16cid:durableId="1757701288">
    <w:abstractNumId w:val="13"/>
  </w:num>
  <w:num w:numId="13" w16cid:durableId="1855413238">
    <w:abstractNumId w:val="2"/>
  </w:num>
  <w:num w:numId="14" w16cid:durableId="1589197775">
    <w:abstractNumId w:val="4"/>
  </w:num>
  <w:num w:numId="15" w16cid:durableId="18589607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0E5"/>
    <w:rsid w:val="00263B3F"/>
    <w:rsid w:val="003470E5"/>
    <w:rsid w:val="00475E33"/>
    <w:rsid w:val="005C7EB3"/>
    <w:rsid w:val="0081002C"/>
    <w:rsid w:val="00C0182D"/>
    <w:rsid w:val="00CF4457"/>
    <w:rsid w:val="00F64D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C2446"/>
  <w15:chartTrackingRefBased/>
  <w15:docId w15:val="{0BF06200-7A37-4BC9-8F5A-5C4F70623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0E5"/>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3470E5"/>
    <w:pPr>
      <w:keepNext/>
      <w:keepLines/>
      <w:overflowPunct/>
      <w:autoSpaceDE/>
      <w:autoSpaceDN/>
      <w:adjustRightInd/>
      <w:spacing w:before="480"/>
      <w:textAlignment w:val="auto"/>
      <w:outlineLvl w:val="0"/>
    </w:pPr>
    <w:rPr>
      <w:rFonts w:ascii="Cambria" w:hAnsi="Cambria"/>
      <w:b/>
      <w:bCs/>
      <w:color w:val="365F91"/>
      <w:sz w:val="28"/>
      <w:szCs w:val="28"/>
    </w:rPr>
  </w:style>
  <w:style w:type="paragraph" w:styleId="Heading2">
    <w:name w:val="heading 2"/>
    <w:basedOn w:val="Normal"/>
    <w:next w:val="Normal"/>
    <w:link w:val="Heading2Char"/>
    <w:qFormat/>
    <w:rsid w:val="003470E5"/>
    <w:pPr>
      <w:keepNext/>
      <w:overflowPunct/>
      <w:autoSpaceDE/>
      <w:autoSpaceDN/>
      <w:adjustRightInd/>
      <w:jc w:val="center"/>
      <w:textAlignment w:val="auto"/>
      <w:outlineLvl w:val="1"/>
    </w:pPr>
    <w:rPr>
      <w:sz w:val="40"/>
      <w:szCs w:val="24"/>
    </w:rPr>
  </w:style>
  <w:style w:type="paragraph" w:styleId="Heading6">
    <w:name w:val="heading 6"/>
    <w:basedOn w:val="Normal"/>
    <w:next w:val="Normal"/>
    <w:link w:val="Heading6Char"/>
    <w:qFormat/>
    <w:rsid w:val="003470E5"/>
    <w:pPr>
      <w:keepNext/>
      <w:overflowPunct/>
      <w:autoSpaceDE/>
      <w:autoSpaceDN/>
      <w:adjustRightInd/>
      <w:jc w:val="center"/>
      <w:textAlignment w:val="auto"/>
      <w:outlineLvl w:val="5"/>
    </w:pPr>
    <w:rPr>
      <w:b/>
      <w:bCs/>
      <w:i/>
      <w:iCs/>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F4457"/>
    <w:pPr>
      <w:spacing w:after="0" w:line="240" w:lineRule="auto"/>
      <w:jc w:val="both"/>
    </w:pPr>
    <w:rPr>
      <w:rFonts w:ascii="Times New Roman" w:hAnsi="Times New Roman"/>
      <w:sz w:val="24"/>
    </w:rPr>
  </w:style>
  <w:style w:type="character" w:customStyle="1" w:styleId="Heading1Char">
    <w:name w:val="Heading 1 Char"/>
    <w:basedOn w:val="DefaultParagraphFont"/>
    <w:link w:val="Heading1"/>
    <w:uiPriority w:val="9"/>
    <w:rsid w:val="003470E5"/>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rsid w:val="003470E5"/>
    <w:rPr>
      <w:rFonts w:ascii="Times New Roman" w:eastAsia="Times New Roman" w:hAnsi="Times New Roman" w:cs="Times New Roman"/>
      <w:sz w:val="40"/>
      <w:szCs w:val="24"/>
    </w:rPr>
  </w:style>
  <w:style w:type="character" w:customStyle="1" w:styleId="Heading6Char">
    <w:name w:val="Heading 6 Char"/>
    <w:basedOn w:val="DefaultParagraphFont"/>
    <w:link w:val="Heading6"/>
    <w:rsid w:val="003470E5"/>
    <w:rPr>
      <w:rFonts w:ascii="Times New Roman" w:eastAsia="Times New Roman" w:hAnsi="Times New Roman" w:cs="Times New Roman"/>
      <w:b/>
      <w:bCs/>
      <w:i/>
      <w:iCs/>
      <w:sz w:val="32"/>
      <w:szCs w:val="24"/>
    </w:rPr>
  </w:style>
  <w:style w:type="paragraph" w:styleId="BodyText">
    <w:name w:val="Body Text"/>
    <w:basedOn w:val="Normal"/>
    <w:link w:val="BodyTextChar"/>
    <w:semiHidden/>
    <w:rsid w:val="003470E5"/>
    <w:pPr>
      <w:overflowPunct/>
      <w:autoSpaceDE/>
      <w:autoSpaceDN/>
      <w:adjustRightInd/>
      <w:jc w:val="center"/>
      <w:textAlignment w:val="auto"/>
    </w:pPr>
    <w:rPr>
      <w:b/>
      <w:bCs/>
      <w:sz w:val="28"/>
      <w:szCs w:val="24"/>
    </w:rPr>
  </w:style>
  <w:style w:type="character" w:customStyle="1" w:styleId="BodyTextChar">
    <w:name w:val="Body Text Char"/>
    <w:basedOn w:val="DefaultParagraphFont"/>
    <w:link w:val="BodyText"/>
    <w:semiHidden/>
    <w:rsid w:val="003470E5"/>
    <w:rPr>
      <w:rFonts w:ascii="Times New Roman" w:eastAsia="Times New Roman" w:hAnsi="Times New Roman" w:cs="Times New Roman"/>
      <w:b/>
      <w:bCs/>
      <w:sz w:val="28"/>
      <w:szCs w:val="24"/>
    </w:rPr>
  </w:style>
  <w:style w:type="paragraph" w:styleId="BodyText2">
    <w:name w:val="Body Text 2"/>
    <w:basedOn w:val="Normal"/>
    <w:link w:val="BodyText2Char"/>
    <w:semiHidden/>
    <w:rsid w:val="003470E5"/>
    <w:pPr>
      <w:overflowPunct/>
      <w:autoSpaceDE/>
      <w:autoSpaceDN/>
      <w:adjustRightInd/>
      <w:jc w:val="center"/>
      <w:textAlignment w:val="auto"/>
    </w:pPr>
    <w:rPr>
      <w:sz w:val="32"/>
      <w:szCs w:val="24"/>
    </w:rPr>
  </w:style>
  <w:style w:type="character" w:customStyle="1" w:styleId="BodyText2Char">
    <w:name w:val="Body Text 2 Char"/>
    <w:basedOn w:val="DefaultParagraphFont"/>
    <w:link w:val="BodyText2"/>
    <w:semiHidden/>
    <w:rsid w:val="003470E5"/>
    <w:rPr>
      <w:rFonts w:ascii="Times New Roman" w:eastAsia="Times New Roman" w:hAnsi="Times New Roman" w:cs="Times New Roman"/>
      <w:sz w:val="32"/>
      <w:szCs w:val="24"/>
    </w:rPr>
  </w:style>
  <w:style w:type="paragraph" w:styleId="ListParagraph">
    <w:name w:val="List Paragraph"/>
    <w:basedOn w:val="Normal"/>
    <w:uiPriority w:val="34"/>
    <w:qFormat/>
    <w:rsid w:val="003470E5"/>
    <w:pPr>
      <w:ind w:left="720"/>
      <w:contextualSpacing/>
    </w:pPr>
  </w:style>
  <w:style w:type="paragraph" w:customStyle="1" w:styleId="Pa13">
    <w:name w:val="Pa13"/>
    <w:basedOn w:val="Normal"/>
    <w:next w:val="Normal"/>
    <w:uiPriority w:val="99"/>
    <w:rsid w:val="003470E5"/>
    <w:pPr>
      <w:overflowPunct/>
      <w:spacing w:line="221" w:lineRule="atLeast"/>
      <w:textAlignment w:val="auto"/>
    </w:pPr>
    <w:rPr>
      <w:rFonts w:ascii="Megano" w:eastAsia="Calibri" w:hAnsi="Megano"/>
      <w:szCs w:val="24"/>
    </w:rPr>
  </w:style>
  <w:style w:type="table" w:styleId="TableGrid">
    <w:name w:val="Table Grid"/>
    <w:basedOn w:val="TableNormal"/>
    <w:uiPriority w:val="59"/>
    <w:rsid w:val="003470E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470E5"/>
    <w:pPr>
      <w:tabs>
        <w:tab w:val="center" w:pos="4513"/>
        <w:tab w:val="right" w:pos="9026"/>
      </w:tabs>
    </w:pPr>
  </w:style>
  <w:style w:type="character" w:customStyle="1" w:styleId="HeaderChar">
    <w:name w:val="Header Char"/>
    <w:basedOn w:val="DefaultParagraphFont"/>
    <w:link w:val="Header"/>
    <w:rsid w:val="003470E5"/>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3470E5"/>
    <w:pPr>
      <w:tabs>
        <w:tab w:val="center" w:pos="4513"/>
        <w:tab w:val="right" w:pos="9026"/>
      </w:tabs>
    </w:pPr>
  </w:style>
  <w:style w:type="character" w:customStyle="1" w:styleId="FooterChar">
    <w:name w:val="Footer Char"/>
    <w:basedOn w:val="DefaultParagraphFont"/>
    <w:link w:val="Footer"/>
    <w:uiPriority w:val="99"/>
    <w:rsid w:val="003470E5"/>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3470E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70E5"/>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199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customXml" Target="../customXml/item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Permit File" ma:contentTypeID="0x0101000E9AD557692E154F9D2697C8C6432F76006D4D92D51675A442A00CEFF055B17D24" ma:contentTypeVersion="45" ma:contentTypeDescription="Create a new document." ma:contentTypeScope="" ma:versionID="75dde228456aa9e70f1655277954dc76">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f2b7f3ca-46f3-45f8-8338-025c3a7cf089" targetNamespace="http://schemas.microsoft.com/office/2006/metadata/properties" ma:root="true" ma:fieldsID="8fa4c989f269bd412d9f26917a8e9c44" ns2:_="" ns3:_="" ns4:_="" ns5:_="" ns6:_="">
    <xsd:import namespace="8595a0ec-c146-4eeb-925a-270f4bc4be63"/>
    <xsd:import namespace="662745e8-e224-48e8-a2e3-254862b8c2f5"/>
    <xsd:import namespace="eebef177-55b5-4448-a5fb-28ea454417ee"/>
    <xsd:import namespace="5ffd8e36-f429-4edc-ab50-c5be84842779"/>
    <xsd:import namespace="f2b7f3ca-46f3-45f8-8338-025c3a7cf089"/>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GenerationTime" minOccurs="0"/>
                <xsd:element ref="ns6:MediaServiceEventHashCode" minOccurs="0"/>
                <xsd:element ref="ns6:MediaServiceOCR" minOccurs="0"/>
                <xsd:element ref="ns6:MediaServiceDateTaken" minOccurs="0"/>
                <xsd:element ref="ns6:MediaServiceLocation" minOccurs="0"/>
                <xsd:element ref="ns6:MediaLengthInSeconds" minOccurs="0"/>
                <xsd:element ref="ns6:lcf76f155ced4ddcb4097134ff3c332f"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32;#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92e41c19-1047-4874-acff-e817b08e966f}"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2e41c19-1047-4874-acff-e817b08e966f}"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External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2b7f3ca-46f3-45f8-8338-025c3a7cf089"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GenerationTime" ma:index="53" nillable="true" ma:displayName="MediaServiceGenerationTime" ma:hidden="true" ma:internalName="MediaServiceGenerationTime" ma:readOnly="true">
      <xsd:simpleType>
        <xsd:restriction base="dms:Text"/>
      </xsd:simpleType>
    </xsd:element>
    <xsd:element name="MediaServiceEventHashCode" ma:index="54" nillable="true" ma:displayName="MediaServiceEventHashCode" ma:hidden="true" ma:internalName="MediaServiceEventHashCode" ma:readOnly="true">
      <xsd:simpleType>
        <xsd:restriction base="dms:Text"/>
      </xsd:simpleType>
    </xsd:element>
    <xsd:element name="MediaServiceOCR" ma:index="55" nillable="true" ma:displayName="Extracted Text" ma:internalName="MediaServiceOCR" ma:readOnly="true">
      <xsd:simpleType>
        <xsd:restriction base="dms:Note">
          <xsd:maxLength value="255"/>
        </xsd:restriction>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MediaLengthInSeconds" ma:index="58" nillable="true" ma:displayName="MediaLengthInSeconds" ma:hidden="true" ma:internalName="MediaLengthInSeconds" ma:readOnly="true">
      <xsd:simpleType>
        <xsd:restriction base="dms:Unknown"/>
      </xsd:simpleType>
    </xsd:element>
    <xsd:element name="lcf76f155ced4ddcb4097134ff3c332f" ma:index="6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AReceivedDate xmlns="eebef177-55b5-4448-a5fb-28ea454417ee">2022-04-19T23:00:00+00:00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epr-fp3739uw</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N/A - Do not select for New Permits</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G. E. Porter &amp; Sons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2022-04-19T23:00:00+00:00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LN5 0LN</FacilityAddressPostcode>
    <TaxCatchAll xmlns="662745e8-e224-48e8-a2e3-254862b8c2f5">
      <Value>181</Value>
      <Value>12</Value>
      <Value>10</Value>
      <Value>9</Value>
      <Value>38</Value>
    </TaxCatchAll>
    <ExternalAuthor xmlns="eebef177-55b5-4448-a5fb-28ea454417ee">Chris Hitchens</ExternalAuthor>
    <SiteName xmlns="eebef177-55b5-4448-a5fb-28ea454417ee">Barn Farm</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Installations</TermName>
          <TermId xmlns="http://schemas.microsoft.com/office/infopath/2007/PartnerControls">645f1c9c-65df-490a-9ce3-4a2aa7c5ff7f</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Barn Farm Lowfields LINCOLN Lincolnshire LN5 0LN</FacilityAddress>
    <lcf76f155ced4ddcb4097134ff3c332f xmlns="f2b7f3ca-46f3-45f8-8338-025c3a7cf08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A59539E-7944-4091-B35F-91A73E05CE23}"/>
</file>

<file path=customXml/itemProps2.xml><?xml version="1.0" encoding="utf-8"?>
<ds:datastoreItem xmlns:ds="http://schemas.openxmlformats.org/officeDocument/2006/customXml" ds:itemID="{8A58D5DF-0808-439E-B373-11BB4F2DD586}"/>
</file>

<file path=customXml/itemProps3.xml><?xml version="1.0" encoding="utf-8"?>
<ds:datastoreItem xmlns:ds="http://schemas.openxmlformats.org/officeDocument/2006/customXml" ds:itemID="{208AD274-379F-4126-B882-658A9FAACA75}"/>
</file>

<file path=docProps/app.xml><?xml version="1.0" encoding="utf-8"?>
<Properties xmlns="http://schemas.openxmlformats.org/officeDocument/2006/extended-properties" xmlns:vt="http://schemas.openxmlformats.org/officeDocument/2006/docPropsVTypes">
  <Template>Normal</Template>
  <TotalTime>1</TotalTime>
  <Pages>29</Pages>
  <Words>10399</Words>
  <Characters>59276</Characters>
  <Application>Microsoft Office Word</Application>
  <DocSecurity>0</DocSecurity>
  <Lines>493</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Oliver Grundy</dc:creator>
  <cp:keywords/>
  <dc:description/>
  <cp:lastModifiedBy>Christopher Hitchens</cp:lastModifiedBy>
  <cp:revision>4</cp:revision>
  <dcterms:created xsi:type="dcterms:W3CDTF">2022-04-13T08:58:00Z</dcterms:created>
  <dcterms:modified xsi:type="dcterms:W3CDTF">2022-04-20T15:18:00Z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0x0101000E9AD557692E154F9D2697C8C6432F76006D4D92D51675A442A00CEFF055B17D24</vt:lpwstr>
  </property>
  <property fmtid="{D5CDD505-2E9C-101B-9397-08002B2CF9AE}" pid="3" name="PermitDocumentType">
    <vt:lpwstr/>
  </property>
  <property fmtid="{D5CDD505-2E9C-101B-9397-08002B2CF9AE}" pid="4" name="TypeofPermit">
    <vt:lpwstr>9;#N/A - Do not select for New Permits|0430e4c2-ee0a-4b2d-9af6-df735aafbcb2</vt:lpwstr>
  </property>
  <property fmtid="{D5CDD505-2E9C-101B-9397-08002B2CF9AE}" pid="5" name="DisclosureStatus">
    <vt:lpwstr>181;#Public Register|f1fcf6a6-5d97-4f1d-964e-a2f916eb1f18</vt:lpwstr>
  </property>
  <property fmtid="{D5CDD505-2E9C-101B-9397-08002B2CF9AE}" pid="6" name="RegulatedActivitySub-Class">
    <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38;#Installations|645f1c9c-65df-490a-9ce3-4a2aa7c5ff7f</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10;#EPR|0e5af97d-1a8c-4d8f-a20b-528a11cab1f6</vt:lpwstr>
  </property>
</Properties>
</file>