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header2.xml.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sz w:val="22"/>
          <w:szCs w:val="22"/>
        </w:rPr>
      </w:pPr>
      <w:r>
        <w:rPr>
          <w:rFonts w:cs="Calibri"/>
          <w:b/>
          <w:sz w:val="22"/>
          <w:szCs w:val="22"/>
          <w:u w:val="single"/>
        </w:rPr>
        <w:t>Purpose</w:t>
      </w:r>
    </w:p>
    <w:p>
      <w:pPr>
        <w:pStyle w:val="BodyText"/>
        <w:rPr>
          <w:rFonts w:ascii="Arial" w:hAnsi="Arial" w:cs="Calibri"/>
          <w:b/>
          <w:sz w:val="22"/>
          <w:szCs w:val="22"/>
          <w:u w:val="single"/>
        </w:rPr>
      </w:pPr>
      <w:r>
        <w:rPr>
          <w:rFonts w:cs="Calibri"/>
          <w:b/>
          <w:sz w:val="22"/>
          <w:szCs w:val="22"/>
          <w:u w:val="single"/>
        </w:rPr>
      </w:r>
    </w:p>
    <w:p>
      <w:pPr>
        <w:pStyle w:val="Default"/>
        <w:rPr>
          <w:rFonts w:ascii="Arial" w:hAnsi="Arial"/>
          <w:sz w:val="22"/>
          <w:szCs w:val="22"/>
        </w:rPr>
      </w:pPr>
      <w:r>
        <w:rPr>
          <w:rFonts w:cs="Calibri"/>
          <w:sz w:val="22"/>
          <w:szCs w:val="22"/>
        </w:rPr>
        <w:t>This procedure is designed to ensure the correct closure of a site is to be carried out in accordance with the EPR issued site permit requirements.</w:t>
      </w:r>
    </w:p>
    <w:p>
      <w:pPr>
        <w:pStyle w:val="Default"/>
        <w:rPr>
          <w:rFonts w:ascii="Arial" w:hAnsi="Arial" w:cs="Calibri"/>
          <w:sz w:val="22"/>
          <w:szCs w:val="22"/>
        </w:rPr>
      </w:pPr>
      <w:r>
        <w:rPr>
          <w:rFonts w:cs="Calibri"/>
          <w:sz w:val="22"/>
          <w:szCs w:val="22"/>
        </w:rPr>
      </w:r>
    </w:p>
    <w:p>
      <w:pPr>
        <w:pStyle w:val="Normal"/>
        <w:rPr>
          <w:rFonts w:ascii="Arial" w:hAnsi="Arial"/>
          <w:sz w:val="22"/>
          <w:szCs w:val="22"/>
        </w:rPr>
      </w:pPr>
      <w:r>
        <w:rPr>
          <w:rFonts w:cs="Calibri"/>
          <w:b/>
          <w:sz w:val="22"/>
          <w:szCs w:val="22"/>
          <w:u w:val="single"/>
        </w:rPr>
        <w:t>Scope</w:t>
      </w:r>
    </w:p>
    <w:p>
      <w:pPr>
        <w:pStyle w:val="Normal"/>
        <w:rPr>
          <w:rFonts w:ascii="Arial" w:hAnsi="Arial" w:cs="Calibri"/>
          <w:b/>
          <w:sz w:val="22"/>
          <w:szCs w:val="22"/>
          <w:u w:val="single"/>
        </w:rPr>
      </w:pPr>
      <w:r>
        <w:rPr>
          <w:rFonts w:cs="Calibri"/>
          <w:b/>
          <w:sz w:val="22"/>
          <w:szCs w:val="22"/>
          <w:u w:val="single"/>
        </w:rPr>
      </w:r>
    </w:p>
    <w:p>
      <w:pPr>
        <w:pStyle w:val="Normal"/>
        <w:rPr>
          <w:rFonts w:ascii="Arial" w:hAnsi="Arial"/>
          <w:sz w:val="22"/>
          <w:szCs w:val="22"/>
        </w:rPr>
      </w:pPr>
      <w:r>
        <w:rPr>
          <w:rFonts w:cs="Calibri"/>
          <w:bCs/>
          <w:sz w:val="22"/>
          <w:szCs w:val="22"/>
        </w:rPr>
        <w:t xml:space="preserve">All Operational, Engineering, Technical and Hygiene/Farm site based personnel.  </w:t>
      </w:r>
    </w:p>
    <w:p>
      <w:pPr>
        <w:pStyle w:val="Normal"/>
        <w:rPr>
          <w:rFonts w:ascii="Arial" w:hAnsi="Arial" w:cs="Calibri"/>
          <w:bCs/>
          <w:sz w:val="22"/>
          <w:szCs w:val="22"/>
        </w:rPr>
      </w:pPr>
      <w:r>
        <w:rPr>
          <w:rFonts w:cs="Calibri"/>
          <w:bCs/>
          <w:sz w:val="22"/>
          <w:szCs w:val="22"/>
        </w:rPr>
      </w:r>
    </w:p>
    <w:p>
      <w:pPr>
        <w:pStyle w:val="Normal"/>
        <w:rPr>
          <w:rFonts w:ascii="Arial" w:hAnsi="Arial"/>
          <w:sz w:val="22"/>
          <w:szCs w:val="22"/>
        </w:rPr>
      </w:pPr>
      <w:r>
        <w:rPr>
          <w:rFonts w:cs="Calibri"/>
          <w:b/>
          <w:sz w:val="22"/>
          <w:szCs w:val="22"/>
          <w:u w:val="single"/>
        </w:rPr>
        <w:t>Responsibility</w:t>
      </w:r>
    </w:p>
    <w:p>
      <w:pPr>
        <w:pStyle w:val="Normal"/>
        <w:rPr>
          <w:rFonts w:ascii="Arial" w:hAnsi="Arial" w:cs="Calibri"/>
          <w:b/>
          <w:sz w:val="22"/>
          <w:szCs w:val="22"/>
          <w:u w:val="single"/>
        </w:rPr>
      </w:pPr>
      <w:r>
        <w:rPr>
          <w:rFonts w:cs="Calibri"/>
          <w:b/>
          <w:sz w:val="22"/>
          <w:szCs w:val="22"/>
          <w:u w:val="single"/>
        </w:rPr>
      </w:r>
    </w:p>
    <w:p>
      <w:pPr>
        <w:pStyle w:val="Normal"/>
        <w:rPr>
          <w:rFonts w:ascii="Arial" w:hAnsi="Arial"/>
          <w:sz w:val="22"/>
          <w:szCs w:val="22"/>
        </w:rPr>
      </w:pPr>
      <w:r>
        <w:rPr>
          <w:rFonts w:cs="Calibri"/>
          <w:sz w:val="22"/>
          <w:szCs w:val="22"/>
        </w:rPr>
        <w:t xml:space="preserve">Farm Manager, Health and Safety Manager, but ultimately the CEO </w:t>
      </w:r>
    </w:p>
    <w:p>
      <w:pPr>
        <w:pStyle w:val="Normal"/>
        <w:rPr>
          <w:rFonts w:ascii="Arial" w:hAnsi="Arial" w:cs="Calibri"/>
          <w:b/>
          <w:sz w:val="22"/>
          <w:szCs w:val="22"/>
        </w:rPr>
      </w:pPr>
      <w:r>
        <w:rPr>
          <w:rFonts w:cs="Calibri"/>
          <w:b/>
          <w:sz w:val="22"/>
          <w:szCs w:val="22"/>
        </w:rPr>
      </w:r>
    </w:p>
    <w:p>
      <w:pPr>
        <w:pStyle w:val="Normal"/>
        <w:rPr>
          <w:rFonts w:ascii="Arial" w:hAnsi="Arial"/>
          <w:sz w:val="22"/>
          <w:szCs w:val="22"/>
        </w:rPr>
      </w:pPr>
      <w:r>
        <w:rPr>
          <w:rFonts w:cs="Calibri"/>
          <w:b/>
          <w:sz w:val="22"/>
          <w:szCs w:val="22"/>
          <w:u w:val="single"/>
        </w:rPr>
        <w:t>Introduction</w:t>
      </w:r>
    </w:p>
    <w:p>
      <w:pPr>
        <w:pStyle w:val="Normal"/>
        <w:rPr>
          <w:rFonts w:ascii="Arial" w:hAnsi="Arial" w:cs="Calibri"/>
          <w:b/>
          <w:sz w:val="22"/>
          <w:szCs w:val="22"/>
          <w:u w:val="single"/>
        </w:rPr>
      </w:pPr>
      <w:r>
        <w:rPr>
          <w:rFonts w:cs="Calibri"/>
          <w:b/>
          <w:sz w:val="22"/>
          <w:szCs w:val="22"/>
          <w:u w:val="single"/>
        </w:rPr>
      </w:r>
    </w:p>
    <w:p>
      <w:pPr>
        <w:pStyle w:val="Normal"/>
        <w:rPr>
          <w:rFonts w:ascii="Arial" w:hAnsi="Arial"/>
          <w:sz w:val="22"/>
          <w:szCs w:val="22"/>
        </w:rPr>
      </w:pPr>
      <w:r>
        <w:rPr>
          <w:rFonts w:cs="Calibri"/>
          <w:sz w:val="22"/>
          <w:szCs w:val="22"/>
        </w:rPr>
        <w:t xml:space="preserve">The Site Closure Plan incorporates a Closure Plan and the Site Condition Report. </w:t>
      </w:r>
    </w:p>
    <w:p>
      <w:pPr>
        <w:pStyle w:val="Normal"/>
        <w:rPr>
          <w:rFonts w:ascii="Arial" w:hAnsi="Arial" w:cs="Calibri"/>
          <w:sz w:val="22"/>
          <w:szCs w:val="22"/>
        </w:rPr>
      </w:pPr>
      <w:r>
        <w:rPr>
          <w:rFonts w:cs="Calibri"/>
          <w:sz w:val="22"/>
          <w:szCs w:val="22"/>
        </w:rPr>
      </w:r>
    </w:p>
    <w:p>
      <w:pPr>
        <w:pStyle w:val="Normal"/>
        <w:rPr>
          <w:rFonts w:ascii="Arial" w:hAnsi="Arial"/>
          <w:sz w:val="22"/>
          <w:szCs w:val="22"/>
        </w:rPr>
      </w:pPr>
      <w:r>
        <w:rPr>
          <w:rFonts w:cs="Calibri"/>
          <w:sz w:val="22"/>
          <w:szCs w:val="22"/>
        </w:rPr>
        <w:t xml:space="preserve">The Closure Plan outlines the process by which the operations (whole or part of) will be ceased on site and plant decommissioning achieved. </w:t>
      </w:r>
    </w:p>
    <w:p>
      <w:pPr>
        <w:pStyle w:val="Normal"/>
        <w:rPr>
          <w:rFonts w:ascii="Arial" w:hAnsi="Arial" w:cs="Calibri"/>
          <w:sz w:val="22"/>
          <w:szCs w:val="22"/>
        </w:rPr>
      </w:pPr>
      <w:r>
        <w:rPr>
          <w:rFonts w:cs="Calibri"/>
          <w:sz w:val="22"/>
          <w:szCs w:val="22"/>
        </w:rPr>
      </w:r>
    </w:p>
    <w:p>
      <w:pPr>
        <w:pStyle w:val="Normal"/>
        <w:rPr>
          <w:rFonts w:ascii="Arial" w:hAnsi="Arial"/>
          <w:sz w:val="22"/>
          <w:szCs w:val="22"/>
        </w:rPr>
      </w:pPr>
      <w:r>
        <w:rPr>
          <w:rFonts w:cs="Calibri"/>
          <w:sz w:val="22"/>
          <w:szCs w:val="22"/>
        </w:rPr>
        <w:t xml:space="preserve">The ongoing Site Condition Report details: </w:t>
      </w:r>
    </w:p>
    <w:p>
      <w:pPr>
        <w:pStyle w:val="Normal"/>
        <w:rPr>
          <w:rFonts w:ascii="Arial" w:hAnsi="Arial"/>
          <w:sz w:val="22"/>
          <w:szCs w:val="22"/>
        </w:rPr>
      </w:pPr>
      <w:r>
        <w:rPr>
          <w:rFonts w:eastAsia="Symbol" w:cs="Symbol"/>
          <w:sz w:val="22"/>
          <w:szCs w:val="22"/>
        </w:rPr>
        <w:t></w:t>
      </w:r>
      <w:r>
        <w:rPr>
          <w:rFonts w:eastAsia="Calibri" w:cs="Calibri"/>
          <w:sz w:val="22"/>
          <w:szCs w:val="22"/>
        </w:rPr>
        <w:t xml:space="preserve"> </w:t>
      </w:r>
      <w:r>
        <w:rPr>
          <w:rFonts w:cs="Calibri"/>
          <w:sz w:val="22"/>
          <w:szCs w:val="22"/>
        </w:rPr>
        <w:t xml:space="preserve">How information will be collated. </w:t>
      </w:r>
    </w:p>
    <w:p>
      <w:pPr>
        <w:pStyle w:val="Normal"/>
        <w:rPr>
          <w:rFonts w:ascii="Arial" w:hAnsi="Arial"/>
          <w:sz w:val="22"/>
          <w:szCs w:val="22"/>
        </w:rPr>
      </w:pPr>
      <w:r>
        <w:rPr>
          <w:rFonts w:eastAsia="Symbol" w:cs="Symbol"/>
          <w:sz w:val="22"/>
          <w:szCs w:val="22"/>
        </w:rPr>
        <w:t></w:t>
      </w:r>
      <w:r>
        <w:rPr>
          <w:rFonts w:eastAsia="Calibri" w:cs="Calibri"/>
          <w:sz w:val="22"/>
          <w:szCs w:val="22"/>
        </w:rPr>
        <w:t xml:space="preserve"> </w:t>
      </w:r>
      <w:r>
        <w:rPr>
          <w:rFonts w:cs="Calibri"/>
          <w:sz w:val="22"/>
          <w:szCs w:val="22"/>
        </w:rPr>
        <w:t xml:space="preserve">The data that will be collected, over the operational period. </w:t>
      </w:r>
    </w:p>
    <w:p>
      <w:pPr>
        <w:pStyle w:val="Normal"/>
        <w:rPr>
          <w:rFonts w:ascii="Arial" w:hAnsi="Arial" w:cs="Calibri"/>
          <w:sz w:val="22"/>
          <w:szCs w:val="22"/>
        </w:rPr>
      </w:pPr>
      <w:r>
        <w:rPr>
          <w:rFonts w:cs="Calibri"/>
          <w:sz w:val="22"/>
          <w:szCs w:val="22"/>
        </w:rPr>
      </w:r>
    </w:p>
    <w:p>
      <w:pPr>
        <w:pStyle w:val="Normal"/>
        <w:rPr>
          <w:rFonts w:ascii="Arial" w:hAnsi="Arial"/>
          <w:sz w:val="22"/>
          <w:szCs w:val="22"/>
        </w:rPr>
      </w:pPr>
      <w:r>
        <w:rPr>
          <w:rFonts w:cs="Calibri"/>
          <w:sz w:val="22"/>
          <w:szCs w:val="22"/>
        </w:rPr>
        <w:t>This will ensure that sufficient data and knowledge of the process and subsequent operational variations is readily available. This will allow the facility to complete a site surrender report to the satisfaction of the regulator, once the decision to decommission the whole, or part, of the permitted operations has been made.</w:t>
      </w:r>
    </w:p>
    <w:p>
      <w:pPr>
        <w:pStyle w:val="Normal"/>
        <w:rPr>
          <w:rFonts w:ascii="Arial" w:hAnsi="Arial" w:cs="Calibri"/>
          <w:b/>
          <w:sz w:val="22"/>
          <w:szCs w:val="22"/>
        </w:rPr>
      </w:pPr>
      <w:r>
        <w:rPr>
          <w:rFonts w:cs="Calibri"/>
          <w:b/>
          <w:sz w:val="22"/>
          <w:szCs w:val="22"/>
        </w:rPr>
      </w:r>
    </w:p>
    <w:p>
      <w:pPr>
        <w:pStyle w:val="Normal"/>
        <w:rPr>
          <w:rFonts w:ascii="Arial" w:hAnsi="Arial" w:cs="Calibri"/>
          <w:b/>
          <w:sz w:val="22"/>
          <w:szCs w:val="22"/>
        </w:rPr>
      </w:pPr>
      <w:r>
        <w:rPr>
          <w:rFonts w:cs="Calibri"/>
          <w:b/>
          <w:sz w:val="22"/>
          <w:szCs w:val="22"/>
        </w:rPr>
      </w:r>
    </w:p>
    <w:p>
      <w:pPr>
        <w:pStyle w:val="Normal"/>
        <w:numPr>
          <w:ilvl w:val="0"/>
          <w:numId w:val="3"/>
        </w:numPr>
        <w:rPr>
          <w:rFonts w:ascii="Arial" w:hAnsi="Arial"/>
          <w:sz w:val="22"/>
          <w:szCs w:val="22"/>
        </w:rPr>
      </w:pPr>
      <w:r>
        <w:rPr>
          <w:rFonts w:cs="Calibri"/>
          <w:b/>
          <w:bCs/>
          <w:sz w:val="22"/>
          <w:szCs w:val="22"/>
        </w:rPr>
        <w:t xml:space="preserve">Closure Plan </w:t>
      </w:r>
    </w:p>
    <w:p>
      <w:pPr>
        <w:pStyle w:val="Normal"/>
        <w:rPr>
          <w:rFonts w:ascii="Arial" w:hAnsi="Arial" w:cs="Calibri"/>
          <w:b/>
          <w:bCs/>
          <w:sz w:val="22"/>
          <w:szCs w:val="22"/>
        </w:rPr>
      </w:pPr>
      <w:r>
        <w:rPr>
          <w:rFonts w:cs="Calibri"/>
          <w:b/>
          <w:bCs/>
          <w:sz w:val="22"/>
          <w:szCs w:val="22"/>
        </w:rPr>
      </w:r>
    </w:p>
    <w:p>
      <w:pPr>
        <w:pStyle w:val="Normal"/>
        <w:rPr>
          <w:rFonts w:ascii="Arial" w:hAnsi="Arial"/>
          <w:sz w:val="22"/>
          <w:szCs w:val="22"/>
        </w:rPr>
      </w:pPr>
      <w:r>
        <w:rPr>
          <w:rFonts w:cs="Calibri"/>
          <w:sz w:val="22"/>
          <w:szCs w:val="22"/>
        </w:rPr>
        <w:t>The Closure Plan on complete cessation of activities will involve:</w:t>
      </w:r>
    </w:p>
    <w:p>
      <w:pPr>
        <w:pStyle w:val="Normal"/>
        <w:rPr>
          <w:rFonts w:ascii="Arial" w:hAnsi="Arial" w:cs="Calibri"/>
          <w:b/>
          <w:sz w:val="22"/>
          <w:szCs w:val="22"/>
        </w:rPr>
      </w:pPr>
      <w:r>
        <w:rPr>
          <w:rFonts w:cs="Calibri"/>
          <w:b/>
          <w:sz w:val="22"/>
          <w:szCs w:val="22"/>
        </w:rPr>
      </w:r>
    </w:p>
    <w:p>
      <w:pPr>
        <w:pStyle w:val="Normal"/>
        <w:numPr>
          <w:ilvl w:val="0"/>
          <w:numId w:val="7"/>
        </w:numPr>
        <w:rPr>
          <w:rFonts w:ascii="Arial" w:hAnsi="Arial"/>
          <w:sz w:val="22"/>
          <w:szCs w:val="22"/>
        </w:rPr>
      </w:pPr>
      <w:r>
        <w:rPr>
          <w:rFonts w:cs="Calibri"/>
          <w:sz w:val="22"/>
          <w:szCs w:val="22"/>
        </w:rPr>
        <w:t xml:space="preserve">Removal and Disposal of Raw Materials and Products Any waste remaining on site at the time of permit surrender, will be sent to a suitably licensed recovery / disposal facility. </w:t>
      </w:r>
    </w:p>
    <w:p>
      <w:pPr>
        <w:pStyle w:val="Normal"/>
        <w:numPr>
          <w:ilvl w:val="0"/>
          <w:numId w:val="7"/>
        </w:numPr>
        <w:rPr>
          <w:rFonts w:ascii="Arial" w:hAnsi="Arial"/>
          <w:sz w:val="22"/>
          <w:szCs w:val="22"/>
        </w:rPr>
      </w:pPr>
      <w:r>
        <w:rPr>
          <w:rFonts w:cs="Calibri"/>
          <w:sz w:val="22"/>
          <w:szCs w:val="22"/>
        </w:rPr>
        <w:t xml:space="preserve">Disposal of Ancillary Materials Any other materials remaining will either be sold or sent to a suitably licensed recovery / disposal facility. </w:t>
      </w:r>
    </w:p>
    <w:p>
      <w:pPr>
        <w:pStyle w:val="Normal"/>
        <w:numPr>
          <w:ilvl w:val="0"/>
          <w:numId w:val="7"/>
        </w:numPr>
        <w:rPr>
          <w:rFonts w:ascii="Arial" w:hAnsi="Arial"/>
          <w:sz w:val="22"/>
          <w:szCs w:val="22"/>
        </w:rPr>
      </w:pPr>
      <w:r>
        <w:rPr>
          <w:rFonts w:cs="Calibri"/>
          <w:sz w:val="22"/>
          <w:szCs w:val="22"/>
        </w:rPr>
        <w:t xml:space="preserve">Dismantling of Process Equipment All processing equipment will be mobile e.g. vehicles / pumps. These will be removed from site prior to permit surrender. </w:t>
      </w:r>
    </w:p>
    <w:p>
      <w:pPr>
        <w:pStyle w:val="Normal"/>
        <w:numPr>
          <w:ilvl w:val="0"/>
          <w:numId w:val="7"/>
        </w:numPr>
        <w:rPr>
          <w:rFonts w:ascii="Arial" w:hAnsi="Arial"/>
          <w:sz w:val="22"/>
          <w:szCs w:val="22"/>
        </w:rPr>
      </w:pPr>
      <w:r>
        <w:rPr>
          <w:rFonts w:cs="Calibri"/>
          <w:sz w:val="22"/>
          <w:szCs w:val="22"/>
        </w:rPr>
        <w:t xml:space="preserve">Confirmatory Analysis of Ground Condition Following completion of the above steps the ground condition will be assessed to demonstrate that there has been no increase in ground pollution throughout the life of the permit. </w:t>
      </w:r>
    </w:p>
    <w:p>
      <w:pPr>
        <w:pStyle w:val="Normal"/>
        <w:numPr>
          <w:ilvl w:val="0"/>
          <w:numId w:val="7"/>
        </w:numPr>
        <w:rPr>
          <w:rFonts w:ascii="Arial" w:hAnsi="Arial"/>
          <w:sz w:val="22"/>
          <w:szCs w:val="22"/>
        </w:rPr>
      </w:pPr>
      <w:r>
        <w:rPr>
          <w:rFonts w:cs="Calibri"/>
          <w:sz w:val="22"/>
          <w:szCs w:val="22"/>
        </w:rPr>
        <w:t>Surrender of the Environmental Permit Following completion of the above steps the Environmental Permit will be formally surrendered in accordance with prevailing legislation at the time.</w:t>
      </w:r>
    </w:p>
    <w:p>
      <w:pPr>
        <w:pStyle w:val="BodyText"/>
        <w:rPr>
          <w:rFonts w:ascii="Arial" w:hAnsi="Arial" w:cs="Calibri"/>
          <w:b/>
          <w:bCs/>
          <w:sz w:val="22"/>
          <w:szCs w:val="22"/>
          <w:u w:val="single"/>
        </w:rPr>
      </w:pPr>
      <w:r>
        <w:rPr>
          <w:rFonts w:cs="Calibri"/>
          <w:b/>
          <w:bCs/>
          <w:sz w:val="22"/>
          <w:szCs w:val="22"/>
          <w:u w:val="single"/>
        </w:rPr>
      </w:r>
    </w:p>
    <w:p>
      <w:pPr>
        <w:pStyle w:val="BodyText"/>
        <w:rPr>
          <w:rFonts w:ascii="Arial" w:hAnsi="Arial" w:cs="Calibri"/>
          <w:b/>
          <w:bCs/>
          <w:sz w:val="22"/>
          <w:szCs w:val="22"/>
          <w:u w:val="single"/>
        </w:rPr>
      </w:pPr>
      <w:r>
        <w:rPr>
          <w:rFonts w:cs="Calibri"/>
          <w:b/>
          <w:bCs/>
          <w:sz w:val="22"/>
          <w:szCs w:val="22"/>
          <w:u w:val="single"/>
        </w:rPr>
      </w:r>
    </w:p>
    <w:p>
      <w:pPr>
        <w:pStyle w:val="BodyText"/>
        <w:rPr>
          <w:rFonts w:ascii="Arial" w:hAnsi="Arial" w:cs="Calibri"/>
          <w:b/>
          <w:bCs/>
          <w:sz w:val="22"/>
          <w:szCs w:val="22"/>
          <w:u w:val="single"/>
        </w:rPr>
      </w:pPr>
      <w:r>
        <w:rPr>
          <w:rFonts w:cs="Calibri"/>
          <w:b/>
          <w:bCs/>
          <w:sz w:val="22"/>
          <w:szCs w:val="22"/>
          <w:u w:val="single"/>
        </w:rPr>
      </w:r>
    </w:p>
    <w:p>
      <w:pPr>
        <w:pStyle w:val="indent"/>
        <w:numPr>
          <w:ilvl w:val="0"/>
          <w:numId w:val="3"/>
        </w:numPr>
        <w:spacing w:before="100" w:after="0"/>
        <w:rPr>
          <w:rFonts w:ascii="Arial" w:hAnsi="Arial"/>
          <w:sz w:val="22"/>
          <w:szCs w:val="22"/>
        </w:rPr>
      </w:pPr>
      <w:r>
        <w:rPr>
          <w:rFonts w:cs="Calibri" w:ascii="Arial" w:hAnsi="Arial"/>
          <w:b/>
          <w:bCs/>
          <w:sz w:val="22"/>
          <w:szCs w:val="22"/>
        </w:rPr>
        <w:t xml:space="preserve">Site Condition Report (SCR) </w:t>
      </w:r>
    </w:p>
    <w:p>
      <w:pPr>
        <w:pStyle w:val="indent"/>
        <w:spacing w:before="100" w:after="0"/>
        <w:ind w:start="720" w:end="0"/>
        <w:rPr>
          <w:rFonts w:ascii="Arial" w:hAnsi="Arial" w:cs="Calibri"/>
          <w:b/>
          <w:bCs/>
          <w:sz w:val="22"/>
          <w:szCs w:val="22"/>
        </w:rPr>
      </w:pPr>
      <w:r>
        <w:rPr>
          <w:rFonts w:cs="Calibri" w:ascii="Arial" w:hAnsi="Arial"/>
          <w:b/>
          <w:bCs/>
          <w:sz w:val="22"/>
          <w:szCs w:val="22"/>
        </w:rPr>
      </w:r>
    </w:p>
    <w:p>
      <w:pPr>
        <w:pStyle w:val="indent"/>
        <w:spacing w:before="100" w:after="0"/>
        <w:ind w:start="720" w:end="0"/>
        <w:rPr>
          <w:rFonts w:ascii="Arial" w:hAnsi="Arial"/>
          <w:sz w:val="22"/>
          <w:szCs w:val="22"/>
        </w:rPr>
      </w:pPr>
      <w:r>
        <w:rPr>
          <w:rFonts w:cs="Calibri" w:ascii="Arial" w:hAnsi="Arial"/>
          <w:sz w:val="22"/>
          <w:szCs w:val="22"/>
        </w:rPr>
        <w:t xml:space="preserve">The steps described above will be supported by site condition report records that will be maintained at the site. The purpose of the collection of these records is to facilitate the on-going collation of all SCR data, following the Environment Agency’s H5 guidance and template. The SCR records will contain the following elements: </w:t>
      </w:r>
    </w:p>
    <w:p>
      <w:pPr>
        <w:pStyle w:val="indent"/>
        <w:spacing w:before="100" w:after="0"/>
        <w:ind w:start="720" w:end="0"/>
        <w:rPr>
          <w:rFonts w:ascii="Arial" w:hAnsi="Arial" w:cs="Calibri"/>
          <w:sz w:val="22"/>
          <w:szCs w:val="22"/>
        </w:rPr>
      </w:pPr>
      <w:r>
        <w:rPr>
          <w:rFonts w:cs="Calibri" w:ascii="Arial" w:hAnsi="Arial"/>
          <w:sz w:val="22"/>
          <w:szCs w:val="22"/>
        </w:rPr>
      </w:r>
    </w:p>
    <w:p>
      <w:pPr>
        <w:pStyle w:val="indent"/>
        <w:numPr>
          <w:ilvl w:val="0"/>
          <w:numId w:val="4"/>
        </w:numPr>
        <w:spacing w:before="100" w:after="0"/>
        <w:rPr>
          <w:rFonts w:ascii="Arial" w:hAnsi="Arial"/>
          <w:sz w:val="22"/>
          <w:szCs w:val="22"/>
        </w:rPr>
      </w:pPr>
      <w:r>
        <w:rPr>
          <w:rFonts w:cs="Calibri" w:ascii="Arial" w:hAnsi="Arial"/>
          <w:sz w:val="22"/>
          <w:szCs w:val="22"/>
        </w:rPr>
        <w:t xml:space="preserve">Reference Documents </w:t>
      </w:r>
    </w:p>
    <w:p>
      <w:pPr>
        <w:pStyle w:val="indent"/>
        <w:numPr>
          <w:ilvl w:val="0"/>
          <w:numId w:val="4"/>
        </w:numPr>
        <w:spacing w:before="100" w:after="0"/>
        <w:rPr>
          <w:rFonts w:ascii="Arial" w:hAnsi="Arial"/>
          <w:sz w:val="22"/>
          <w:szCs w:val="22"/>
        </w:rPr>
      </w:pPr>
      <w:r>
        <w:rPr>
          <w:rFonts w:cs="Calibri" w:ascii="Arial" w:hAnsi="Arial"/>
          <w:sz w:val="22"/>
          <w:szCs w:val="22"/>
        </w:rPr>
        <w:t xml:space="preserve">The following documents will be held with the Site Condition Report Records as a minimum. </w:t>
      </w:r>
    </w:p>
    <w:p>
      <w:pPr>
        <w:pStyle w:val="indent"/>
        <w:spacing w:before="100" w:after="0"/>
        <w:rPr>
          <w:rFonts w:ascii="Arial" w:hAnsi="Arial" w:cs="Calibri"/>
          <w:sz w:val="22"/>
          <w:szCs w:val="22"/>
        </w:rPr>
      </w:pPr>
      <w:r>
        <w:rPr>
          <w:rFonts w:cs="Calibri" w:ascii="Arial" w:hAnsi="Arial"/>
          <w:sz w:val="22"/>
          <w:szCs w:val="22"/>
        </w:rPr>
      </w:r>
    </w:p>
    <w:p>
      <w:pPr>
        <w:pStyle w:val="indent"/>
        <w:spacing w:before="100" w:after="0"/>
        <w:rPr>
          <w:rFonts w:ascii="Arial" w:hAnsi="Arial" w:cs="Calibri"/>
          <w:sz w:val="22"/>
          <w:szCs w:val="22"/>
        </w:rPr>
      </w:pPr>
      <w:r>
        <w:rPr>
          <w:rFonts w:cs="Calibri" w:ascii="Arial" w:hAnsi="Arial"/>
          <w:sz w:val="22"/>
          <w:szCs w:val="22"/>
        </w:rPr>
      </w:r>
    </w:p>
    <w:tbl>
      <w:tblPr>
        <w:tblW w:w="8647" w:type="dxa"/>
        <w:jc w:val="start"/>
        <w:tblInd w:w="959" w:type="dxa"/>
        <w:tblLayout w:type="fixed"/>
        <w:tblCellMar>
          <w:top w:w="0" w:type="dxa"/>
          <w:start w:w="108" w:type="dxa"/>
          <w:bottom w:w="0" w:type="dxa"/>
          <w:end w:w="108" w:type="dxa"/>
        </w:tblCellMar>
      </w:tblPr>
      <w:tblGrid>
        <w:gridCol w:w="8647"/>
      </w:tblGrid>
      <w:tr>
        <w:trPr/>
        <w:tc>
          <w:tcPr>
            <w:tcW w:w="8647" w:type="dxa"/>
            <w:tcBorders>
              <w:top w:val="single" w:sz="4" w:space="0" w:color="000000"/>
              <w:start w:val="single" w:sz="4" w:space="0" w:color="000000"/>
              <w:bottom w:val="single" w:sz="4" w:space="0" w:color="000000"/>
              <w:end w:val="single" w:sz="4" w:space="0" w:color="000000"/>
            </w:tcBorders>
          </w:tcPr>
          <w:p>
            <w:pPr>
              <w:pStyle w:val="indent"/>
              <w:spacing w:before="100" w:after="0"/>
              <w:rPr>
                <w:rFonts w:ascii="Arial" w:hAnsi="Arial"/>
                <w:sz w:val="22"/>
                <w:szCs w:val="22"/>
              </w:rPr>
            </w:pPr>
            <w:r>
              <w:rPr>
                <w:rFonts w:cs="Calibri" w:ascii="Arial" w:hAnsi="Arial"/>
                <w:b/>
                <w:bCs/>
                <w:sz w:val="22"/>
                <w:szCs w:val="22"/>
              </w:rPr>
              <w:t>Title</w:t>
            </w:r>
          </w:p>
        </w:tc>
      </w:tr>
      <w:tr>
        <w:trPr/>
        <w:tc>
          <w:tcPr>
            <w:tcW w:w="8647" w:type="dxa"/>
            <w:tcBorders>
              <w:top w:val="single" w:sz="4" w:space="0" w:color="000000"/>
              <w:start w:val="single" w:sz="4" w:space="0" w:color="000000"/>
              <w:bottom w:val="single" w:sz="4" w:space="0" w:color="000000"/>
              <w:end w:val="single" w:sz="4" w:space="0" w:color="000000"/>
            </w:tcBorders>
            <w:shd w:fill="FFE599" w:val="clear"/>
          </w:tcPr>
          <w:p>
            <w:pPr>
              <w:pStyle w:val="indent"/>
              <w:spacing w:before="100" w:after="0"/>
              <w:rPr>
                <w:rFonts w:ascii="Arial" w:hAnsi="Arial"/>
                <w:sz w:val="22"/>
                <w:szCs w:val="22"/>
              </w:rPr>
            </w:pPr>
            <w:r>
              <w:rPr>
                <w:rFonts w:cs="Calibri" w:ascii="Arial" w:hAnsi="Arial"/>
                <w:sz w:val="22"/>
                <w:szCs w:val="22"/>
              </w:rPr>
              <w:t>Core Reference Documents</w:t>
            </w:r>
          </w:p>
        </w:tc>
      </w:tr>
      <w:tr>
        <w:trPr/>
        <w:tc>
          <w:tcPr>
            <w:tcW w:w="8647" w:type="dxa"/>
            <w:tcBorders>
              <w:top w:val="single" w:sz="4" w:space="0" w:color="000000"/>
              <w:start w:val="single" w:sz="4" w:space="0" w:color="000000"/>
              <w:bottom w:val="single" w:sz="4" w:space="0" w:color="000000"/>
              <w:end w:val="single" w:sz="4" w:space="0" w:color="000000"/>
            </w:tcBorders>
          </w:tcPr>
          <w:p>
            <w:pPr>
              <w:pStyle w:val="indent"/>
              <w:spacing w:before="100" w:after="0"/>
              <w:rPr>
                <w:rFonts w:ascii="Arial" w:hAnsi="Arial"/>
                <w:sz w:val="22"/>
                <w:szCs w:val="22"/>
              </w:rPr>
            </w:pPr>
            <w:r>
              <w:rPr>
                <w:rFonts w:cs="Calibri" w:ascii="Arial" w:hAnsi="Arial"/>
                <w:sz w:val="22"/>
                <w:szCs w:val="22"/>
              </w:rPr>
              <w:t>Environmental Permit</w:t>
            </w:r>
          </w:p>
        </w:tc>
      </w:tr>
      <w:tr>
        <w:trPr/>
        <w:tc>
          <w:tcPr>
            <w:tcW w:w="8647" w:type="dxa"/>
            <w:tcBorders>
              <w:top w:val="single" w:sz="4" w:space="0" w:color="000000"/>
              <w:start w:val="single" w:sz="4" w:space="0" w:color="000000"/>
              <w:bottom w:val="single" w:sz="4" w:space="0" w:color="000000"/>
              <w:end w:val="single" w:sz="4" w:space="0" w:color="000000"/>
            </w:tcBorders>
          </w:tcPr>
          <w:p>
            <w:pPr>
              <w:pStyle w:val="indent"/>
              <w:spacing w:before="100" w:after="0"/>
              <w:rPr>
                <w:rFonts w:ascii="Arial" w:hAnsi="Arial"/>
                <w:sz w:val="22"/>
                <w:szCs w:val="22"/>
              </w:rPr>
            </w:pPr>
            <w:r>
              <w:rPr>
                <w:rFonts w:cs="Calibri" w:ascii="Arial" w:hAnsi="Arial"/>
                <w:sz w:val="22"/>
                <w:szCs w:val="22"/>
              </w:rPr>
              <w:t>Site Condition Reports</w:t>
            </w:r>
          </w:p>
        </w:tc>
      </w:tr>
      <w:tr>
        <w:trPr/>
        <w:tc>
          <w:tcPr>
            <w:tcW w:w="8647" w:type="dxa"/>
            <w:tcBorders>
              <w:top w:val="single" w:sz="4" w:space="0" w:color="000000"/>
              <w:start w:val="single" w:sz="4" w:space="0" w:color="000000"/>
              <w:bottom w:val="single" w:sz="4" w:space="0" w:color="000000"/>
              <w:end w:val="single" w:sz="4" w:space="0" w:color="000000"/>
            </w:tcBorders>
          </w:tcPr>
          <w:p>
            <w:pPr>
              <w:pStyle w:val="indent"/>
              <w:spacing w:before="100" w:after="0"/>
              <w:rPr>
                <w:rFonts w:ascii="Arial" w:hAnsi="Arial"/>
                <w:sz w:val="22"/>
                <w:szCs w:val="22"/>
              </w:rPr>
            </w:pPr>
            <w:r>
              <w:rPr>
                <w:rFonts w:cs="Calibri" w:ascii="Arial" w:hAnsi="Arial"/>
                <w:sz w:val="22"/>
                <w:szCs w:val="22"/>
              </w:rPr>
              <w:t>Construction Records (if available)</w:t>
            </w:r>
          </w:p>
        </w:tc>
      </w:tr>
      <w:tr>
        <w:trPr/>
        <w:tc>
          <w:tcPr>
            <w:tcW w:w="8647" w:type="dxa"/>
            <w:tcBorders>
              <w:top w:val="single" w:sz="4" w:space="0" w:color="000000"/>
              <w:start w:val="single" w:sz="4" w:space="0" w:color="000000"/>
              <w:bottom w:val="single" w:sz="4" w:space="0" w:color="000000"/>
              <w:end w:val="single" w:sz="4" w:space="0" w:color="000000"/>
            </w:tcBorders>
            <w:shd w:fill="FFE599" w:val="clear"/>
          </w:tcPr>
          <w:p>
            <w:pPr>
              <w:pStyle w:val="indent"/>
              <w:spacing w:before="100" w:after="0"/>
              <w:rPr>
                <w:rFonts w:ascii="Arial" w:hAnsi="Arial"/>
                <w:sz w:val="22"/>
                <w:szCs w:val="22"/>
              </w:rPr>
            </w:pPr>
            <w:r>
              <w:rPr>
                <w:rFonts w:cs="Calibri" w:ascii="Arial" w:hAnsi="Arial"/>
                <w:sz w:val="22"/>
                <w:szCs w:val="22"/>
              </w:rPr>
              <w:t>Reference documents updated following review or amendment</w:t>
            </w:r>
          </w:p>
        </w:tc>
      </w:tr>
      <w:tr>
        <w:trPr/>
        <w:tc>
          <w:tcPr>
            <w:tcW w:w="8647" w:type="dxa"/>
            <w:tcBorders>
              <w:top w:val="single" w:sz="4" w:space="0" w:color="000000"/>
              <w:start w:val="single" w:sz="4" w:space="0" w:color="000000"/>
              <w:bottom w:val="single" w:sz="4" w:space="0" w:color="000000"/>
              <w:end w:val="single" w:sz="4" w:space="0" w:color="000000"/>
            </w:tcBorders>
          </w:tcPr>
          <w:p>
            <w:pPr>
              <w:pStyle w:val="indent"/>
              <w:spacing w:before="100" w:after="0"/>
              <w:rPr>
                <w:rFonts w:ascii="Arial" w:hAnsi="Arial"/>
                <w:sz w:val="22"/>
                <w:szCs w:val="22"/>
              </w:rPr>
            </w:pPr>
            <w:r>
              <w:rPr>
                <w:rFonts w:cs="Calibri" w:ascii="Arial" w:hAnsi="Arial"/>
                <w:sz w:val="22"/>
                <w:szCs w:val="22"/>
              </w:rPr>
              <w:t>Waste Schedule</w:t>
            </w:r>
          </w:p>
        </w:tc>
      </w:tr>
      <w:tr>
        <w:trPr/>
        <w:tc>
          <w:tcPr>
            <w:tcW w:w="8647" w:type="dxa"/>
            <w:tcBorders>
              <w:top w:val="single" w:sz="4" w:space="0" w:color="000000"/>
              <w:start w:val="single" w:sz="4" w:space="0" w:color="000000"/>
              <w:bottom w:val="single" w:sz="4" w:space="0" w:color="000000"/>
              <w:end w:val="single" w:sz="4" w:space="0" w:color="000000"/>
            </w:tcBorders>
          </w:tcPr>
          <w:p>
            <w:pPr>
              <w:pStyle w:val="indent"/>
              <w:spacing w:before="100" w:after="0"/>
              <w:rPr>
                <w:rFonts w:ascii="Arial" w:hAnsi="Arial"/>
                <w:sz w:val="22"/>
                <w:szCs w:val="22"/>
              </w:rPr>
            </w:pPr>
            <w:r>
              <w:rPr>
                <w:rFonts w:cs="Calibri" w:ascii="Arial" w:hAnsi="Arial"/>
                <w:sz w:val="22"/>
                <w:szCs w:val="22"/>
              </w:rPr>
              <w:t>Copies of additional data on the condition of the site that may be developed over the life of the permit, e.g. any ground investigation works.</w:t>
            </w:r>
          </w:p>
        </w:tc>
      </w:tr>
      <w:tr>
        <w:trPr/>
        <w:tc>
          <w:tcPr>
            <w:tcW w:w="8647" w:type="dxa"/>
            <w:tcBorders>
              <w:top w:val="single" w:sz="4" w:space="0" w:color="000000"/>
              <w:start w:val="single" w:sz="4" w:space="0" w:color="000000"/>
              <w:bottom w:val="single" w:sz="4" w:space="0" w:color="000000"/>
              <w:end w:val="single" w:sz="4" w:space="0" w:color="000000"/>
            </w:tcBorders>
          </w:tcPr>
          <w:p>
            <w:pPr>
              <w:pStyle w:val="indent"/>
              <w:spacing w:before="100" w:after="0"/>
              <w:rPr>
                <w:rFonts w:ascii="Arial" w:hAnsi="Arial"/>
                <w:sz w:val="22"/>
                <w:szCs w:val="22"/>
              </w:rPr>
            </w:pPr>
            <w:r>
              <w:rPr>
                <w:rFonts w:cs="Calibri" w:ascii="Arial" w:hAnsi="Arial"/>
                <w:sz w:val="22"/>
                <w:szCs w:val="22"/>
              </w:rPr>
              <w:t>Details of any changes to the permitted operations and the extent of the facility. Any permit variations and updates to site reports will be filed.</w:t>
            </w:r>
          </w:p>
        </w:tc>
      </w:tr>
      <w:tr>
        <w:trPr/>
        <w:tc>
          <w:tcPr>
            <w:tcW w:w="8647" w:type="dxa"/>
            <w:tcBorders>
              <w:top w:val="single" w:sz="4" w:space="0" w:color="000000"/>
              <w:start w:val="single" w:sz="4" w:space="0" w:color="000000"/>
              <w:bottom w:val="single" w:sz="4" w:space="0" w:color="000000"/>
              <w:end w:val="single" w:sz="4" w:space="0" w:color="000000"/>
            </w:tcBorders>
          </w:tcPr>
          <w:p>
            <w:pPr>
              <w:pStyle w:val="indent"/>
              <w:spacing w:before="100" w:after="0"/>
              <w:rPr>
                <w:rFonts w:ascii="Arial" w:hAnsi="Arial"/>
                <w:sz w:val="22"/>
                <w:szCs w:val="22"/>
              </w:rPr>
            </w:pPr>
            <w:r>
              <w:rPr>
                <w:rFonts w:cs="Calibri" w:ascii="Arial" w:hAnsi="Arial"/>
                <w:sz w:val="22"/>
                <w:szCs w:val="22"/>
              </w:rPr>
              <w:t>Details of any spillages or releases to the ground that may have added to the loadings of potential pollutants.</w:t>
            </w:r>
          </w:p>
        </w:tc>
      </w:tr>
      <w:tr>
        <w:trPr/>
        <w:tc>
          <w:tcPr>
            <w:tcW w:w="8647" w:type="dxa"/>
            <w:tcBorders>
              <w:top w:val="single" w:sz="4" w:space="0" w:color="000000"/>
              <w:start w:val="single" w:sz="4" w:space="0" w:color="000000"/>
              <w:bottom w:val="single" w:sz="4" w:space="0" w:color="000000"/>
              <w:end w:val="single" w:sz="4" w:space="0" w:color="000000"/>
            </w:tcBorders>
          </w:tcPr>
          <w:p>
            <w:pPr>
              <w:pStyle w:val="indent"/>
              <w:spacing w:before="100" w:after="0"/>
              <w:rPr>
                <w:rFonts w:ascii="Arial" w:hAnsi="Arial"/>
                <w:sz w:val="22"/>
                <w:szCs w:val="22"/>
              </w:rPr>
            </w:pPr>
            <w:r>
              <w:rPr>
                <w:rFonts w:cs="Calibri" w:ascii="Arial" w:hAnsi="Arial"/>
                <w:sz w:val="22"/>
                <w:szCs w:val="22"/>
              </w:rPr>
              <w:t>Details of any site clearance or clean-up that has been undertaken.</w:t>
            </w:r>
          </w:p>
        </w:tc>
      </w:tr>
      <w:tr>
        <w:trPr/>
        <w:tc>
          <w:tcPr>
            <w:tcW w:w="8647" w:type="dxa"/>
            <w:tcBorders>
              <w:top w:val="single" w:sz="4" w:space="0" w:color="000000"/>
              <w:start w:val="single" w:sz="4" w:space="0" w:color="000000"/>
              <w:bottom w:val="single" w:sz="4" w:space="0" w:color="000000"/>
              <w:end w:val="single" w:sz="4" w:space="0" w:color="000000"/>
            </w:tcBorders>
          </w:tcPr>
          <w:p>
            <w:pPr>
              <w:pStyle w:val="indent"/>
              <w:spacing w:before="100" w:after="0"/>
              <w:rPr>
                <w:rFonts w:ascii="Arial" w:hAnsi="Arial"/>
                <w:sz w:val="22"/>
                <w:szCs w:val="22"/>
              </w:rPr>
            </w:pPr>
            <w:r>
              <w:rPr>
                <w:rFonts w:cs="Calibri" w:ascii="Arial" w:hAnsi="Arial"/>
                <w:sz w:val="22"/>
                <w:szCs w:val="22"/>
              </w:rPr>
              <w:t>Operational changes.</w:t>
            </w:r>
          </w:p>
        </w:tc>
      </w:tr>
      <w:tr>
        <w:trPr/>
        <w:tc>
          <w:tcPr>
            <w:tcW w:w="8647" w:type="dxa"/>
            <w:tcBorders>
              <w:top w:val="single" w:sz="4" w:space="0" w:color="000000"/>
              <w:start w:val="single" w:sz="4" w:space="0" w:color="000000"/>
              <w:bottom w:val="single" w:sz="4" w:space="0" w:color="000000"/>
              <w:end w:val="single" w:sz="4" w:space="0" w:color="000000"/>
            </w:tcBorders>
            <w:shd w:fill="FFE599" w:val="clear"/>
          </w:tcPr>
          <w:p>
            <w:pPr>
              <w:pStyle w:val="indent"/>
              <w:spacing w:before="100" w:after="0"/>
              <w:rPr>
                <w:rFonts w:ascii="Arial" w:hAnsi="Arial"/>
                <w:sz w:val="22"/>
                <w:szCs w:val="22"/>
              </w:rPr>
            </w:pPr>
            <w:r>
              <w:rPr>
                <w:rFonts w:cs="Calibri" w:ascii="Arial" w:hAnsi="Arial"/>
                <w:sz w:val="22"/>
                <w:szCs w:val="22"/>
              </w:rPr>
              <w:t>Documents submitted to the regulator or permit surrender</w:t>
            </w:r>
          </w:p>
        </w:tc>
      </w:tr>
      <w:tr>
        <w:trPr/>
        <w:tc>
          <w:tcPr>
            <w:tcW w:w="8647" w:type="dxa"/>
            <w:tcBorders>
              <w:top w:val="single" w:sz="4" w:space="0" w:color="000000"/>
              <w:start w:val="single" w:sz="4" w:space="0" w:color="000000"/>
              <w:bottom w:val="single" w:sz="4" w:space="0" w:color="000000"/>
              <w:end w:val="single" w:sz="4" w:space="0" w:color="000000"/>
            </w:tcBorders>
          </w:tcPr>
          <w:p>
            <w:pPr>
              <w:pStyle w:val="indent"/>
              <w:spacing w:before="100" w:after="0"/>
              <w:rPr>
                <w:rFonts w:ascii="Arial" w:hAnsi="Arial"/>
                <w:sz w:val="22"/>
                <w:szCs w:val="22"/>
              </w:rPr>
            </w:pPr>
            <w:r>
              <w:rPr>
                <w:rFonts w:cs="Calibri" w:ascii="Arial" w:hAnsi="Arial"/>
                <w:sz w:val="22"/>
                <w:szCs w:val="22"/>
              </w:rPr>
              <w:t>Site closure plan</w:t>
            </w:r>
          </w:p>
        </w:tc>
      </w:tr>
      <w:tr>
        <w:trPr/>
        <w:tc>
          <w:tcPr>
            <w:tcW w:w="8647" w:type="dxa"/>
            <w:tcBorders>
              <w:top w:val="single" w:sz="4" w:space="0" w:color="000000"/>
              <w:start w:val="single" w:sz="4" w:space="0" w:color="000000"/>
              <w:bottom w:val="single" w:sz="4" w:space="0" w:color="000000"/>
              <w:end w:val="single" w:sz="4" w:space="0" w:color="000000"/>
            </w:tcBorders>
          </w:tcPr>
          <w:p>
            <w:pPr>
              <w:pStyle w:val="indent"/>
              <w:spacing w:before="100" w:after="0"/>
              <w:rPr>
                <w:rFonts w:ascii="Arial" w:hAnsi="Arial"/>
                <w:sz w:val="22"/>
                <w:szCs w:val="22"/>
              </w:rPr>
            </w:pPr>
            <w:r>
              <w:rPr>
                <w:rFonts w:cs="Calibri" w:ascii="Arial" w:hAnsi="Arial"/>
                <w:sz w:val="22"/>
                <w:szCs w:val="22"/>
              </w:rPr>
              <w:t>Site condition report</w:t>
            </w:r>
          </w:p>
        </w:tc>
      </w:tr>
    </w:tbl>
    <w:p>
      <w:pPr>
        <w:pStyle w:val="indent"/>
        <w:spacing w:before="100" w:after="0"/>
        <w:rPr>
          <w:rFonts w:ascii="Arial" w:hAnsi="Arial" w:cs="Calibri"/>
          <w:sz w:val="22"/>
          <w:szCs w:val="22"/>
        </w:rPr>
      </w:pPr>
      <w:r>
        <w:rPr>
          <w:rFonts w:cs="Calibri" w:ascii="Arial" w:hAnsi="Arial"/>
          <w:sz w:val="22"/>
          <w:szCs w:val="22"/>
        </w:rPr>
      </w:r>
    </w:p>
    <w:p>
      <w:pPr>
        <w:pStyle w:val="indent"/>
        <w:numPr>
          <w:ilvl w:val="0"/>
          <w:numId w:val="2"/>
        </w:numPr>
        <w:spacing w:before="100" w:after="0"/>
        <w:rPr>
          <w:rFonts w:ascii="Arial" w:hAnsi="Arial"/>
          <w:sz w:val="22"/>
          <w:szCs w:val="22"/>
        </w:rPr>
      </w:pPr>
      <w:r>
        <w:rPr>
          <w:rFonts w:cs="Calibri" w:ascii="Arial" w:hAnsi="Arial"/>
          <w:b/>
          <w:bCs/>
          <w:sz w:val="22"/>
          <w:szCs w:val="22"/>
        </w:rPr>
        <w:t xml:space="preserve">Core reference documents. </w:t>
      </w:r>
    </w:p>
    <w:p>
      <w:pPr>
        <w:pStyle w:val="indent"/>
        <w:spacing w:before="100" w:after="0"/>
        <w:rPr>
          <w:rFonts w:ascii="Arial" w:hAnsi="Arial"/>
          <w:sz w:val="22"/>
          <w:szCs w:val="22"/>
        </w:rPr>
      </w:pPr>
      <w:r>
        <w:rPr>
          <w:rFonts w:cs="Calibri" w:ascii="Arial" w:hAnsi="Arial"/>
          <w:sz w:val="22"/>
          <w:szCs w:val="22"/>
        </w:rPr>
        <w:t xml:space="preserve">The following documents will be stored at permit issue with the SCR records. </w:t>
      </w:r>
    </w:p>
    <w:p>
      <w:pPr>
        <w:pStyle w:val="indent"/>
        <w:spacing w:before="100" w:after="0"/>
        <w:rPr>
          <w:rFonts w:ascii="Arial" w:hAnsi="Arial" w:cs="Calibri"/>
          <w:sz w:val="22"/>
          <w:szCs w:val="22"/>
        </w:rPr>
      </w:pPr>
      <w:r>
        <w:rPr>
          <w:rFonts w:cs="Calibri" w:ascii="Arial" w:hAnsi="Arial"/>
          <w:sz w:val="22"/>
          <w:szCs w:val="22"/>
        </w:rPr>
      </w:r>
    </w:p>
    <w:p>
      <w:pPr>
        <w:pStyle w:val="indent"/>
        <w:spacing w:before="100" w:after="0"/>
        <w:rPr>
          <w:rFonts w:ascii="Arial" w:hAnsi="Arial"/>
          <w:sz w:val="22"/>
          <w:szCs w:val="22"/>
        </w:rPr>
      </w:pPr>
      <w:r>
        <w:rPr>
          <w:rFonts w:cs="Calibri" w:ascii="Arial" w:hAnsi="Arial"/>
          <w:b/>
          <w:bCs/>
          <w:sz w:val="22"/>
          <w:szCs w:val="22"/>
        </w:rPr>
        <w:t xml:space="preserve">H5- Site Condition Report Guidance and Templates </w:t>
      </w:r>
    </w:p>
    <w:p>
      <w:pPr>
        <w:pStyle w:val="indent"/>
        <w:spacing w:before="100" w:after="0"/>
        <w:rPr>
          <w:rFonts w:ascii="Arial" w:hAnsi="Arial"/>
          <w:sz w:val="22"/>
          <w:szCs w:val="22"/>
        </w:rPr>
      </w:pPr>
      <w:r>
        <w:rPr>
          <w:rFonts w:cs="Calibri" w:ascii="Arial" w:hAnsi="Arial"/>
          <w:sz w:val="22"/>
          <w:szCs w:val="22"/>
        </w:rPr>
        <w:t>A copy of the guidance and template application produced by the Environment Agency providing guidance of the records to be kept during the operational and surrender stages of the Environmental Permit. This is to ensure that updates and developments in the guidance are properly reflected in the plan. Checking for updates in guidance and updating the surrender plan to reflect these will be a part of the Site Closure Plan reviews.</w:t>
      </w:r>
    </w:p>
    <w:p>
      <w:pPr>
        <w:pStyle w:val="indent"/>
        <w:spacing w:before="100" w:after="0"/>
        <w:rPr>
          <w:rFonts w:ascii="Arial" w:hAnsi="Arial" w:cs="Calibri"/>
          <w:sz w:val="22"/>
          <w:szCs w:val="22"/>
        </w:rPr>
      </w:pPr>
      <w:r>
        <w:rPr>
          <w:rFonts w:cs="Calibri" w:ascii="Arial" w:hAnsi="Arial"/>
          <w:sz w:val="22"/>
          <w:szCs w:val="22"/>
        </w:rPr>
      </w:r>
    </w:p>
    <w:p>
      <w:pPr>
        <w:pStyle w:val="indent"/>
        <w:spacing w:before="100" w:after="0"/>
        <w:rPr>
          <w:rFonts w:ascii="Arial" w:hAnsi="Arial"/>
          <w:sz w:val="22"/>
          <w:szCs w:val="22"/>
        </w:rPr>
      </w:pPr>
      <w:r>
        <w:rPr>
          <w:rFonts w:cs="Calibri" w:ascii="Arial" w:hAnsi="Arial"/>
          <w:b/>
          <w:bCs/>
          <w:sz w:val="22"/>
          <w:szCs w:val="22"/>
        </w:rPr>
        <w:t xml:space="preserve">Environmental Permits </w:t>
      </w:r>
    </w:p>
    <w:p>
      <w:pPr>
        <w:pStyle w:val="indent"/>
        <w:spacing w:before="100" w:after="0"/>
        <w:rPr>
          <w:rFonts w:ascii="Arial" w:hAnsi="Arial"/>
          <w:sz w:val="22"/>
          <w:szCs w:val="22"/>
        </w:rPr>
      </w:pPr>
      <w:r>
        <w:rPr>
          <w:rFonts w:cs="Calibri" w:ascii="Arial" w:hAnsi="Arial"/>
          <w:sz w:val="22"/>
          <w:szCs w:val="22"/>
        </w:rPr>
        <w:t xml:space="preserve">A copy of all permits including variations issued to site. </w:t>
      </w:r>
    </w:p>
    <w:p>
      <w:pPr>
        <w:pStyle w:val="indent"/>
        <w:spacing w:before="100" w:after="0"/>
        <w:rPr>
          <w:rFonts w:ascii="Arial" w:hAnsi="Arial" w:cs="Calibri"/>
          <w:sz w:val="22"/>
          <w:szCs w:val="22"/>
        </w:rPr>
      </w:pPr>
      <w:r>
        <w:rPr>
          <w:rFonts w:cs="Calibri" w:ascii="Arial" w:hAnsi="Arial"/>
          <w:sz w:val="22"/>
          <w:szCs w:val="22"/>
        </w:rPr>
      </w:r>
    </w:p>
    <w:p>
      <w:pPr>
        <w:pStyle w:val="indent"/>
        <w:spacing w:before="100" w:after="0"/>
        <w:rPr>
          <w:rFonts w:ascii="Arial" w:hAnsi="Arial"/>
          <w:sz w:val="22"/>
          <w:szCs w:val="22"/>
        </w:rPr>
      </w:pPr>
      <w:r>
        <w:rPr>
          <w:rFonts w:cs="Calibri" w:ascii="Arial" w:hAnsi="Arial"/>
          <w:b/>
          <w:bCs/>
          <w:sz w:val="22"/>
          <w:szCs w:val="22"/>
        </w:rPr>
        <w:t>De-Populate Houses</w:t>
      </w:r>
    </w:p>
    <w:p>
      <w:pPr>
        <w:pStyle w:val="indent"/>
        <w:spacing w:before="100" w:after="0"/>
        <w:rPr>
          <w:rFonts w:ascii="Arial" w:hAnsi="Arial"/>
          <w:sz w:val="22"/>
          <w:szCs w:val="22"/>
        </w:rPr>
      </w:pPr>
      <w:r>
        <w:rPr>
          <w:rFonts w:cs="Calibri" w:ascii="Arial" w:hAnsi="Arial"/>
          <w:sz w:val="22"/>
          <w:szCs w:val="22"/>
        </w:rPr>
        <w:t>All birds will be removed and sold through the correct facilities.</w:t>
      </w:r>
    </w:p>
    <w:p>
      <w:pPr>
        <w:pStyle w:val="indent"/>
        <w:spacing w:before="100" w:after="0"/>
        <w:rPr>
          <w:rFonts w:ascii="Arial" w:hAnsi="Arial"/>
          <w:sz w:val="22"/>
          <w:szCs w:val="22"/>
        </w:rPr>
      </w:pPr>
      <w:r>
        <w:rPr>
          <w:rFonts w:cs="Calibri" w:ascii="Arial" w:hAnsi="Arial"/>
          <w:sz w:val="22"/>
          <w:szCs w:val="22"/>
        </w:rPr>
        <w:t>Buildings will be closed and made redundant or the farm may be sold to another farmer/company who may carry on the business as normal.</w:t>
      </w:r>
    </w:p>
    <w:p>
      <w:pPr>
        <w:pStyle w:val="indent"/>
        <w:spacing w:before="100" w:after="0"/>
        <w:rPr>
          <w:rFonts w:ascii="Arial" w:hAnsi="Arial"/>
          <w:sz w:val="22"/>
          <w:szCs w:val="22"/>
        </w:rPr>
      </w:pPr>
      <w:r>
        <w:rPr>
          <w:rFonts w:cs="Calibri" w:ascii="Arial" w:hAnsi="Arial"/>
          <w:sz w:val="22"/>
          <w:szCs w:val="22"/>
        </w:rPr>
        <w:t>Colleagues will be transferred to other farms or made redundant.</w:t>
      </w:r>
    </w:p>
    <w:p>
      <w:pPr>
        <w:pStyle w:val="indent"/>
        <w:spacing w:before="100" w:after="0"/>
        <w:rPr>
          <w:rFonts w:ascii="Arial" w:hAnsi="Arial"/>
          <w:sz w:val="22"/>
          <w:szCs w:val="22"/>
        </w:rPr>
      </w:pPr>
      <w:r>
        <w:rPr>
          <w:rFonts w:cs="Calibri" w:ascii="Arial" w:hAnsi="Arial"/>
          <w:sz w:val="22"/>
          <w:szCs w:val="22"/>
        </w:rPr>
        <w:t>Any fuel oils/diesel would be used in the closure process or removed from tanks.</w:t>
      </w:r>
    </w:p>
    <w:p>
      <w:pPr>
        <w:pStyle w:val="indent"/>
        <w:spacing w:before="100" w:after="0"/>
        <w:rPr>
          <w:rFonts w:ascii="Arial" w:hAnsi="Arial" w:cs="Calibri"/>
          <w:b/>
          <w:bCs/>
          <w:sz w:val="22"/>
          <w:szCs w:val="22"/>
        </w:rPr>
      </w:pPr>
      <w:r>
        <w:rPr>
          <w:rFonts w:cs="Calibri" w:ascii="Arial" w:hAnsi="Arial"/>
          <w:b/>
          <w:bCs/>
          <w:sz w:val="22"/>
          <w:szCs w:val="22"/>
        </w:rPr>
      </w:r>
    </w:p>
    <w:p>
      <w:pPr>
        <w:pStyle w:val="indent"/>
        <w:spacing w:before="100" w:after="0"/>
        <w:rPr>
          <w:rFonts w:ascii="Arial" w:hAnsi="Arial"/>
          <w:sz w:val="22"/>
          <w:szCs w:val="22"/>
        </w:rPr>
      </w:pPr>
      <w:r>
        <w:rPr>
          <w:rFonts w:cs="Calibri" w:ascii="Arial" w:hAnsi="Arial"/>
          <w:b/>
          <w:bCs/>
          <w:sz w:val="22"/>
          <w:szCs w:val="22"/>
        </w:rPr>
        <w:t xml:space="preserve">Waste Schedule </w:t>
      </w:r>
    </w:p>
    <w:p>
      <w:pPr>
        <w:pStyle w:val="indent"/>
        <w:spacing w:before="100" w:after="0"/>
        <w:rPr>
          <w:rFonts w:ascii="Arial" w:hAnsi="Arial"/>
          <w:sz w:val="22"/>
          <w:szCs w:val="22"/>
        </w:rPr>
      </w:pPr>
      <w:r>
        <w:rPr>
          <w:rFonts w:cs="Calibri" w:ascii="Arial" w:hAnsi="Arial"/>
          <w:sz w:val="22"/>
          <w:szCs w:val="22"/>
        </w:rPr>
        <w:t xml:space="preserve">A Waste Schedule will be kept and updated in line with permit requirements along with the associated legal documentation. </w:t>
      </w:r>
    </w:p>
    <w:p>
      <w:pPr>
        <w:pStyle w:val="indent"/>
        <w:spacing w:before="100" w:after="0"/>
        <w:rPr>
          <w:rFonts w:ascii="Arial" w:hAnsi="Arial" w:cs="Calibri"/>
          <w:sz w:val="22"/>
          <w:szCs w:val="22"/>
        </w:rPr>
      </w:pPr>
      <w:r>
        <w:rPr>
          <w:rFonts w:cs="Calibri" w:ascii="Arial" w:hAnsi="Arial"/>
          <w:sz w:val="22"/>
          <w:szCs w:val="22"/>
        </w:rPr>
      </w:r>
    </w:p>
    <w:tbl>
      <w:tblPr>
        <w:tblW w:w="8647" w:type="dxa"/>
        <w:jc w:val="start"/>
        <w:tblInd w:w="391" w:type="dxa"/>
        <w:tblLayout w:type="fixed"/>
        <w:tblCellMar>
          <w:top w:w="0" w:type="dxa"/>
          <w:start w:w="108" w:type="dxa"/>
          <w:bottom w:w="0" w:type="dxa"/>
          <w:end w:w="108" w:type="dxa"/>
        </w:tblCellMar>
      </w:tblPr>
      <w:tblGrid>
        <w:gridCol w:w="3401"/>
        <w:gridCol w:w="5245"/>
      </w:tblGrid>
      <w:tr>
        <w:trPr/>
        <w:tc>
          <w:tcPr>
            <w:tcW w:w="3401" w:type="dxa"/>
            <w:tcBorders>
              <w:top w:val="single" w:sz="4" w:space="0" w:color="000000"/>
              <w:start w:val="single" w:sz="4" w:space="0" w:color="000000"/>
              <w:bottom w:val="single" w:sz="4" w:space="0" w:color="000000"/>
              <w:end w:val="single" w:sz="4" w:space="0" w:color="000000"/>
            </w:tcBorders>
            <w:shd w:fill="D9D9D9" w:val="clear"/>
          </w:tcPr>
          <w:p>
            <w:pPr>
              <w:pStyle w:val="indent"/>
              <w:spacing w:before="100" w:after="0"/>
              <w:jc w:val="center"/>
              <w:rPr>
                <w:rFonts w:ascii="Arial" w:hAnsi="Arial"/>
                <w:sz w:val="22"/>
                <w:szCs w:val="22"/>
              </w:rPr>
            </w:pPr>
            <w:r>
              <w:rPr>
                <w:rFonts w:cs="Calibri" w:ascii="Arial" w:hAnsi="Arial"/>
                <w:sz w:val="22"/>
                <w:szCs w:val="22"/>
              </w:rPr>
              <w:t>Waste Characteristic</w:t>
            </w:r>
          </w:p>
        </w:tc>
        <w:tc>
          <w:tcPr>
            <w:tcW w:w="5245" w:type="dxa"/>
            <w:tcBorders>
              <w:top w:val="single" w:sz="4" w:space="0" w:color="000000"/>
              <w:start w:val="single" w:sz="4" w:space="0" w:color="000000"/>
              <w:bottom w:val="single" w:sz="4" w:space="0" w:color="000000"/>
              <w:end w:val="single" w:sz="4" w:space="0" w:color="000000"/>
            </w:tcBorders>
            <w:shd w:fill="D9D9D9" w:val="clear"/>
          </w:tcPr>
          <w:p>
            <w:pPr>
              <w:pStyle w:val="indent"/>
              <w:spacing w:before="100" w:after="0"/>
              <w:jc w:val="center"/>
              <w:rPr>
                <w:rFonts w:ascii="Arial" w:hAnsi="Arial"/>
                <w:sz w:val="22"/>
                <w:szCs w:val="22"/>
              </w:rPr>
            </w:pPr>
            <w:r>
              <w:rPr>
                <w:rFonts w:cs="Calibri" w:ascii="Arial" w:hAnsi="Arial"/>
                <w:sz w:val="22"/>
                <w:szCs w:val="22"/>
              </w:rPr>
              <w:t>Site Specific Characteristics</w:t>
            </w:r>
          </w:p>
        </w:tc>
      </w:tr>
      <w:tr>
        <w:trPr/>
        <w:tc>
          <w:tcPr>
            <w:tcW w:w="3401" w:type="dxa"/>
            <w:tcBorders>
              <w:top w:val="single" w:sz="4" w:space="0" w:color="000000"/>
              <w:start w:val="single" w:sz="4" w:space="0" w:color="000000"/>
              <w:bottom w:val="single" w:sz="4" w:space="0" w:color="000000"/>
              <w:end w:val="single" w:sz="4" w:space="0" w:color="000000"/>
            </w:tcBorders>
          </w:tcPr>
          <w:p>
            <w:pPr>
              <w:pStyle w:val="indent"/>
              <w:spacing w:before="100" w:after="0"/>
              <w:contextualSpacing/>
              <w:rPr>
                <w:rFonts w:ascii="Arial" w:hAnsi="Arial"/>
                <w:sz w:val="22"/>
                <w:szCs w:val="22"/>
              </w:rPr>
            </w:pPr>
            <w:r>
              <w:rPr>
                <w:rFonts w:cs="Calibri" w:ascii="Arial" w:hAnsi="Arial"/>
                <w:sz w:val="22"/>
                <w:szCs w:val="22"/>
              </w:rPr>
              <w:t>Waste Stream</w:t>
            </w:r>
          </w:p>
          <w:p>
            <w:pPr>
              <w:pStyle w:val="indent"/>
              <w:spacing w:before="100" w:after="0"/>
              <w:contextualSpacing/>
              <w:rPr>
                <w:rFonts w:ascii="Arial" w:hAnsi="Arial"/>
                <w:sz w:val="22"/>
                <w:szCs w:val="22"/>
              </w:rPr>
            </w:pPr>
            <w:r>
              <w:rPr>
                <w:rFonts w:cs="Calibri" w:ascii="Arial" w:hAnsi="Arial"/>
                <w:sz w:val="22"/>
                <w:szCs w:val="22"/>
              </w:rPr>
              <w:t>EWC Codes</w:t>
            </w:r>
          </w:p>
          <w:p>
            <w:pPr>
              <w:pStyle w:val="indent"/>
              <w:spacing w:before="100" w:after="0"/>
              <w:contextualSpacing/>
              <w:rPr>
                <w:rFonts w:ascii="Arial" w:hAnsi="Arial"/>
                <w:sz w:val="22"/>
                <w:szCs w:val="22"/>
              </w:rPr>
            </w:pPr>
            <w:r>
              <w:rPr>
                <w:rFonts w:cs="Calibri" w:ascii="Arial" w:hAnsi="Arial"/>
                <w:sz w:val="22"/>
                <w:szCs w:val="22"/>
              </w:rPr>
              <w:t>Origin</w:t>
            </w:r>
          </w:p>
        </w:tc>
        <w:tc>
          <w:tcPr>
            <w:tcW w:w="5245" w:type="dxa"/>
            <w:tcBorders>
              <w:top w:val="single" w:sz="4" w:space="0" w:color="000000"/>
              <w:start w:val="single" w:sz="4" w:space="0" w:color="000000"/>
              <w:bottom w:val="single" w:sz="4" w:space="0" w:color="000000"/>
              <w:end w:val="single" w:sz="4" w:space="0" w:color="000000"/>
            </w:tcBorders>
          </w:tcPr>
          <w:p>
            <w:pPr>
              <w:pStyle w:val="indent"/>
              <w:spacing w:before="100" w:after="0"/>
              <w:rPr>
                <w:rFonts w:ascii="Arial" w:hAnsi="Arial"/>
                <w:sz w:val="22"/>
                <w:szCs w:val="22"/>
              </w:rPr>
            </w:pPr>
            <w:r>
              <w:rPr>
                <w:rFonts w:cs="Calibri" w:ascii="Arial" w:hAnsi="Arial"/>
                <w:sz w:val="22"/>
                <w:szCs w:val="22"/>
              </w:rPr>
              <w:t>Handling arrangements</w:t>
            </w:r>
          </w:p>
        </w:tc>
      </w:tr>
    </w:tbl>
    <w:p>
      <w:pPr>
        <w:pStyle w:val="indent"/>
        <w:spacing w:before="100" w:after="0"/>
        <w:rPr>
          <w:rFonts w:ascii="Arial" w:hAnsi="Arial" w:cs="Calibri"/>
          <w:sz w:val="22"/>
          <w:szCs w:val="22"/>
        </w:rPr>
      </w:pPr>
      <w:r>
        <w:rPr>
          <w:rFonts w:cs="Calibri" w:ascii="Arial" w:hAnsi="Arial"/>
          <w:sz w:val="22"/>
          <w:szCs w:val="22"/>
        </w:rPr>
      </w:r>
    </w:p>
    <w:p>
      <w:pPr>
        <w:pStyle w:val="indent"/>
        <w:spacing w:before="100" w:after="0"/>
        <w:rPr>
          <w:rFonts w:ascii="Arial" w:hAnsi="Arial"/>
          <w:sz w:val="22"/>
          <w:szCs w:val="22"/>
        </w:rPr>
      </w:pPr>
      <w:r>
        <w:rPr>
          <w:rFonts w:cs="Calibri" w:ascii="Arial" w:hAnsi="Arial"/>
          <w:b/>
          <w:bCs/>
          <w:sz w:val="22"/>
          <w:szCs w:val="22"/>
        </w:rPr>
        <w:t>Site Specific Wastes:</w:t>
      </w:r>
    </w:p>
    <w:p>
      <w:pPr>
        <w:pStyle w:val="indent"/>
        <w:numPr>
          <w:ilvl w:val="0"/>
          <w:numId w:val="5"/>
        </w:numPr>
        <w:spacing w:before="100" w:after="0"/>
        <w:rPr>
          <w:rFonts w:ascii="Arial" w:hAnsi="Arial"/>
          <w:sz w:val="22"/>
          <w:szCs w:val="22"/>
        </w:rPr>
      </w:pPr>
      <w:r>
        <w:rPr>
          <w:rFonts w:cs="Calibri" w:ascii="Arial" w:hAnsi="Arial"/>
          <w:sz w:val="22"/>
          <w:szCs w:val="22"/>
        </w:rPr>
        <w:t>All manure from the site will be removed and either sold to other farms or placed onto other L J Fairburn farms at correct areas.</w:t>
      </w:r>
    </w:p>
    <w:p>
      <w:pPr>
        <w:pStyle w:val="indent"/>
        <w:numPr>
          <w:ilvl w:val="0"/>
          <w:numId w:val="5"/>
        </w:numPr>
        <w:spacing w:before="100" w:after="0"/>
        <w:rPr>
          <w:rFonts w:ascii="Arial" w:hAnsi="Arial"/>
          <w:sz w:val="22"/>
          <w:szCs w:val="22"/>
        </w:rPr>
      </w:pPr>
      <w:r>
        <w:rPr>
          <w:rFonts w:cs="Calibri" w:ascii="Arial" w:hAnsi="Arial"/>
          <w:sz w:val="22"/>
          <w:szCs w:val="22"/>
        </w:rPr>
        <w:t>Surplus feed (if any) will be removed and houses will be cleaned out according to our approved `Terminal Hygiene Plan`.</w:t>
      </w:r>
    </w:p>
    <w:p>
      <w:pPr>
        <w:pStyle w:val="indent"/>
        <w:numPr>
          <w:ilvl w:val="0"/>
          <w:numId w:val="5"/>
        </w:numPr>
        <w:spacing w:before="100" w:after="0"/>
        <w:rPr>
          <w:rFonts w:ascii="Arial" w:hAnsi="Arial"/>
          <w:sz w:val="22"/>
          <w:szCs w:val="22"/>
        </w:rPr>
      </w:pPr>
      <w:r>
        <w:rPr>
          <w:rFonts w:cs="Calibri" w:ascii="Arial" w:hAnsi="Arial"/>
          <w:sz w:val="22"/>
          <w:szCs w:val="22"/>
        </w:rPr>
        <w:t>Documentation for all movements will be retained.</w:t>
      </w:r>
    </w:p>
    <w:p>
      <w:pPr>
        <w:pStyle w:val="indent"/>
        <w:spacing w:before="100" w:after="0"/>
        <w:rPr>
          <w:rFonts w:cs="Calibri"/>
          <w:b/>
          <w:bCs/>
        </w:rPr>
      </w:pPr>
      <w:r>
        <w:rPr>
          <w:rFonts w:cs="Calibri"/>
          <w:b/>
          <w:bCs/>
        </w:rPr>
      </w:r>
    </w:p>
    <w:p>
      <w:pPr>
        <w:pStyle w:val="indent"/>
        <w:spacing w:before="100" w:after="0"/>
        <w:rPr>
          <w:rFonts w:ascii="Arial" w:hAnsi="Arial"/>
          <w:sz w:val="22"/>
          <w:szCs w:val="22"/>
        </w:rPr>
      </w:pPr>
      <w:r>
        <w:rPr>
          <w:rFonts w:cs="Calibri" w:ascii="Arial" w:hAnsi="Arial"/>
          <w:b/>
          <w:bCs/>
          <w:sz w:val="22"/>
          <w:szCs w:val="22"/>
        </w:rPr>
        <w:t>Equipments</w:t>
      </w:r>
    </w:p>
    <w:p>
      <w:pPr>
        <w:pStyle w:val="indent"/>
        <w:spacing w:before="100" w:after="0"/>
        <w:rPr>
          <w:rFonts w:ascii="Arial" w:hAnsi="Arial" w:cs="Calibri"/>
          <w:b/>
          <w:bCs/>
          <w:sz w:val="22"/>
          <w:szCs w:val="22"/>
        </w:rPr>
      </w:pPr>
      <w:r>
        <w:rPr>
          <w:rFonts w:cs="Calibri" w:ascii="Arial" w:hAnsi="Arial"/>
          <w:b/>
          <w:bCs/>
          <w:sz w:val="22"/>
          <w:szCs w:val="22"/>
        </w:rPr>
      </w:r>
    </w:p>
    <w:p>
      <w:pPr>
        <w:pStyle w:val="indent"/>
        <w:spacing w:before="100" w:after="0"/>
        <w:rPr>
          <w:rFonts w:ascii="Arial" w:hAnsi="Arial"/>
          <w:sz w:val="22"/>
          <w:szCs w:val="22"/>
        </w:rPr>
      </w:pPr>
      <w:r>
        <w:rPr>
          <w:rFonts w:cs="Calibri" w:ascii="Arial" w:hAnsi="Arial"/>
          <w:sz w:val="22"/>
          <w:szCs w:val="22"/>
        </w:rPr>
        <w:t>Equipment from the site’s operation will be dismantled and removed. This will either go to scrap/waste contractors or will be sold to other companies to be used operational equipment.</w:t>
      </w:r>
    </w:p>
    <w:p>
      <w:pPr>
        <w:pStyle w:val="indent"/>
        <w:spacing w:before="100" w:after="0"/>
        <w:rPr>
          <w:rFonts w:ascii="Arial" w:hAnsi="Arial"/>
          <w:sz w:val="22"/>
          <w:szCs w:val="22"/>
        </w:rPr>
      </w:pPr>
      <w:r>
        <w:rPr>
          <w:rFonts w:cs="Calibri" w:ascii="Arial" w:hAnsi="Arial"/>
          <w:sz w:val="22"/>
          <w:szCs w:val="22"/>
        </w:rPr>
        <w:t>Records will be maintained for either option.</w:t>
      </w:r>
    </w:p>
    <w:p>
      <w:pPr>
        <w:pStyle w:val="indent"/>
        <w:spacing w:before="100" w:after="0"/>
        <w:ind w:start="720" w:end="0"/>
        <w:rPr>
          <w:rFonts w:ascii="Arial" w:hAnsi="Arial" w:cs="Calibri"/>
          <w:b/>
          <w:bCs/>
          <w:sz w:val="22"/>
          <w:szCs w:val="22"/>
        </w:rPr>
      </w:pPr>
      <w:r>
        <w:rPr>
          <w:rFonts w:cs="Calibri" w:ascii="Arial" w:hAnsi="Arial"/>
          <w:b/>
          <w:bCs/>
          <w:sz w:val="22"/>
          <w:szCs w:val="22"/>
        </w:rPr>
      </w:r>
    </w:p>
    <w:p>
      <w:pPr>
        <w:pStyle w:val="indent"/>
        <w:spacing w:before="100" w:after="0"/>
        <w:rPr>
          <w:rFonts w:ascii="Arial" w:hAnsi="Arial"/>
          <w:sz w:val="22"/>
          <w:szCs w:val="22"/>
        </w:rPr>
      </w:pPr>
      <w:r>
        <w:rPr>
          <w:rFonts w:cs="Calibri" w:ascii="Arial" w:hAnsi="Arial"/>
          <w:b/>
          <w:bCs/>
          <w:sz w:val="22"/>
          <w:szCs w:val="22"/>
        </w:rPr>
        <w:t xml:space="preserve">Spillages </w:t>
      </w:r>
    </w:p>
    <w:p>
      <w:pPr>
        <w:pStyle w:val="indent"/>
        <w:spacing w:before="100" w:after="0"/>
        <w:rPr>
          <w:rFonts w:ascii="Arial" w:hAnsi="Arial"/>
          <w:sz w:val="22"/>
          <w:szCs w:val="22"/>
        </w:rPr>
      </w:pPr>
      <w:r>
        <w:rPr>
          <w:rFonts w:cs="Calibri" w:ascii="Arial" w:hAnsi="Arial"/>
          <w:sz w:val="22"/>
          <w:szCs w:val="22"/>
        </w:rPr>
        <w:t xml:space="preserve">Details of any spillages or releases to the ground that may have added to the loadings of potential pollutants will be kept. As a minimum the records will include the type of substances involved, the date of release, an estimate of the amount of release, the location of the release, a description of any clean-up and an assessment of the potential contamination caused by the release. </w:t>
      </w:r>
    </w:p>
    <w:p>
      <w:pPr>
        <w:pStyle w:val="indent"/>
        <w:spacing w:before="100" w:after="0"/>
        <w:rPr>
          <w:rFonts w:ascii="Arial" w:hAnsi="Arial" w:cs="Calibri"/>
          <w:sz w:val="22"/>
          <w:szCs w:val="22"/>
        </w:rPr>
      </w:pPr>
      <w:r>
        <w:rPr>
          <w:rFonts w:cs="Calibri" w:ascii="Arial" w:hAnsi="Arial"/>
          <w:sz w:val="22"/>
          <w:szCs w:val="22"/>
        </w:rPr>
      </w:r>
    </w:p>
    <w:p>
      <w:pPr>
        <w:pStyle w:val="indent"/>
        <w:spacing w:before="100" w:after="0"/>
        <w:rPr>
          <w:rFonts w:ascii="Arial" w:hAnsi="Arial"/>
          <w:sz w:val="22"/>
          <w:szCs w:val="22"/>
        </w:rPr>
      </w:pPr>
      <w:r>
        <w:rPr>
          <w:rFonts w:cs="Calibri" w:ascii="Arial" w:hAnsi="Arial"/>
          <w:b/>
          <w:bCs/>
          <w:sz w:val="22"/>
          <w:szCs w:val="22"/>
        </w:rPr>
        <w:t xml:space="preserve">Remediation </w:t>
      </w:r>
    </w:p>
    <w:p>
      <w:pPr>
        <w:pStyle w:val="indent"/>
        <w:spacing w:before="100" w:after="0"/>
        <w:rPr>
          <w:rFonts w:ascii="Arial" w:hAnsi="Arial"/>
          <w:sz w:val="22"/>
          <w:szCs w:val="22"/>
        </w:rPr>
      </w:pPr>
      <w:r>
        <w:rPr>
          <w:rFonts w:cs="Calibri" w:ascii="Arial" w:hAnsi="Arial"/>
          <w:sz w:val="22"/>
          <w:szCs w:val="22"/>
        </w:rPr>
        <w:t xml:space="preserve">Details of any site clearance or clean-up that has been undertaken will be kept. As a minimum the records will include the date of the operations, the nature of the operations and the location and extent of the operations. If relevant and necessary, confirmatory analytical testing of underlying ground/groundwater will be undertaken, and records provided. </w:t>
      </w:r>
    </w:p>
    <w:p>
      <w:pPr>
        <w:pStyle w:val="indent"/>
        <w:spacing w:before="100" w:after="0"/>
        <w:rPr>
          <w:rFonts w:ascii="Arial" w:hAnsi="Arial" w:cs="Calibri"/>
          <w:b/>
          <w:bCs/>
          <w:sz w:val="22"/>
          <w:szCs w:val="22"/>
        </w:rPr>
      </w:pPr>
      <w:r>
        <w:rPr>
          <w:rFonts w:cs="Calibri" w:ascii="Arial" w:hAnsi="Arial"/>
          <w:b/>
          <w:bCs/>
          <w:sz w:val="22"/>
          <w:szCs w:val="22"/>
        </w:rPr>
      </w:r>
    </w:p>
    <w:p>
      <w:pPr>
        <w:pStyle w:val="indent"/>
        <w:spacing w:before="100" w:after="0"/>
        <w:rPr>
          <w:rFonts w:ascii="Arial" w:hAnsi="Arial"/>
          <w:sz w:val="22"/>
          <w:szCs w:val="22"/>
        </w:rPr>
      </w:pPr>
      <w:r>
        <w:rPr>
          <w:rFonts w:cs="Calibri" w:ascii="Arial" w:hAnsi="Arial"/>
          <w:b/>
          <w:bCs/>
          <w:sz w:val="22"/>
          <w:szCs w:val="22"/>
        </w:rPr>
        <w:t xml:space="preserve">Operational Changes </w:t>
      </w:r>
    </w:p>
    <w:p>
      <w:pPr>
        <w:pStyle w:val="indent"/>
        <w:spacing w:before="100" w:after="0"/>
        <w:rPr>
          <w:rFonts w:ascii="Arial" w:hAnsi="Arial"/>
          <w:sz w:val="22"/>
          <w:szCs w:val="22"/>
        </w:rPr>
      </w:pPr>
      <w:r>
        <w:rPr>
          <w:rFonts w:cs="Calibri" w:ascii="Arial" w:hAnsi="Arial"/>
          <w:sz w:val="22"/>
          <w:szCs w:val="22"/>
        </w:rPr>
        <w:t xml:space="preserve">Details of any changes to the permitted operations and the extent of the facility will be noted. </w:t>
      </w:r>
    </w:p>
    <w:p>
      <w:pPr>
        <w:pStyle w:val="indent"/>
        <w:spacing w:before="100" w:after="0"/>
        <w:rPr>
          <w:rFonts w:ascii="Arial" w:hAnsi="Arial" w:cs="Calibri"/>
          <w:sz w:val="22"/>
          <w:szCs w:val="22"/>
        </w:rPr>
      </w:pPr>
      <w:r>
        <w:rPr>
          <w:rFonts w:cs="Calibri" w:ascii="Arial" w:hAnsi="Arial"/>
          <w:sz w:val="22"/>
          <w:szCs w:val="22"/>
        </w:rPr>
      </w:r>
    </w:p>
    <w:p>
      <w:pPr>
        <w:pStyle w:val="indent"/>
        <w:spacing w:before="100" w:after="0"/>
        <w:rPr>
          <w:rFonts w:ascii="Arial" w:hAnsi="Arial"/>
          <w:sz w:val="22"/>
          <w:szCs w:val="22"/>
        </w:rPr>
      </w:pPr>
      <w:r>
        <w:rPr>
          <w:rFonts w:cs="Calibri" w:ascii="Arial" w:hAnsi="Arial"/>
          <w:b/>
          <w:bCs/>
          <w:sz w:val="22"/>
          <w:szCs w:val="22"/>
        </w:rPr>
        <w:t xml:space="preserve">Records </w:t>
      </w:r>
    </w:p>
    <w:p>
      <w:pPr>
        <w:pStyle w:val="indent"/>
        <w:spacing w:before="100" w:after="0"/>
        <w:rPr>
          <w:rFonts w:ascii="Arial" w:hAnsi="Arial"/>
          <w:sz w:val="22"/>
          <w:szCs w:val="22"/>
        </w:rPr>
      </w:pPr>
      <w:r>
        <w:rPr>
          <w:rFonts w:cs="Calibri" w:ascii="Arial" w:hAnsi="Arial"/>
          <w:sz w:val="22"/>
          <w:szCs w:val="22"/>
        </w:rPr>
        <w:t xml:space="preserve">All records relating to the Permit, Closure Plan and SCR will be held in hard copy folder by the Company for the lifetime of the Permit. </w:t>
      </w:r>
    </w:p>
    <w:p>
      <w:pPr>
        <w:pStyle w:val="indent"/>
        <w:spacing w:before="100" w:after="0"/>
        <w:rPr>
          <w:rFonts w:ascii="Arial" w:hAnsi="Arial" w:cs="Calibri"/>
          <w:sz w:val="22"/>
          <w:szCs w:val="22"/>
        </w:rPr>
      </w:pPr>
      <w:r>
        <w:rPr>
          <w:rFonts w:cs="Calibri" w:ascii="Arial" w:hAnsi="Arial"/>
          <w:sz w:val="22"/>
          <w:szCs w:val="22"/>
        </w:rPr>
      </w:r>
    </w:p>
    <w:p>
      <w:pPr>
        <w:pStyle w:val="indent"/>
        <w:spacing w:before="100" w:after="0"/>
        <w:rPr>
          <w:rFonts w:ascii="Arial" w:hAnsi="Arial"/>
          <w:sz w:val="22"/>
          <w:szCs w:val="22"/>
        </w:rPr>
      </w:pPr>
      <w:r>
        <w:rPr>
          <w:rFonts w:cs="Calibri" w:ascii="Arial" w:hAnsi="Arial"/>
          <w:b/>
          <w:bCs/>
          <w:sz w:val="22"/>
          <w:szCs w:val="22"/>
        </w:rPr>
        <w:t xml:space="preserve">Documents Submitted to the Regulator at Permit Surrender </w:t>
      </w:r>
    </w:p>
    <w:p>
      <w:pPr>
        <w:pStyle w:val="indent"/>
        <w:spacing w:before="100" w:after="0"/>
        <w:rPr>
          <w:rFonts w:ascii="Arial" w:hAnsi="Arial"/>
          <w:sz w:val="22"/>
          <w:szCs w:val="22"/>
        </w:rPr>
      </w:pPr>
      <w:r>
        <w:rPr>
          <w:rFonts w:cs="Calibri" w:ascii="Arial" w:hAnsi="Arial"/>
          <w:sz w:val="22"/>
          <w:szCs w:val="22"/>
        </w:rPr>
        <w:t xml:space="preserve">All documents associated with the Closure Plan and SCR records will be submitted to the regulator to demonstrate that no adverse effect to the environment has occurred during the permit lifetime or if adverse impacts have occurred these have been remediated. </w:t>
      </w:r>
    </w:p>
    <w:p>
      <w:pPr>
        <w:pStyle w:val="indent"/>
        <w:spacing w:before="100" w:after="0"/>
        <w:rPr>
          <w:rFonts w:ascii="Arial" w:hAnsi="Arial" w:cs="Calibri"/>
          <w:sz w:val="22"/>
          <w:szCs w:val="22"/>
        </w:rPr>
      </w:pPr>
      <w:r>
        <w:rPr>
          <w:rFonts w:cs="Calibri" w:ascii="Arial" w:hAnsi="Arial"/>
          <w:sz w:val="22"/>
          <w:szCs w:val="22"/>
        </w:rPr>
      </w:r>
    </w:p>
    <w:p>
      <w:pPr>
        <w:pStyle w:val="indent"/>
        <w:spacing w:before="100" w:after="0"/>
        <w:rPr>
          <w:rFonts w:ascii="Arial" w:hAnsi="Arial"/>
          <w:sz w:val="22"/>
          <w:szCs w:val="22"/>
        </w:rPr>
      </w:pPr>
      <w:r>
        <w:rPr>
          <w:rFonts w:cs="Calibri" w:ascii="Arial" w:hAnsi="Arial"/>
          <w:b/>
          <w:bCs/>
          <w:sz w:val="22"/>
          <w:szCs w:val="22"/>
        </w:rPr>
        <w:t xml:space="preserve">Document Review </w:t>
      </w:r>
    </w:p>
    <w:p>
      <w:pPr>
        <w:pStyle w:val="indent"/>
        <w:spacing w:before="100" w:after="0"/>
        <w:rPr>
          <w:rFonts w:ascii="Arial" w:hAnsi="Arial"/>
          <w:sz w:val="22"/>
          <w:szCs w:val="22"/>
        </w:rPr>
      </w:pPr>
      <w:r>
        <w:rPr>
          <w:rFonts w:cs="Calibri" w:ascii="Arial" w:hAnsi="Arial"/>
          <w:sz w:val="22"/>
          <w:szCs w:val="22"/>
        </w:rPr>
        <w:t xml:space="preserve">The Site Closure Plan will be reviewed and updated accordingly at the following intervals: </w:t>
      </w:r>
    </w:p>
    <w:p>
      <w:pPr>
        <w:pStyle w:val="indent"/>
        <w:numPr>
          <w:ilvl w:val="0"/>
          <w:numId w:val="6"/>
        </w:numPr>
        <w:spacing w:before="100" w:after="0"/>
        <w:rPr>
          <w:rFonts w:ascii="Arial" w:hAnsi="Arial"/>
          <w:sz w:val="22"/>
          <w:szCs w:val="22"/>
        </w:rPr>
      </w:pPr>
      <w:r>
        <w:rPr>
          <w:rFonts w:cs="Calibri" w:ascii="Arial" w:hAnsi="Arial"/>
          <w:sz w:val="22"/>
          <w:szCs w:val="22"/>
        </w:rPr>
        <w:t xml:space="preserve">Where substantial changes to site infrastructure occurs. </w:t>
      </w:r>
    </w:p>
    <w:p>
      <w:pPr>
        <w:pStyle w:val="indent"/>
        <w:numPr>
          <w:ilvl w:val="0"/>
          <w:numId w:val="6"/>
        </w:numPr>
        <w:spacing w:before="100" w:after="0"/>
        <w:rPr>
          <w:rFonts w:ascii="Arial" w:hAnsi="Arial"/>
          <w:sz w:val="22"/>
          <w:szCs w:val="22"/>
        </w:rPr>
      </w:pPr>
      <w:r>
        <w:rPr>
          <w:rFonts w:cs="Calibri" w:ascii="Arial" w:hAnsi="Arial"/>
          <w:sz w:val="22"/>
          <w:szCs w:val="22"/>
        </w:rPr>
        <w:t>Where a Permit variation occurs.</w:t>
      </w:r>
    </w:p>
    <w:p>
      <w:pPr>
        <w:pStyle w:val="indent"/>
        <w:spacing w:before="100" w:after="0"/>
        <w:rPr>
          <w:rFonts w:ascii="Arial" w:hAnsi="Arial" w:cs="Calibri"/>
          <w:sz w:val="22"/>
          <w:szCs w:val="22"/>
        </w:rPr>
      </w:pPr>
      <w:r>
        <w:rPr>
          <w:rFonts w:cs="Calibri" w:ascii="Arial" w:hAnsi="Arial"/>
          <w:sz w:val="22"/>
          <w:szCs w:val="22"/>
        </w:rPr>
      </w:r>
    </w:p>
    <w:p>
      <w:pPr>
        <w:pStyle w:val="indent"/>
        <w:spacing w:before="100" w:after="0"/>
        <w:rPr>
          <w:rFonts w:ascii="Arial" w:hAnsi="Arial" w:cs="Calibri"/>
          <w:sz w:val="22"/>
          <w:szCs w:val="22"/>
        </w:rPr>
      </w:pPr>
      <w:r>
        <w:rPr>
          <w:rFonts w:cs="Calibri" w:ascii="Arial" w:hAnsi="Arial"/>
          <w:sz w:val="22"/>
          <w:szCs w:val="22"/>
        </w:rPr>
      </w:r>
    </w:p>
    <w:p>
      <w:pPr>
        <w:pStyle w:val="indent"/>
        <w:spacing w:before="100" w:after="0"/>
        <w:rPr>
          <w:rFonts w:ascii="Arial" w:hAnsi="Arial" w:cs="Calibri"/>
          <w:sz w:val="22"/>
          <w:szCs w:val="22"/>
        </w:rPr>
      </w:pPr>
      <w:r>
        <w:rPr>
          <w:rFonts w:cs="Calibri" w:ascii="Arial" w:hAnsi="Arial"/>
          <w:sz w:val="22"/>
          <w:szCs w:val="22"/>
        </w:rPr>
      </w:r>
    </w:p>
    <w:p>
      <w:pPr>
        <w:pStyle w:val="indent"/>
        <w:spacing w:before="100" w:after="0"/>
        <w:rPr>
          <w:rFonts w:ascii="Arial" w:hAnsi="Arial" w:cs="Calibri"/>
          <w:sz w:val="22"/>
          <w:szCs w:val="22"/>
        </w:rPr>
      </w:pPr>
      <w:r>
        <w:rPr>
          <w:rFonts w:cs="Calibri"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20" w:top="3392" w:footer="170" w:bottom="851"/>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Symbol">
    <w:charset w:val="00" w:characterSet="windows-1252"/>
    <w:family w:val="roman"/>
    <w:pitch w:val="variable"/>
  </w:font>
  <w:font w:name="Courier New">
    <w:charset w:val="00" w:characterSet="windows-1252"/>
    <w:family w:val="roman"/>
    <w:pitch w:val="variable"/>
  </w:font>
  <w:font w:name="Wingdings">
    <w:charset w:val="00" w:characterSet="windows-1252"/>
    <w:family w:val="roman"/>
    <w:pitch w:val="variable"/>
  </w:font>
  <w:font w:name="Tahoma">
    <w:charset w:val="00" w:characterSet="windows-1252"/>
    <w:family w:val="roman"/>
    <w:pitch w:val="variable"/>
  </w:font>
  <w:font w:name="Liberation Sans">
    <w:altName w:val="Arial"/>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Cs/>
      </w:rPr>
    </w:pPr>
    <w:r>
      <w:rPr>
        <w:iCs/>
      </w:rPr>
      <w:t>Reviewed March 2025</w:t>
      <w:tab/>
      <w:tab/>
    </w:r>
    <w:r>
      <w:rPr>
        <w:iCs/>
      </w:rPr>
      <w:t>Whittons</w:t>
    </w:r>
    <w:r>
      <w:rPr>
        <w:iCs/>
      </w:rPr>
      <w:t xml:space="preserve"> Farm Site Closure Plan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Cs/>
      </w:rPr>
    </w:pPr>
    <w:r>
      <w:rPr>
        <w:iCs/>
      </w:rPr>
      <w:t>Reviewed March 2025</w:t>
      <w:tab/>
      <w:tab/>
    </w:r>
    <w:r>
      <w:rPr>
        <w:iCs/>
      </w:rPr>
      <w:t>Whittons</w:t>
    </w:r>
    <w:r>
      <w:rPr>
        <w:iCs/>
      </w:rPr>
      <w:t xml:space="preserve"> Farm Site Closure Plan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32"/>
        <w:szCs w:val="28"/>
        <w:u w:val="single"/>
      </w:rPr>
    </w:pPr>
    <w:r>
      <w:rPr>
        <w:b/>
        <w:bCs/>
        <w:sz w:val="32"/>
        <w:szCs w:val="28"/>
        <w:u w:val="single"/>
      </w:rPr>
      <w:t>Site Closure Plan</w:t>
    </w:r>
  </w:p>
  <w:p>
    <w:pPr>
      <w:pStyle w:val="Header"/>
      <w:jc w:val="center"/>
      <w:rPr>
        <w:b/>
        <w:bCs/>
        <w:sz w:val="32"/>
        <w:szCs w:val="28"/>
        <w:u w:val="single"/>
      </w:rPr>
    </w:pPr>
    <w:r>
      <w:rPr>
        <w:b/>
        <w:bCs/>
        <w:sz w:val="32"/>
        <w:szCs w:val="28"/>
        <w:u w:val="single"/>
      </w:rPr>
    </w:r>
  </w:p>
  <w:p>
    <w:pPr>
      <w:pStyle w:val="Header"/>
      <w:jc w:val="center"/>
      <w:rPr>
        <w:b/>
        <w:bCs/>
        <w:sz w:val="32"/>
        <w:szCs w:val="28"/>
        <w:u w:val="single"/>
        <w:lang w:val="en-GB" w:eastAsia="en-GB"/>
      </w:rPr>
    </w:pPr>
    <w:r>
      <w:rPr>
        <w:b/>
        <w:bCs/>
        <w:sz w:val="32"/>
        <w:szCs w:val="28"/>
        <w:u w:val="single"/>
        <w:lang w:val="en-GB" w:eastAsia="en-GB"/>
      </w:rPr>
      <w:drawing>
        <wp:anchor behindDoc="0" distT="0" distB="0" distL="114935" distR="114935" simplePos="0" locked="0" layoutInCell="0" allowOverlap="1" relativeHeight="5">
          <wp:simplePos x="0" y="0"/>
          <wp:positionH relativeFrom="column">
            <wp:posOffset>2520950</wp:posOffset>
          </wp:positionH>
          <wp:positionV relativeFrom="paragraph">
            <wp:posOffset>106045</wp:posOffset>
          </wp:positionV>
          <wp:extent cx="1076960" cy="1170940"/>
          <wp:effectExtent l="0" t="0" r="0" b="0"/>
          <wp:wrapTight wrapText="bothSides">
            <wp:wrapPolygon edited="0">
              <wp:start x="-990" y="0"/>
              <wp:lineTo x="-990" y="21381"/>
              <wp:lineTo x="22431" y="21381"/>
              <wp:lineTo x="22431" y="0"/>
              <wp:lineTo x="-990" y="0"/>
            </wp:wrapPolygon>
          </wp:wrapTight>
          <wp:docPr id="1" name="Picture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title=""/>
                  <pic:cNvPicPr>
                    <a:picLocks noChangeAspect="1" noChangeArrowheads="1"/>
                  </pic:cNvPicPr>
                </pic:nvPicPr>
                <pic:blipFill>
                  <a:blip r:embed="rId1"/>
                  <a:srcRect l="3387" t="-79" r="3734" b="0"/>
                  <a:stretch>
                    <a:fillRect/>
                  </a:stretch>
                </pic:blipFill>
                <pic:spPr bwMode="auto">
                  <a:xfrm>
                    <a:off x="0" y="0"/>
                    <a:ext cx="1076960" cy="1170940"/>
                  </a:xfrm>
                  <a:prstGeom prst="rect">
                    <a:avLst/>
                  </a:prstGeom>
                </pic:spPr>
              </pic:pic>
            </a:graphicData>
          </a:graphic>
        </wp:anchor>
      </w:drawing>
    </w:r>
  </w:p>
  <w:p>
    <w:pPr>
      <w:pStyle w:val="Header"/>
      <w:jc w:val="center"/>
      <w:rPr>
        <w:b/>
        <w:bCs/>
        <w:sz w:val="32"/>
        <w:szCs w:val="28"/>
        <w:u w:val="single"/>
      </w:rPr>
    </w:pPr>
    <w:r>
      <w:rPr>
        <w:b/>
        <w:bCs/>
        <w:sz w:val="32"/>
        <w:szCs w:val="28"/>
        <w:u w:val="singl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32"/>
        <w:szCs w:val="28"/>
        <w:u w:val="single"/>
      </w:rPr>
    </w:pPr>
    <w:r>
      <w:rPr>
        <w:b/>
        <w:bCs/>
        <w:sz w:val="32"/>
        <w:szCs w:val="28"/>
        <w:u w:val="single"/>
      </w:rPr>
      <w:t>Site Closure Plan</w:t>
    </w:r>
  </w:p>
  <w:p>
    <w:pPr>
      <w:pStyle w:val="Header"/>
      <w:jc w:val="center"/>
      <w:rPr>
        <w:b/>
        <w:bCs/>
        <w:sz w:val="32"/>
        <w:szCs w:val="28"/>
        <w:u w:val="single"/>
      </w:rPr>
    </w:pPr>
    <w:r>
      <w:rPr>
        <w:b/>
        <w:bCs/>
        <w:sz w:val="32"/>
        <w:szCs w:val="28"/>
        <w:u w:val="single"/>
      </w:rPr>
    </w:r>
  </w:p>
  <w:p>
    <w:pPr>
      <w:pStyle w:val="Header"/>
      <w:jc w:val="center"/>
      <w:rPr>
        <w:b/>
        <w:bCs/>
        <w:sz w:val="32"/>
        <w:szCs w:val="28"/>
        <w:u w:val="single"/>
        <w:lang w:val="en-GB" w:eastAsia="en-GB"/>
      </w:rPr>
    </w:pPr>
    <w:r>
      <w:rPr>
        <w:b/>
        <w:bCs/>
        <w:sz w:val="32"/>
        <w:szCs w:val="28"/>
        <w:u w:val="single"/>
        <w:lang w:val="en-GB" w:eastAsia="en-GB"/>
      </w:rPr>
      <w:drawing>
        <wp:anchor behindDoc="0" distT="0" distB="0" distL="114935" distR="114935" simplePos="0" locked="0" layoutInCell="0" allowOverlap="1" relativeHeight="5">
          <wp:simplePos x="0" y="0"/>
          <wp:positionH relativeFrom="column">
            <wp:posOffset>2520950</wp:posOffset>
          </wp:positionH>
          <wp:positionV relativeFrom="paragraph">
            <wp:posOffset>106045</wp:posOffset>
          </wp:positionV>
          <wp:extent cx="1076960" cy="1170940"/>
          <wp:effectExtent l="0" t="0" r="0" b="0"/>
          <wp:wrapTight wrapText="bothSides">
            <wp:wrapPolygon edited="0">
              <wp:start x="-990" y="0"/>
              <wp:lineTo x="-990" y="21381"/>
              <wp:lineTo x="22431" y="21381"/>
              <wp:lineTo x="22431" y="0"/>
              <wp:lineTo x="-990" y="0"/>
            </wp:wrapPolygon>
          </wp:wrapTight>
          <wp:docPr id="2" name="Picture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title=""/>
                  <pic:cNvPicPr>
                    <a:picLocks noChangeAspect="1" noChangeArrowheads="1"/>
                  </pic:cNvPicPr>
                </pic:nvPicPr>
                <pic:blipFill>
                  <a:blip r:embed="rId1"/>
                  <a:srcRect l="3387" t="-79" r="3734" b="0"/>
                  <a:stretch>
                    <a:fillRect/>
                  </a:stretch>
                </pic:blipFill>
                <pic:spPr bwMode="auto">
                  <a:xfrm>
                    <a:off x="0" y="0"/>
                    <a:ext cx="1076960" cy="1170940"/>
                  </a:xfrm>
                  <a:prstGeom prst="rect">
                    <a:avLst/>
                  </a:prstGeom>
                </pic:spPr>
              </pic:pic>
            </a:graphicData>
          </a:graphic>
        </wp:anchor>
      </w:drawing>
    </w:r>
  </w:p>
  <w:p>
    <w:pPr>
      <w:pStyle w:val="Header"/>
      <w:jc w:val="center"/>
      <w:rPr>
        <w:b/>
        <w:bCs/>
        <w:sz w:val="32"/>
        <w:szCs w:val="28"/>
        <w:u w:val="single"/>
      </w:rPr>
    </w:pPr>
    <w:r>
      <w:rPr>
        <w:b/>
        <w:bCs/>
        <w:sz w:val="32"/>
        <w:szCs w:val="28"/>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lowerLetter"/>
      <w:lvlText w:val="%1."/>
      <w:lvlJc w:val="start"/>
      <w:pPr>
        <w:tabs>
          <w:tab w:val="num" w:pos="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decimal"/>
      <w:lvlText w:val="%1."/>
      <w:lvlJc w:val="start"/>
      <w:pPr>
        <w:tabs>
          <w:tab w:val="num" w:pos="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lowerRoman"/>
      <w:lvlText w:val="%1."/>
      <w:lvlJc w:val="start"/>
      <w:pPr>
        <w:tabs>
          <w:tab w:val="num" w:pos="0"/>
        </w:tabs>
        <w:ind w:start="1440" w:hanging="72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bullet"/>
      <w:lvlText w:val=""/>
      <w:lvlJc w:val="start"/>
      <w:pPr>
        <w:tabs>
          <w:tab w:val="num" w:pos="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bullet"/>
      <w:lvlText w:val=""/>
      <w:lvlJc w:val="start"/>
      <w:pPr>
        <w:tabs>
          <w:tab w:val="num" w:pos="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95"/>
  <w:defaultTabStop w:val="720"/>
  <w:autoHyphenation w:val="true"/>
  <w:compat>
    <w:doNotBreakWrappedTables/>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Arial" w:hAnsi="Arial" w:eastAsia="Times New Roman" w:cs="Arial"/>
      <w:color w:val="auto"/>
      <w:kern w:val="0"/>
      <w:sz w:val="22"/>
      <w:szCs w:val="20"/>
      <w:lang w:val="en-GB" w:eastAsia="zh-CN" w:bidi="ar-SA"/>
    </w:rPr>
  </w:style>
  <w:style w:type="paragraph" w:styleId="Heading2">
    <w:name w:val="Heading 2"/>
    <w:basedOn w:val="Normal"/>
    <w:next w:val="Normal"/>
    <w:qFormat/>
    <w:pPr>
      <w:keepNext w:val="true"/>
      <w:numPr>
        <w:ilvl w:val="1"/>
        <w:numId w:val="1"/>
      </w:numPr>
      <w:ind w:hanging="0" w:start="720" w:end="0"/>
      <w:jc w:val="both"/>
      <w:outlineLvl w:val="1"/>
    </w:pPr>
    <w:rPr>
      <w:rFonts w:ascii="Times New Roman" w:hAnsi="Times New Roman" w:cs="Times New Roman"/>
      <w:sz w:val="24"/>
      <w:u w:val="single"/>
    </w:rPr>
  </w:style>
  <w:style w:type="paragraph" w:styleId="Heading3">
    <w:name w:val="Heading 3"/>
    <w:basedOn w:val="Normal"/>
    <w:next w:val="Normal"/>
    <w:qFormat/>
    <w:pPr>
      <w:keepNext w:val="true"/>
      <w:numPr>
        <w:ilvl w:val="2"/>
        <w:numId w:val="1"/>
      </w:numPr>
      <w:outlineLvl w:val="2"/>
    </w:pPr>
    <w:rPr>
      <w:rFonts w:ascii="Times New Roman" w:hAnsi="Times New Roman" w:cs="Times New Roman"/>
      <w:b/>
      <w:bCs/>
      <w:szCs w:val="24"/>
    </w:rPr>
  </w:style>
  <w:style w:type="paragraph" w:styleId="Heading4">
    <w:name w:val="Heading 4"/>
    <w:basedOn w:val="Normal"/>
    <w:next w:val="Normal"/>
    <w:qFormat/>
    <w:pPr>
      <w:keepNext w:val="true"/>
      <w:numPr>
        <w:ilvl w:val="3"/>
        <w:numId w:val="1"/>
      </w:numPr>
      <w:ind w:hanging="0" w:start="720" w:end="0"/>
      <w:jc w:val="both"/>
      <w:outlineLvl w:val="3"/>
    </w:pPr>
    <w:rPr>
      <w:rFonts w:ascii="Times New Roman" w:hAnsi="Times New Roman" w:cs="Times New Roman"/>
      <w:b/>
      <w:sz w:val="24"/>
    </w:rPr>
  </w:style>
  <w:style w:type="paragraph" w:styleId="Heading5">
    <w:name w:val="Heading 5"/>
    <w:basedOn w:val="Normal"/>
    <w:next w:val="Normal"/>
    <w:qFormat/>
    <w:pPr>
      <w:keepNext w:val="true"/>
      <w:numPr>
        <w:ilvl w:val="4"/>
        <w:numId w:val="1"/>
      </w:numPr>
      <w:jc w:val="both"/>
      <w:outlineLvl w:val="4"/>
    </w:pPr>
    <w:rPr>
      <w:rFonts w:ascii="Times New Roman" w:hAnsi="Times New Roman" w:cs="Times New Roman"/>
      <w:sz w:val="24"/>
    </w:rPr>
  </w:style>
  <w:style w:type="paragraph" w:styleId="Heading6">
    <w:name w:val="Heading 6"/>
    <w:basedOn w:val="Normal"/>
    <w:next w:val="Normal"/>
    <w:qFormat/>
    <w:pPr>
      <w:keepNext w:val="true"/>
      <w:numPr>
        <w:ilvl w:val="5"/>
        <w:numId w:val="1"/>
      </w:numPr>
      <w:outlineLvl w:val="5"/>
    </w:pPr>
    <w:rPr>
      <w:rFonts w:ascii="Times New Roman" w:hAnsi="Times New Roman" w:cs="Times New Roman"/>
      <w:sz w:val="24"/>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 w:val="24"/>
      <w:szCs w:val="24"/>
    </w:rPr>
  </w:style>
  <w:style w:type="character" w:styleId="WW8Num1z0">
    <w:name w:val="WW8Num1z0"/>
    <w:qFormat/>
    <w:rPr/>
  </w:style>
  <w:style w:type="character" w:styleId="WW8Num2z0">
    <w:name w:val="WW8Num2z0"/>
    <w:qFormat/>
    <w:rPr>
      <w:u w:val="none"/>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sz w:val="20"/>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u w:val="none"/>
    </w:rPr>
  </w:style>
  <w:style w:type="character" w:styleId="WW8Num23z0">
    <w:name w:val="WW8Num23z0"/>
    <w:qFormat/>
    <w:rPr>
      <w:b/>
    </w:rPr>
  </w:style>
  <w:style w:type="character" w:styleId="WW8Num23z1">
    <w:name w:val="WW8Num23z1"/>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9z0">
    <w:name w:val="WW8Num29z0"/>
    <w:qFormat/>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b/>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style>
  <w:style w:type="character" w:styleId="WW8Num34z0">
    <w:name w:val="WW8Num34z0"/>
    <w:qFormat/>
    <w:rPr/>
  </w:style>
  <w:style w:type="character" w:styleId="WW8Num35z0">
    <w:name w:val="WW8Num3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eading3Char">
    <w:name w:val="Heading 3 Char"/>
    <w:qFormat/>
    <w:rPr>
      <w:b/>
      <w:bCs/>
      <w:sz w:val="22"/>
      <w:szCs w:val="24"/>
    </w:rPr>
  </w:style>
  <w:style w:type="character" w:styleId="Heading7Char">
    <w:name w:val="Heading 7 Char"/>
    <w:qFormat/>
    <w:rPr>
      <w:sz w:val="24"/>
      <w:szCs w:val="24"/>
    </w:rPr>
  </w:style>
  <w:style w:type="character" w:styleId="Hyperlink">
    <w:name w:val="Hyperlink"/>
    <w:rPr>
      <w:color w:val="0000FF"/>
      <w:u w:val="single"/>
    </w:rPr>
  </w:style>
  <w:style w:type="character" w:styleId="Strong">
    <w:name w:val="Strong"/>
    <w:qFormat/>
    <w:rPr>
      <w:b/>
      <w:bCs/>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ind w:hanging="0" w:start="0" w:end="799"/>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lockText">
    <w:name w:val="Block Text"/>
    <w:basedOn w:val="Normal"/>
    <w:qFormat/>
    <w:pPr>
      <w:ind w:hanging="0" w:start="709" w:end="799"/>
    </w:pPr>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2">
    <w:name w:val="Body Text Indent 2"/>
    <w:basedOn w:val="Normal"/>
    <w:qFormat/>
    <w:pPr>
      <w:ind w:hanging="0" w:start="720" w:end="0"/>
    </w:pPr>
    <w:rPr>
      <w:rFonts w:ascii="Times New Roman" w:hAnsi="Times New Roman" w:cs="Times New Roman"/>
      <w:sz w:val="24"/>
    </w:rPr>
  </w:style>
  <w:style w:type="paragraph" w:styleId="BodyTextIndent">
    <w:name w:val="Body Text Indent"/>
    <w:basedOn w:val="Normal"/>
    <w:pPr>
      <w:ind w:hanging="0" w:start="709" w:end="0"/>
      <w:jc w:val="both"/>
    </w:pPr>
    <w:rPr/>
  </w:style>
  <w:style w:type="paragraph" w:styleId="indent">
    <w:name w:val="indent"/>
    <w:basedOn w:val="Normal"/>
    <w:qFormat/>
    <w:pPr>
      <w:spacing w:before="100" w:after="100"/>
    </w:pPr>
    <w:rPr>
      <w:rFonts w:ascii="Times New Roman" w:hAnsi="Times New Roman" w:cs="Times New Roman"/>
      <w:sz w:val="24"/>
      <w:szCs w:val="24"/>
    </w:rPr>
  </w:style>
  <w:style w:type="paragraph" w:styleId="Default">
    <w:name w:val="Default"/>
    <w:qFormat/>
    <w:pPr>
      <w:widowControl/>
      <w:suppressAutoHyphens w:val="true"/>
      <w:bidi w:val="0"/>
      <w:spacing w:before="0" w:after="0"/>
      <w:jc w:val="start"/>
    </w:pPr>
    <w:rPr>
      <w:rFonts w:ascii="Arial" w:hAnsi="Arial" w:eastAsia="Times New Roman" w:cs="Arial"/>
      <w:color w:val="000000"/>
      <w:kern w:val="0"/>
      <w:sz w:val="24"/>
      <w:szCs w:val="24"/>
      <w:lang w:val="en-GB" w:eastAsia="zh-CN" w:bidi="ar-SA"/>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customXml" Target="../customXml/item2.xml"/><Relationship Id="rId3" Type="http://schemas.openxmlformats.org/officeDocument/2006/relationships/header" Target="header2.xml"/><Relationship Id="rId7" Type="http://schemas.openxmlformats.org/officeDocument/2006/relationships/footer" Target="footer3.xml"/><Relationship Id="rId12" Type="http://schemas.openxmlformats.org/officeDocument/2006/relationships/customXml" Target="../customXml/item1.xml"/><Relationship Id="rId2" Type="http://schemas.openxmlformats.org/officeDocument/2006/relationships/header" Target="header1.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header" Target="header3.xml"/><Relationship Id="rId9" Type="http://schemas.openxmlformats.org/officeDocument/2006/relationships/fontTable" Target="fontTable.xml"/><Relationship Id="rId14" Type="http://schemas.openxmlformats.org/officeDocument/2006/relationships/customXml" Target="../customXml/item3.xml"/></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3ca64c5779eb0d59d37b8098b9574284">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cc7049f18e834f16513f46be11c94cc1"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2026-04-23T23:00:00+00:00</EAReceivedDate>
    <ga477587807b4e8dbd9d142e03c014fa xmlns="dbe221e7-66db-4bdb-a92c-aa517c005f15">
      <Terms xmlns="http://schemas.microsoft.com/office/infopath/2007/PartnerControls"/>
    </ga477587807b4e8dbd9d142e03c014fa>
    <PermitNumber xmlns="eebef177-55b5-4448-a5fb-28ea454417ee">EPR-QP3722MU</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EPR/QP3722MU</OtherReference>
    <EventLink xmlns="5ffd8e36-f429-4edc-ab50-c5be84842779" xsi:nil="true"/>
    <Customer_x002f_OperatorName xmlns="eebef177-55b5-4448-a5fb-28ea454417ee">J Fairburn and Son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2026-04-23T23:00:00+00:00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EPR/QP3722MU</EPRNumber>
    <FacilityAddressPostcode xmlns="eebef177-55b5-4448-a5fb-28ea454417ee">LN13 9NU</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L.J. Fairburn and Son Limited</ExternalAuthor>
    <SiteName xmlns="eebef177-55b5-4448-a5fb-28ea454417ee">Hasthorpe Grange Farm</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Habertoft Lane,  Lincolnshire, LN13 9NU</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0031D9-B0E7-48D5-98E7-789B4FF182D8}"/>
</file>

<file path=customXml/itemProps2.xml><?xml version="1.0" encoding="utf-8"?>
<ds:datastoreItem xmlns:ds="http://schemas.openxmlformats.org/officeDocument/2006/customXml" ds:itemID="{72E62A9E-9AFA-42E4-99B9-3515BEE6BCAF}"/>
</file>

<file path=customXml/itemProps3.xml><?xml version="1.0" encoding="utf-8"?>
<ds:datastoreItem xmlns:ds="http://schemas.openxmlformats.org/officeDocument/2006/customXml" ds:itemID="{0DF5BFD8-C278-43EE-87C1-E6B6ECD0FD27}"/>
</file>

<file path=docProps/app.xml><?xml version="1.0" encoding="utf-8"?>
<Properties xmlns="http://schemas.openxmlformats.org/officeDocument/2006/extended-properties" xmlns:vt="http://schemas.openxmlformats.org/officeDocument/2006/docPropsVTypes">
  <Template>Normal_x005F_x0000_</Template>
  <TotalTime>12</TotalTime>
  <Application>LibreOffice/24.2.6.2$Windows_X86_64 LibreOffice_project/ef66aa7e36a1bb8e65bfbc63aba53045a14d0871</Application>
  <AppVersion>15.0000</AppVersion>
  <Pages>4</Pages>
  <Words>1074</Words>
  <Characters>5707</Characters>
  <CharactersWithSpaces>6722</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2024-07-16T13:57:00Z</dcterms:created>
  <dc:creator>friestfr</dc:creator>
  <dc:description>To be amended as required</dc:description>
  <cp:keywords>Accident Investigation Health Safety procedure</cp:keywords>
  <dc:language>en-GB</dc:language>
  <cp:lastModifiedBy/>
  <cp:lastPrinted>2015-02-26T12:45:00Z</cp:lastPrinted>
  <dcterms:modified xsi:type="dcterms:W3CDTF">2025-05-22T10:09:25Z</dcterms:modified>
  <cp:revision>6</cp:revision>
  <dc:subject/>
  <dc:title>Site Best Practice Accident Investigation Procedure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