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0222" w14:textId="77777777" w:rsidR="00BC0408" w:rsidRDefault="00BC0408" w:rsidP="00BC0408">
      <w:pPr>
        <w:pStyle w:val="Title"/>
      </w:pPr>
    </w:p>
    <w:p w14:paraId="62AFDF94" w14:textId="77777777" w:rsidR="00BC0408" w:rsidRDefault="00BC0408" w:rsidP="00BC0408">
      <w:pPr>
        <w:pStyle w:val="Title"/>
      </w:pPr>
    </w:p>
    <w:p w14:paraId="6194ABF7" w14:textId="7968B11A" w:rsidR="00BC0408" w:rsidRDefault="00BC0408" w:rsidP="00BC0408">
      <w:pPr>
        <w:pStyle w:val="Title"/>
      </w:pPr>
    </w:p>
    <w:p w14:paraId="405F1DAB" w14:textId="77777777" w:rsidR="00D551BE" w:rsidRPr="00D551BE" w:rsidRDefault="00D551BE" w:rsidP="00D551BE"/>
    <w:p w14:paraId="10836A02" w14:textId="1C8687E7" w:rsidR="00BC0408" w:rsidRDefault="00BC0408" w:rsidP="00D551BE">
      <w:pPr>
        <w:pStyle w:val="Title"/>
        <w:jc w:val="center"/>
      </w:pPr>
      <w:r w:rsidRPr="00241222">
        <w:t>Bradgate Bakery Effluent Treatment Permit Variation</w:t>
      </w:r>
    </w:p>
    <w:p w14:paraId="54098C69" w14:textId="587AC872" w:rsidR="00FD5763" w:rsidRPr="00D551BE" w:rsidRDefault="00241222" w:rsidP="00D551BE">
      <w:pPr>
        <w:pStyle w:val="Title"/>
        <w:jc w:val="center"/>
        <w:rPr>
          <w:color w:val="00B0F0"/>
        </w:rPr>
      </w:pPr>
      <w:r w:rsidRPr="00D551BE">
        <w:rPr>
          <w:color w:val="00B0F0"/>
        </w:rPr>
        <w:t>Environmental Risk Assessment</w:t>
      </w:r>
    </w:p>
    <w:p w14:paraId="20E3D31C" w14:textId="77777777" w:rsidR="00BC0408" w:rsidRDefault="00BC0408">
      <w:pPr>
        <w:rPr>
          <w:rFonts w:asciiTheme="majorHAnsi" w:eastAsiaTheme="majorEastAsia" w:hAnsiTheme="majorHAnsi" w:cstheme="majorBidi"/>
          <w:sz w:val="32"/>
          <w:szCs w:val="32"/>
        </w:rPr>
      </w:pPr>
      <w:r>
        <w:br w:type="page"/>
      </w:r>
    </w:p>
    <w:p w14:paraId="7B6B1F32" w14:textId="5615E44A" w:rsidR="00241222" w:rsidRPr="00C230D0" w:rsidRDefault="00E11AC4" w:rsidP="00BC0408">
      <w:pPr>
        <w:pStyle w:val="Heading1"/>
      </w:pPr>
      <w:r w:rsidRPr="00C230D0">
        <w:lastRenderedPageBreak/>
        <w:t>Introduction</w:t>
      </w:r>
    </w:p>
    <w:p w14:paraId="2FBA5C5E" w14:textId="1979AED4" w:rsidR="00C631A5" w:rsidRDefault="00C230D0" w:rsidP="00995134">
      <w:r w:rsidRPr="00C230D0">
        <w:t>Bradgate Bakery is a subsidiary of Samworth Brothers Ltd and encompasses two facilities (Ashton Green &amp; Madeline Road) based in Beaumont Leys, Leicester. Bradgate Bakery produces high quality sandwiches, wraps, pasta pots &amp; salads for the major UK retailers</w:t>
      </w:r>
      <w:r>
        <w:t>. We are currently varying our permit to add a</w:t>
      </w:r>
      <w:r w:rsidR="0099612E">
        <w:t xml:space="preserve"> S5.4A(1)(a)(ii) </w:t>
      </w:r>
      <w:r>
        <w:t xml:space="preserve">effluent treatment activity, which comprises </w:t>
      </w:r>
      <w:r w:rsidR="0099612E">
        <w:t>pH correction only.</w:t>
      </w:r>
    </w:p>
    <w:p w14:paraId="6C34AE7D" w14:textId="408BB1CB" w:rsidR="0099612E" w:rsidRDefault="0099612E" w:rsidP="00995134">
      <w:r>
        <w:t>As part of the variation application this risk assessment assesses the additional risks to site posed by the pH correction plant.</w:t>
      </w:r>
      <w:r w:rsidR="003F1C35">
        <w:t xml:space="preserve"> Other risks from the site have been assessed in the original permit application and will not change as part of this permit application.</w:t>
      </w:r>
    </w:p>
    <w:p w14:paraId="4A3089E5" w14:textId="7E04AE30" w:rsidR="00073A0D" w:rsidRDefault="00073A0D" w:rsidP="00995134">
      <w:r>
        <w:t>In creating this risk assessment, we have followed the guidance for risk assessments for environmental permits on the government website (</w:t>
      </w:r>
      <w:hyperlink r:id="rId11" w:history="1">
        <w:r>
          <w:rPr>
            <w:rStyle w:val="Hyperlink"/>
          </w:rPr>
          <w:t>Risk assessments for your environmental permit - GOV.UK (www.gov.uk)</w:t>
        </w:r>
      </w:hyperlink>
      <w:r>
        <w:t>).</w:t>
      </w:r>
    </w:p>
    <w:p w14:paraId="7496FF06" w14:textId="6BA3B347" w:rsidR="00E11AC4" w:rsidRPr="00BC0408" w:rsidRDefault="00E11AC4" w:rsidP="00BC0408">
      <w:pPr>
        <w:pStyle w:val="Heading1"/>
      </w:pPr>
      <w:r w:rsidRPr="00BC0408">
        <w:t xml:space="preserve">Risks from the </w:t>
      </w:r>
      <w:r w:rsidR="003F1C35" w:rsidRPr="00BC0408">
        <w:t>pH Correction Plant</w:t>
      </w:r>
      <w:r w:rsidR="0056185F">
        <w:t xml:space="preserve"> &amp; Containment Measures</w:t>
      </w:r>
    </w:p>
    <w:p w14:paraId="5B66F9C4" w14:textId="77777777" w:rsidR="00172635" w:rsidRDefault="00073A0D" w:rsidP="00995134">
      <w:r>
        <w:t xml:space="preserve">The pH correction plant is located to the </w:t>
      </w:r>
      <w:r w:rsidR="00DD4238">
        <w:t xml:space="preserve">north of the site. The effluent is first screened for solids </w:t>
      </w:r>
      <w:r w:rsidR="008B1DAB">
        <w:t xml:space="preserve">in the bakery with the use of catch pots with &lt;6mm perforations. The effluent is then </w:t>
      </w:r>
      <w:r w:rsidR="00DD4238">
        <w:t xml:space="preserve">pumped from a pit just outside of reception, which is towards the </w:t>
      </w:r>
      <w:r w:rsidR="009D0EAE">
        <w:t>northeast</w:t>
      </w:r>
      <w:r w:rsidR="00DD4238">
        <w:t xml:space="preserve"> of the site, to a reception tank</w:t>
      </w:r>
      <w:r w:rsidR="008B1DAB">
        <w:t xml:space="preserve"> in the pH plant itself.</w:t>
      </w:r>
      <w:r w:rsidR="009D0EAE">
        <w:t xml:space="preserve"> In this tank, the effluent is mixed with either caustic or with sulphuric acid, depending on the characteristics of the effluent.</w:t>
      </w:r>
      <w:r w:rsidR="00BC0408">
        <w:t xml:space="preserve"> From this tank, the effluent is fed by gravity into a separate tank, from which it is pumped to the final point of discharge at the north-east of the site. </w:t>
      </w:r>
    </w:p>
    <w:p w14:paraId="28BE7215" w14:textId="676A0B5D" w:rsidR="00073A0D" w:rsidRDefault="00D551BE" w:rsidP="00995134">
      <w:r>
        <w:t xml:space="preserve">The mixing tank has a capacity of 5,000 litres, while the second tank has a capacity of 2,500 litres. These tanks are kept within a bunded </w:t>
      </w:r>
      <w:r w:rsidR="0056648F">
        <w:t xml:space="preserve">shipping container, while the sulphuric acid and caustic are kept within tanks within a concrete bund. The tanks for each chemical have a capacity for 5,000 litres, while the concrete bund has a capacity of 12,000 litres. </w:t>
      </w:r>
      <w:r w:rsidR="00172635">
        <w:t xml:space="preserve">The entire plant is located on hardstanding and is access controlled to trained staff only, including Engineers, Hygiene staff (for delivery only) and the SHE Team. </w:t>
      </w:r>
      <w:r w:rsidR="0056648F">
        <w:t xml:space="preserve">In addition, there are three interceptors on site in addition to a </w:t>
      </w:r>
      <w:r w:rsidR="00172635">
        <w:t>pH-controlled</w:t>
      </w:r>
      <w:r w:rsidR="0056648F">
        <w:t xml:space="preserve"> </w:t>
      </w:r>
      <w:r w:rsidR="00172635">
        <w:t>penstock valve on the final point of discharge, which has a reaction time of 1 second on the pH probe.</w:t>
      </w:r>
    </w:p>
    <w:p w14:paraId="39D0B7F9" w14:textId="77777777" w:rsidR="00A40889" w:rsidRDefault="00172635" w:rsidP="00995134">
      <w:r>
        <w:t xml:space="preserve">In line with the Environment Agency’s guidance on risk assessments, a table has been created assessing any </w:t>
      </w:r>
      <w:r w:rsidR="00B95F71">
        <w:t>the potential probability and consequence of any environmental exposures</w:t>
      </w:r>
      <w:r w:rsidR="000D663B">
        <w:t xml:space="preserve"> of each hazard.</w:t>
      </w:r>
    </w:p>
    <w:p w14:paraId="0140F5CD" w14:textId="0A798D51" w:rsidR="00A40889" w:rsidRDefault="0056185F" w:rsidP="00995134">
      <w:pPr>
        <w:sectPr w:rsidR="00A40889" w:rsidSect="00290F79">
          <w:headerReference w:type="default" r:id="rId12"/>
          <w:footerReference w:type="default" r:id="rId13"/>
          <w:headerReference w:type="first" r:id="rId14"/>
          <w:footerReference w:type="first" r:id="rId15"/>
          <w:pgSz w:w="11906" w:h="16838"/>
          <w:pgMar w:top="2098" w:right="1440" w:bottom="1440" w:left="1440" w:header="709" w:footer="709" w:gutter="0"/>
          <w:pgNumType w:start="0"/>
          <w:cols w:space="708"/>
          <w:titlePg/>
          <w:docGrid w:linePitch="360"/>
        </w:sectPr>
      </w:pPr>
      <w:r>
        <w:t xml:space="preserve"> </w:t>
      </w:r>
    </w:p>
    <w:tbl>
      <w:tblPr>
        <w:tblStyle w:val="PlainTable1"/>
        <w:tblW w:w="15026" w:type="dxa"/>
        <w:tblInd w:w="-714" w:type="dxa"/>
        <w:tblLook w:val="04A0" w:firstRow="1" w:lastRow="0" w:firstColumn="1" w:lastColumn="0" w:noHBand="0" w:noVBand="1"/>
      </w:tblPr>
      <w:tblGrid>
        <w:gridCol w:w="1843"/>
        <w:gridCol w:w="2268"/>
        <w:gridCol w:w="1586"/>
        <w:gridCol w:w="1249"/>
        <w:gridCol w:w="2410"/>
        <w:gridCol w:w="1843"/>
        <w:gridCol w:w="1701"/>
        <w:gridCol w:w="2126"/>
      </w:tblGrid>
      <w:tr w:rsidR="00140E3D" w14:paraId="5CDDA40C" w14:textId="77777777" w:rsidTr="00EB5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4A43380" w14:textId="487FBA2B" w:rsidR="00140E3D" w:rsidRDefault="00140E3D" w:rsidP="00140E3D">
            <w:r>
              <w:lastRenderedPageBreak/>
              <w:t>Hazard</w:t>
            </w:r>
          </w:p>
        </w:tc>
        <w:tc>
          <w:tcPr>
            <w:tcW w:w="2268" w:type="dxa"/>
          </w:tcPr>
          <w:p w14:paraId="1A587C89" w14:textId="63D856D9" w:rsidR="00140E3D" w:rsidRDefault="00140E3D" w:rsidP="00140E3D">
            <w:pPr>
              <w:cnfStyle w:val="100000000000" w:firstRow="1" w:lastRow="0" w:firstColumn="0" w:lastColumn="0" w:oddVBand="0" w:evenVBand="0" w:oddHBand="0" w:evenHBand="0" w:firstRowFirstColumn="0" w:firstRowLastColumn="0" w:lastRowFirstColumn="0" w:lastRowLastColumn="0"/>
            </w:pPr>
            <w:r>
              <w:t>Process</w:t>
            </w:r>
          </w:p>
        </w:tc>
        <w:tc>
          <w:tcPr>
            <w:tcW w:w="1586" w:type="dxa"/>
          </w:tcPr>
          <w:p w14:paraId="4FAE4EBD" w14:textId="1279323E" w:rsidR="00140E3D" w:rsidRDefault="00140E3D" w:rsidP="00140E3D">
            <w:pPr>
              <w:cnfStyle w:val="100000000000" w:firstRow="1" w:lastRow="0" w:firstColumn="0" w:lastColumn="0" w:oddVBand="0" w:evenVBand="0" w:oddHBand="0" w:evenHBand="0" w:firstRowFirstColumn="0" w:firstRowLastColumn="0" w:lastRowFirstColumn="0" w:lastRowLastColumn="0"/>
            </w:pPr>
            <w:r>
              <w:t>Receptor</w:t>
            </w:r>
          </w:p>
        </w:tc>
        <w:tc>
          <w:tcPr>
            <w:tcW w:w="1249" w:type="dxa"/>
          </w:tcPr>
          <w:p w14:paraId="6D0F80A0" w14:textId="4E8921A1" w:rsidR="00140E3D" w:rsidRDefault="00140E3D" w:rsidP="00140E3D">
            <w:pPr>
              <w:cnfStyle w:val="100000000000" w:firstRow="1" w:lastRow="0" w:firstColumn="0" w:lastColumn="0" w:oddVBand="0" w:evenVBand="0" w:oddHBand="0" w:evenHBand="0" w:firstRowFirstColumn="0" w:firstRowLastColumn="0" w:lastRowFirstColumn="0" w:lastRowLastColumn="0"/>
            </w:pPr>
            <w:r>
              <w:t>Pathway</w:t>
            </w:r>
          </w:p>
        </w:tc>
        <w:tc>
          <w:tcPr>
            <w:tcW w:w="2410" w:type="dxa"/>
          </w:tcPr>
          <w:p w14:paraId="06C65D69" w14:textId="39A7862D" w:rsidR="00140E3D" w:rsidRDefault="00140E3D" w:rsidP="00140E3D">
            <w:pPr>
              <w:cnfStyle w:val="100000000000" w:firstRow="1" w:lastRow="0" w:firstColumn="0" w:lastColumn="0" w:oddVBand="0" w:evenVBand="0" w:oddHBand="0" w:evenHBand="0" w:firstRowFirstColumn="0" w:firstRowLastColumn="0" w:lastRowFirstColumn="0" w:lastRowLastColumn="0"/>
            </w:pPr>
            <w:r>
              <w:t>Risk management techniques</w:t>
            </w:r>
          </w:p>
        </w:tc>
        <w:tc>
          <w:tcPr>
            <w:tcW w:w="1843" w:type="dxa"/>
          </w:tcPr>
          <w:p w14:paraId="02FA2C30" w14:textId="176E0F60" w:rsidR="00140E3D" w:rsidRDefault="00140E3D" w:rsidP="00140E3D">
            <w:pPr>
              <w:cnfStyle w:val="100000000000" w:firstRow="1" w:lastRow="0" w:firstColumn="0" w:lastColumn="0" w:oddVBand="0" w:evenVBand="0" w:oddHBand="0" w:evenHBand="0" w:firstRowFirstColumn="0" w:firstRowLastColumn="0" w:lastRowFirstColumn="0" w:lastRowLastColumn="0"/>
            </w:pPr>
            <w:r>
              <w:t>Probability of exposure</w:t>
            </w:r>
          </w:p>
        </w:tc>
        <w:tc>
          <w:tcPr>
            <w:tcW w:w="1701" w:type="dxa"/>
          </w:tcPr>
          <w:p w14:paraId="527DD2E7" w14:textId="516FE8DA" w:rsidR="00140E3D" w:rsidRDefault="00140E3D" w:rsidP="00140E3D">
            <w:pPr>
              <w:cnfStyle w:val="100000000000" w:firstRow="1" w:lastRow="0" w:firstColumn="0" w:lastColumn="0" w:oddVBand="0" w:evenVBand="0" w:oddHBand="0" w:evenHBand="0" w:firstRowFirstColumn="0" w:firstRowLastColumn="0" w:lastRowFirstColumn="0" w:lastRowLastColumn="0"/>
            </w:pPr>
            <w:r>
              <w:t>Consequences</w:t>
            </w:r>
          </w:p>
        </w:tc>
        <w:tc>
          <w:tcPr>
            <w:tcW w:w="2126" w:type="dxa"/>
          </w:tcPr>
          <w:p w14:paraId="4010BADE" w14:textId="00EB84DD" w:rsidR="00140E3D" w:rsidRDefault="00140E3D" w:rsidP="00140E3D">
            <w:pPr>
              <w:cnfStyle w:val="100000000000" w:firstRow="1" w:lastRow="0" w:firstColumn="0" w:lastColumn="0" w:oddVBand="0" w:evenVBand="0" w:oddHBand="0" w:evenHBand="0" w:firstRowFirstColumn="0" w:firstRowLastColumn="0" w:lastRowFirstColumn="0" w:lastRowLastColumn="0"/>
            </w:pPr>
            <w:r>
              <w:t>Overall risk</w:t>
            </w:r>
          </w:p>
        </w:tc>
      </w:tr>
      <w:tr w:rsidR="00140E3D" w14:paraId="2EC022DE" w14:textId="77777777" w:rsidTr="00EB5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DEB528D" w14:textId="74A8403A" w:rsidR="00140E3D" w:rsidRDefault="00BA6C6E" w:rsidP="00995134">
            <w:r>
              <w:t>Effluent</w:t>
            </w:r>
          </w:p>
        </w:tc>
        <w:tc>
          <w:tcPr>
            <w:tcW w:w="2268" w:type="dxa"/>
          </w:tcPr>
          <w:p w14:paraId="07CABE2C" w14:textId="59BC84C1" w:rsidR="00140E3D" w:rsidRDefault="00E07AEA" w:rsidP="00995134">
            <w:pPr>
              <w:cnfStyle w:val="000000100000" w:firstRow="0" w:lastRow="0" w:firstColumn="0" w:lastColumn="0" w:oddVBand="0" w:evenVBand="0" w:oddHBand="1" w:evenHBand="0" w:firstRowFirstColumn="0" w:firstRowLastColumn="0" w:lastRowFirstColumn="0" w:lastRowLastColumn="0"/>
            </w:pPr>
            <w:r>
              <w:t>Continuous p</w:t>
            </w:r>
            <w:r w:rsidR="003D0526">
              <w:t>umping of effluent to the mixing tank</w:t>
            </w:r>
            <w:r>
              <w:t>, leading to discharge via a storm drain</w:t>
            </w:r>
            <w:r w:rsidR="00384EEF">
              <w:t>.</w:t>
            </w:r>
          </w:p>
        </w:tc>
        <w:tc>
          <w:tcPr>
            <w:tcW w:w="1586" w:type="dxa"/>
          </w:tcPr>
          <w:p w14:paraId="07EE5463" w14:textId="6E083AE8" w:rsidR="00140E3D" w:rsidRDefault="00384EEF" w:rsidP="00995134">
            <w:pPr>
              <w:cnfStyle w:val="000000100000" w:firstRow="0" w:lastRow="0" w:firstColumn="0" w:lastColumn="0" w:oddVBand="0" w:evenVBand="0" w:oddHBand="1" w:evenHBand="0" w:firstRowFirstColumn="0" w:firstRowLastColumn="0" w:lastRowFirstColumn="0" w:lastRowLastColumn="0"/>
            </w:pPr>
            <w:r>
              <w:t>The receiving watercourse from the storm drain network.</w:t>
            </w:r>
          </w:p>
        </w:tc>
        <w:tc>
          <w:tcPr>
            <w:tcW w:w="1249" w:type="dxa"/>
          </w:tcPr>
          <w:p w14:paraId="5D28087E" w14:textId="651C8AF4" w:rsidR="00140E3D" w:rsidRDefault="00384EEF" w:rsidP="00995134">
            <w:pPr>
              <w:cnfStyle w:val="000000100000" w:firstRow="0" w:lastRow="0" w:firstColumn="0" w:lastColumn="0" w:oddVBand="0" w:evenVBand="0" w:oddHBand="1" w:evenHBand="0" w:firstRowFirstColumn="0" w:firstRowLastColumn="0" w:lastRowFirstColumn="0" w:lastRowLastColumn="0"/>
            </w:pPr>
            <w:r>
              <w:t>The storm drain network.</w:t>
            </w:r>
          </w:p>
        </w:tc>
        <w:tc>
          <w:tcPr>
            <w:tcW w:w="2410" w:type="dxa"/>
          </w:tcPr>
          <w:p w14:paraId="5EDE2FD8" w14:textId="77777777" w:rsidR="00140E3D" w:rsidRDefault="00C63D74" w:rsidP="00C63D74">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High level alarms and float switches within the tanks.</w:t>
            </w:r>
          </w:p>
          <w:p w14:paraId="7117D88D" w14:textId="77777777" w:rsidR="00C63D74" w:rsidRDefault="00C63D74" w:rsidP="00C63D74">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 xml:space="preserve">Float switches within the ISO container to trip the </w:t>
            </w:r>
            <w:r w:rsidR="00395750">
              <w:t>pumps.</w:t>
            </w:r>
          </w:p>
          <w:p w14:paraId="51BC80C2" w14:textId="77777777" w:rsidR="00395750" w:rsidRDefault="00395750" w:rsidP="00C63D74">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Interceptors.</w:t>
            </w:r>
          </w:p>
          <w:p w14:paraId="5BE7C5DE" w14:textId="77777777" w:rsidR="00395750" w:rsidRDefault="00395750" w:rsidP="00C63D74">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Penstock valve on final point of discharge.</w:t>
            </w:r>
          </w:p>
          <w:p w14:paraId="63DAC242" w14:textId="4A51BD47" w:rsidR="00395750" w:rsidRDefault="00395750" w:rsidP="00C63D74">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Trained staff maintaining the plant and checking it daily.</w:t>
            </w:r>
          </w:p>
        </w:tc>
        <w:tc>
          <w:tcPr>
            <w:tcW w:w="1843" w:type="dxa"/>
          </w:tcPr>
          <w:p w14:paraId="5A5B3AD0" w14:textId="70FB24C8" w:rsidR="00140E3D" w:rsidRDefault="00EB5EDE" w:rsidP="00995134">
            <w:pPr>
              <w:cnfStyle w:val="000000100000" w:firstRow="0" w:lastRow="0" w:firstColumn="0" w:lastColumn="0" w:oddVBand="0" w:evenVBand="0" w:oddHBand="1" w:evenHBand="0" w:firstRowFirstColumn="0" w:firstRowLastColumn="0" w:lastRowFirstColumn="0" w:lastRowLastColumn="0"/>
            </w:pPr>
            <w:r>
              <w:t xml:space="preserve">The effluent could enter the storm drain network leading to </w:t>
            </w:r>
            <w:r w:rsidR="0064184B">
              <w:t>effluent with varying pH escaping into a receiving watercourse.</w:t>
            </w:r>
          </w:p>
        </w:tc>
        <w:tc>
          <w:tcPr>
            <w:tcW w:w="1701" w:type="dxa"/>
          </w:tcPr>
          <w:p w14:paraId="78EC196C" w14:textId="1DE50E87" w:rsidR="00140E3D" w:rsidRDefault="0064184B" w:rsidP="00995134">
            <w:pPr>
              <w:cnfStyle w:val="000000100000" w:firstRow="0" w:lastRow="0" w:firstColumn="0" w:lastColumn="0" w:oddVBand="0" w:evenVBand="0" w:oddHBand="1" w:evenHBand="0" w:firstRowFirstColumn="0" w:firstRowLastColumn="0" w:lastRowFirstColumn="0" w:lastRowLastColumn="0"/>
            </w:pPr>
            <w:r>
              <w:t>Potential for a pollution incident at the receiving watercourse</w:t>
            </w:r>
            <w:r w:rsidR="00F27F83">
              <w:t xml:space="preserve">. </w:t>
            </w:r>
          </w:p>
        </w:tc>
        <w:tc>
          <w:tcPr>
            <w:tcW w:w="2126" w:type="dxa"/>
          </w:tcPr>
          <w:p w14:paraId="1498389A" w14:textId="4BC1CBED" w:rsidR="00140E3D" w:rsidRDefault="00F27F83" w:rsidP="00995134">
            <w:pPr>
              <w:cnfStyle w:val="000000100000" w:firstRow="0" w:lastRow="0" w:firstColumn="0" w:lastColumn="0" w:oddVBand="0" w:evenVBand="0" w:oddHBand="1" w:evenHBand="0" w:firstRowFirstColumn="0" w:firstRowLastColumn="0" w:lastRowFirstColumn="0" w:lastRowLastColumn="0"/>
            </w:pPr>
            <w:r>
              <w:t>Low if we use the management techniques.</w:t>
            </w:r>
          </w:p>
        </w:tc>
      </w:tr>
      <w:tr w:rsidR="00DD5124" w14:paraId="110715B7" w14:textId="77777777" w:rsidTr="00EB5EDE">
        <w:tc>
          <w:tcPr>
            <w:cnfStyle w:val="001000000000" w:firstRow="0" w:lastRow="0" w:firstColumn="1" w:lastColumn="0" w:oddVBand="0" w:evenVBand="0" w:oddHBand="0" w:evenHBand="0" w:firstRowFirstColumn="0" w:firstRowLastColumn="0" w:lastRowFirstColumn="0" w:lastRowLastColumn="0"/>
            <w:tcW w:w="1843" w:type="dxa"/>
          </w:tcPr>
          <w:p w14:paraId="75782F27" w14:textId="29E9CF61" w:rsidR="00DD5124" w:rsidRDefault="00DD5124" w:rsidP="00DD5124">
            <w:r>
              <w:t>Effluent</w:t>
            </w:r>
          </w:p>
        </w:tc>
        <w:tc>
          <w:tcPr>
            <w:tcW w:w="2268" w:type="dxa"/>
          </w:tcPr>
          <w:p w14:paraId="1EB5F231" w14:textId="6FDBE5CF" w:rsidR="00DD5124" w:rsidRDefault="00DD5124" w:rsidP="00DD5124">
            <w:pPr>
              <w:cnfStyle w:val="000000000000" w:firstRow="0" w:lastRow="0" w:firstColumn="0" w:lastColumn="0" w:oddVBand="0" w:evenVBand="0" w:oddHBand="0" w:evenHBand="0" w:firstRowFirstColumn="0" w:firstRowLastColumn="0" w:lastRowFirstColumn="0" w:lastRowLastColumn="0"/>
            </w:pPr>
            <w:r>
              <w:t xml:space="preserve">A breach of the </w:t>
            </w:r>
            <w:r w:rsidR="00F8621E">
              <w:t xml:space="preserve">effluent </w:t>
            </w:r>
            <w:r>
              <w:t>tanks (primary containment), leading to discharge via a storm drain.</w:t>
            </w:r>
          </w:p>
        </w:tc>
        <w:tc>
          <w:tcPr>
            <w:tcW w:w="1586" w:type="dxa"/>
          </w:tcPr>
          <w:p w14:paraId="45190191" w14:textId="50BD89B0" w:rsidR="00DD5124" w:rsidRDefault="00DD5124" w:rsidP="00DD5124">
            <w:pPr>
              <w:cnfStyle w:val="000000000000" w:firstRow="0" w:lastRow="0" w:firstColumn="0" w:lastColumn="0" w:oddVBand="0" w:evenVBand="0" w:oddHBand="0" w:evenHBand="0" w:firstRowFirstColumn="0" w:firstRowLastColumn="0" w:lastRowFirstColumn="0" w:lastRowLastColumn="0"/>
            </w:pPr>
            <w:r>
              <w:t>The receiving watercourse from the storm drain network.</w:t>
            </w:r>
          </w:p>
        </w:tc>
        <w:tc>
          <w:tcPr>
            <w:tcW w:w="1249" w:type="dxa"/>
          </w:tcPr>
          <w:p w14:paraId="6B5DE141" w14:textId="1258090B" w:rsidR="00DD5124" w:rsidRDefault="00DD5124" w:rsidP="00DD5124">
            <w:pPr>
              <w:cnfStyle w:val="000000000000" w:firstRow="0" w:lastRow="0" w:firstColumn="0" w:lastColumn="0" w:oddVBand="0" w:evenVBand="0" w:oddHBand="0" w:evenHBand="0" w:firstRowFirstColumn="0" w:firstRowLastColumn="0" w:lastRowFirstColumn="0" w:lastRowLastColumn="0"/>
            </w:pPr>
            <w:r>
              <w:t>The storm drain network.</w:t>
            </w:r>
          </w:p>
        </w:tc>
        <w:tc>
          <w:tcPr>
            <w:tcW w:w="2410" w:type="dxa"/>
          </w:tcPr>
          <w:p w14:paraId="6D03C0D4" w14:textId="4FF35326" w:rsidR="00DD5124" w:rsidRDefault="00DD5124" w:rsidP="00DD5124">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Low level alarms and float switches within the tanks.</w:t>
            </w:r>
          </w:p>
          <w:p w14:paraId="44097B7A" w14:textId="77777777" w:rsidR="00DD5124" w:rsidRDefault="00DD5124" w:rsidP="00DD5124">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Float switches within the ISO container to trip the pumps.</w:t>
            </w:r>
          </w:p>
          <w:p w14:paraId="3AD2D7E7" w14:textId="77777777" w:rsidR="00DD5124" w:rsidRDefault="00DD5124" w:rsidP="00DD5124">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Interceptors.</w:t>
            </w:r>
          </w:p>
          <w:p w14:paraId="45B197ED" w14:textId="77777777" w:rsidR="00DD5124" w:rsidRDefault="00DD5124" w:rsidP="00DD5124">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Penstock valve on final point of discharge.</w:t>
            </w:r>
          </w:p>
          <w:p w14:paraId="0B9762B1" w14:textId="491E453A" w:rsidR="00DD5124" w:rsidRDefault="00DD5124" w:rsidP="00DD5124">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Trained staff maintaining the plant and checking it daily.</w:t>
            </w:r>
          </w:p>
        </w:tc>
        <w:tc>
          <w:tcPr>
            <w:tcW w:w="1843" w:type="dxa"/>
          </w:tcPr>
          <w:p w14:paraId="49B1DF51" w14:textId="71D80889" w:rsidR="00DD5124" w:rsidRDefault="00DD5124" w:rsidP="00DD5124">
            <w:pPr>
              <w:cnfStyle w:val="000000000000" w:firstRow="0" w:lastRow="0" w:firstColumn="0" w:lastColumn="0" w:oddVBand="0" w:evenVBand="0" w:oddHBand="0" w:evenHBand="0" w:firstRowFirstColumn="0" w:firstRowLastColumn="0" w:lastRowFirstColumn="0" w:lastRowLastColumn="0"/>
            </w:pPr>
            <w:r>
              <w:t>The effluent could enter the storm drain network leading to effluent with varying pH escaping into a receiving watercourse.</w:t>
            </w:r>
          </w:p>
        </w:tc>
        <w:tc>
          <w:tcPr>
            <w:tcW w:w="1701" w:type="dxa"/>
          </w:tcPr>
          <w:p w14:paraId="47D0F70C" w14:textId="07CC6C61" w:rsidR="00DD5124" w:rsidRDefault="00DD5124" w:rsidP="00DD5124">
            <w:pPr>
              <w:cnfStyle w:val="000000000000" w:firstRow="0" w:lastRow="0" w:firstColumn="0" w:lastColumn="0" w:oddVBand="0" w:evenVBand="0" w:oddHBand="0" w:evenHBand="0" w:firstRowFirstColumn="0" w:firstRowLastColumn="0" w:lastRowFirstColumn="0" w:lastRowLastColumn="0"/>
            </w:pPr>
            <w:r>
              <w:t xml:space="preserve">Potential for a pollution incident at the receiving watercourse. </w:t>
            </w:r>
          </w:p>
        </w:tc>
        <w:tc>
          <w:tcPr>
            <w:tcW w:w="2126" w:type="dxa"/>
          </w:tcPr>
          <w:p w14:paraId="36A27248" w14:textId="48667B69" w:rsidR="00DD5124" w:rsidRDefault="00DD5124" w:rsidP="00DD5124">
            <w:pPr>
              <w:cnfStyle w:val="000000000000" w:firstRow="0" w:lastRow="0" w:firstColumn="0" w:lastColumn="0" w:oddVBand="0" w:evenVBand="0" w:oddHBand="0" w:evenHBand="0" w:firstRowFirstColumn="0" w:firstRowLastColumn="0" w:lastRowFirstColumn="0" w:lastRowLastColumn="0"/>
            </w:pPr>
            <w:r>
              <w:t>Low if we use the management techniques.</w:t>
            </w:r>
          </w:p>
        </w:tc>
      </w:tr>
      <w:tr w:rsidR="00DD5124" w14:paraId="1868001E" w14:textId="77777777" w:rsidTr="00EB5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B8E63BB" w14:textId="54105486" w:rsidR="00DD5124" w:rsidRDefault="00DD5124" w:rsidP="00DD5124">
            <w:r>
              <w:lastRenderedPageBreak/>
              <w:t>Chemical</w:t>
            </w:r>
          </w:p>
        </w:tc>
        <w:tc>
          <w:tcPr>
            <w:tcW w:w="2268" w:type="dxa"/>
          </w:tcPr>
          <w:p w14:paraId="6094E2FC" w14:textId="4403A2ED" w:rsidR="00DD5124" w:rsidRDefault="00DD5124" w:rsidP="00DD5124">
            <w:pPr>
              <w:cnfStyle w:val="000000100000" w:firstRow="0" w:lastRow="0" w:firstColumn="0" w:lastColumn="0" w:oddVBand="0" w:evenVBand="0" w:oddHBand="1" w:evenHBand="0" w:firstRowFirstColumn="0" w:firstRowLastColumn="0" w:lastRowFirstColumn="0" w:lastRowLastColumn="0"/>
            </w:pPr>
            <w:r>
              <w:t>A spill of chemicals in the area could enter the storm drain network.</w:t>
            </w:r>
          </w:p>
        </w:tc>
        <w:tc>
          <w:tcPr>
            <w:tcW w:w="1586" w:type="dxa"/>
          </w:tcPr>
          <w:p w14:paraId="4AD4C685" w14:textId="2453A0FF" w:rsidR="00DD5124" w:rsidRDefault="00DD5124" w:rsidP="00DD5124">
            <w:pPr>
              <w:cnfStyle w:val="000000100000" w:firstRow="0" w:lastRow="0" w:firstColumn="0" w:lastColumn="0" w:oddVBand="0" w:evenVBand="0" w:oddHBand="1" w:evenHBand="0" w:firstRowFirstColumn="0" w:firstRowLastColumn="0" w:lastRowFirstColumn="0" w:lastRowLastColumn="0"/>
            </w:pPr>
            <w:r>
              <w:t>The receiving watercourse from the storm drain network.</w:t>
            </w:r>
          </w:p>
        </w:tc>
        <w:tc>
          <w:tcPr>
            <w:tcW w:w="1249" w:type="dxa"/>
          </w:tcPr>
          <w:p w14:paraId="5FD0C883" w14:textId="37540D43" w:rsidR="00DD5124" w:rsidRDefault="00DD5124" w:rsidP="00DD5124">
            <w:pPr>
              <w:cnfStyle w:val="000000100000" w:firstRow="0" w:lastRow="0" w:firstColumn="0" w:lastColumn="0" w:oddVBand="0" w:evenVBand="0" w:oddHBand="1" w:evenHBand="0" w:firstRowFirstColumn="0" w:firstRowLastColumn="0" w:lastRowFirstColumn="0" w:lastRowLastColumn="0"/>
            </w:pPr>
            <w:r>
              <w:t>The storm drain network.</w:t>
            </w:r>
          </w:p>
        </w:tc>
        <w:tc>
          <w:tcPr>
            <w:tcW w:w="2410" w:type="dxa"/>
          </w:tcPr>
          <w:p w14:paraId="13724EE0" w14:textId="65410B45" w:rsidR="00DD5124" w:rsidRDefault="00DD5124" w:rsidP="00DD5124">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Trained staff maintaining the plant and checking it daily.</w:t>
            </w:r>
          </w:p>
          <w:p w14:paraId="0B5A31EF" w14:textId="1CF2B24C" w:rsidR="00DD5124" w:rsidRDefault="00DD5124" w:rsidP="00DD5124">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Spill kits are available of size relative to the source, with trained staff to use them.</w:t>
            </w:r>
          </w:p>
          <w:p w14:paraId="3700BF01" w14:textId="08EABAD8" w:rsidR="00DD5124" w:rsidRDefault="000E5FBE" w:rsidP="00DD5124">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A concrete bund at &gt;110% of the holding tanks capacity.</w:t>
            </w:r>
          </w:p>
          <w:p w14:paraId="1B805C41" w14:textId="77777777" w:rsidR="00DD5124" w:rsidRDefault="00DD5124" w:rsidP="00DD5124">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Interceptors.</w:t>
            </w:r>
          </w:p>
          <w:p w14:paraId="265FDCCB" w14:textId="77777777" w:rsidR="00DD5124" w:rsidRDefault="00DD5124" w:rsidP="00DD5124">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Penstock valve on final point of discharge.</w:t>
            </w:r>
          </w:p>
          <w:p w14:paraId="67A92E84" w14:textId="2348B59A" w:rsidR="00DD5124" w:rsidRDefault="00DD5124" w:rsidP="00DD5124">
            <w:pPr>
              <w:cnfStyle w:val="000000100000" w:firstRow="0" w:lastRow="0" w:firstColumn="0" w:lastColumn="0" w:oddVBand="0" w:evenVBand="0" w:oddHBand="1" w:evenHBand="0" w:firstRowFirstColumn="0" w:firstRowLastColumn="0" w:lastRowFirstColumn="0" w:lastRowLastColumn="0"/>
            </w:pPr>
          </w:p>
        </w:tc>
        <w:tc>
          <w:tcPr>
            <w:tcW w:w="1843" w:type="dxa"/>
          </w:tcPr>
          <w:p w14:paraId="606A717E" w14:textId="01A5E232" w:rsidR="00DD5124" w:rsidRDefault="00DD5124" w:rsidP="00DD5124">
            <w:pPr>
              <w:cnfStyle w:val="000000100000" w:firstRow="0" w:lastRow="0" w:firstColumn="0" w:lastColumn="0" w:oddVBand="0" w:evenVBand="0" w:oddHBand="1" w:evenHBand="0" w:firstRowFirstColumn="0" w:firstRowLastColumn="0" w:lastRowFirstColumn="0" w:lastRowLastColumn="0"/>
            </w:pPr>
            <w:r>
              <w:t>The effluent could enter the storm drain network leading to effluent with varying pH escaping into a receiving watercourse.</w:t>
            </w:r>
          </w:p>
        </w:tc>
        <w:tc>
          <w:tcPr>
            <w:tcW w:w="1701" w:type="dxa"/>
          </w:tcPr>
          <w:p w14:paraId="6E90CC0F" w14:textId="53E34F3C" w:rsidR="00DD5124" w:rsidRDefault="00DD5124" w:rsidP="00DD5124">
            <w:pPr>
              <w:cnfStyle w:val="000000100000" w:firstRow="0" w:lastRow="0" w:firstColumn="0" w:lastColumn="0" w:oddVBand="0" w:evenVBand="0" w:oddHBand="1" w:evenHBand="0" w:firstRowFirstColumn="0" w:firstRowLastColumn="0" w:lastRowFirstColumn="0" w:lastRowLastColumn="0"/>
            </w:pPr>
            <w:r>
              <w:t xml:space="preserve">Potential for a pollution incident at the receiving watercourse. </w:t>
            </w:r>
          </w:p>
        </w:tc>
        <w:tc>
          <w:tcPr>
            <w:tcW w:w="2126" w:type="dxa"/>
          </w:tcPr>
          <w:p w14:paraId="43F13AC2" w14:textId="52639E0B" w:rsidR="00DD5124" w:rsidRDefault="00DD5124" w:rsidP="00DD5124">
            <w:pPr>
              <w:cnfStyle w:val="000000100000" w:firstRow="0" w:lastRow="0" w:firstColumn="0" w:lastColumn="0" w:oddVBand="0" w:evenVBand="0" w:oddHBand="1" w:evenHBand="0" w:firstRowFirstColumn="0" w:firstRowLastColumn="0" w:lastRowFirstColumn="0" w:lastRowLastColumn="0"/>
            </w:pPr>
            <w:r>
              <w:t>Low if we use the management techniques.</w:t>
            </w:r>
          </w:p>
        </w:tc>
      </w:tr>
      <w:tr w:rsidR="00F8621E" w14:paraId="02769B5A" w14:textId="77777777" w:rsidTr="00EB5EDE">
        <w:tc>
          <w:tcPr>
            <w:cnfStyle w:val="001000000000" w:firstRow="0" w:lastRow="0" w:firstColumn="1" w:lastColumn="0" w:oddVBand="0" w:evenVBand="0" w:oddHBand="0" w:evenHBand="0" w:firstRowFirstColumn="0" w:firstRowLastColumn="0" w:lastRowFirstColumn="0" w:lastRowLastColumn="0"/>
            <w:tcW w:w="1843" w:type="dxa"/>
          </w:tcPr>
          <w:p w14:paraId="057C68C2" w14:textId="617312B9" w:rsidR="00F8621E" w:rsidRDefault="00F8621E" w:rsidP="00F8621E">
            <w:r>
              <w:t>Chemical</w:t>
            </w:r>
          </w:p>
        </w:tc>
        <w:tc>
          <w:tcPr>
            <w:tcW w:w="2268" w:type="dxa"/>
          </w:tcPr>
          <w:p w14:paraId="10CB97C5" w14:textId="637E06F0" w:rsidR="00F8621E" w:rsidRDefault="00F8621E" w:rsidP="00F8621E">
            <w:pPr>
              <w:cnfStyle w:val="000000000000" w:firstRow="0" w:lastRow="0" w:firstColumn="0" w:lastColumn="0" w:oddVBand="0" w:evenVBand="0" w:oddHBand="0" w:evenHBand="0" w:firstRowFirstColumn="0" w:firstRowLastColumn="0" w:lastRowFirstColumn="0" w:lastRowLastColumn="0"/>
            </w:pPr>
            <w:r>
              <w:t>A breach of the chemical tanks (primary containment), leading to discharge via a storm drain.</w:t>
            </w:r>
          </w:p>
        </w:tc>
        <w:tc>
          <w:tcPr>
            <w:tcW w:w="1586" w:type="dxa"/>
          </w:tcPr>
          <w:p w14:paraId="6D8A2A5E" w14:textId="6931EE20" w:rsidR="00F8621E" w:rsidRDefault="00F8621E" w:rsidP="00F8621E">
            <w:pPr>
              <w:cnfStyle w:val="000000000000" w:firstRow="0" w:lastRow="0" w:firstColumn="0" w:lastColumn="0" w:oddVBand="0" w:evenVBand="0" w:oddHBand="0" w:evenHBand="0" w:firstRowFirstColumn="0" w:firstRowLastColumn="0" w:lastRowFirstColumn="0" w:lastRowLastColumn="0"/>
            </w:pPr>
            <w:r>
              <w:t>The receiving watercourse from the storm drain network.</w:t>
            </w:r>
          </w:p>
        </w:tc>
        <w:tc>
          <w:tcPr>
            <w:tcW w:w="1249" w:type="dxa"/>
          </w:tcPr>
          <w:p w14:paraId="68885520" w14:textId="3B893730" w:rsidR="00F8621E" w:rsidRDefault="00F8621E" w:rsidP="00F8621E">
            <w:pPr>
              <w:cnfStyle w:val="000000000000" w:firstRow="0" w:lastRow="0" w:firstColumn="0" w:lastColumn="0" w:oddVBand="0" w:evenVBand="0" w:oddHBand="0" w:evenHBand="0" w:firstRowFirstColumn="0" w:firstRowLastColumn="0" w:lastRowFirstColumn="0" w:lastRowLastColumn="0"/>
            </w:pPr>
            <w:r>
              <w:t>The storm drain network.</w:t>
            </w:r>
          </w:p>
        </w:tc>
        <w:tc>
          <w:tcPr>
            <w:tcW w:w="2410" w:type="dxa"/>
          </w:tcPr>
          <w:p w14:paraId="1A17060E" w14:textId="77777777" w:rsidR="00F8621E" w:rsidRDefault="00F8621E" w:rsidP="00F8621E">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Trained staff maintaining the plant and checking it daily.</w:t>
            </w:r>
          </w:p>
          <w:p w14:paraId="005003DB" w14:textId="77777777" w:rsidR="00F8621E" w:rsidRDefault="00F8621E" w:rsidP="00F8621E">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Spill kits are available of size relative to the source, with trained staff to use them.</w:t>
            </w:r>
          </w:p>
          <w:p w14:paraId="18B0A7F3" w14:textId="77777777" w:rsidR="00F8621E" w:rsidRDefault="00F8621E" w:rsidP="00F8621E">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A concrete bund at &gt;110% of the holding tanks capacity.</w:t>
            </w:r>
          </w:p>
          <w:p w14:paraId="4C27E261" w14:textId="77777777" w:rsidR="00F8621E" w:rsidRDefault="00F8621E" w:rsidP="00F8621E">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Interceptors.</w:t>
            </w:r>
          </w:p>
          <w:p w14:paraId="5136ABED" w14:textId="17BC48CB" w:rsidR="00F8621E" w:rsidRDefault="00F8621E" w:rsidP="009A0DDE">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lastRenderedPageBreak/>
              <w:t>Penstock valve on final point of discharge.</w:t>
            </w:r>
          </w:p>
        </w:tc>
        <w:tc>
          <w:tcPr>
            <w:tcW w:w="1843" w:type="dxa"/>
          </w:tcPr>
          <w:p w14:paraId="396E943D" w14:textId="617F4F3C" w:rsidR="00F8621E" w:rsidRDefault="00F8621E" w:rsidP="00F8621E">
            <w:pPr>
              <w:cnfStyle w:val="000000000000" w:firstRow="0" w:lastRow="0" w:firstColumn="0" w:lastColumn="0" w:oddVBand="0" w:evenVBand="0" w:oddHBand="0" w:evenHBand="0" w:firstRowFirstColumn="0" w:firstRowLastColumn="0" w:lastRowFirstColumn="0" w:lastRowLastColumn="0"/>
            </w:pPr>
            <w:r>
              <w:lastRenderedPageBreak/>
              <w:t>The effluent could enter the storm drain network leading to effluent with varying pH escaping into a receiving watercourse.</w:t>
            </w:r>
          </w:p>
        </w:tc>
        <w:tc>
          <w:tcPr>
            <w:tcW w:w="1701" w:type="dxa"/>
          </w:tcPr>
          <w:p w14:paraId="6239CCA3" w14:textId="6C0F9D37" w:rsidR="00F8621E" w:rsidRDefault="00F8621E" w:rsidP="00F8621E">
            <w:pPr>
              <w:cnfStyle w:val="000000000000" w:firstRow="0" w:lastRow="0" w:firstColumn="0" w:lastColumn="0" w:oddVBand="0" w:evenVBand="0" w:oddHBand="0" w:evenHBand="0" w:firstRowFirstColumn="0" w:firstRowLastColumn="0" w:lastRowFirstColumn="0" w:lastRowLastColumn="0"/>
            </w:pPr>
            <w:r>
              <w:t xml:space="preserve">Potential for a pollution incident at the receiving watercourse. </w:t>
            </w:r>
          </w:p>
        </w:tc>
        <w:tc>
          <w:tcPr>
            <w:tcW w:w="2126" w:type="dxa"/>
          </w:tcPr>
          <w:p w14:paraId="5E6C794E" w14:textId="2E0F40D1" w:rsidR="00F8621E" w:rsidRDefault="00F8621E" w:rsidP="00F8621E">
            <w:pPr>
              <w:cnfStyle w:val="000000000000" w:firstRow="0" w:lastRow="0" w:firstColumn="0" w:lastColumn="0" w:oddVBand="0" w:evenVBand="0" w:oddHBand="0" w:evenHBand="0" w:firstRowFirstColumn="0" w:firstRowLastColumn="0" w:lastRowFirstColumn="0" w:lastRowLastColumn="0"/>
            </w:pPr>
            <w:r>
              <w:t>Low if we use the management techniques.</w:t>
            </w:r>
          </w:p>
        </w:tc>
      </w:tr>
      <w:tr w:rsidR="00F8621E" w14:paraId="7CB88A5A" w14:textId="77777777" w:rsidTr="00EB5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C067DF6" w14:textId="23DC6C8D" w:rsidR="00F8621E" w:rsidRDefault="00F8621E" w:rsidP="00F8621E">
            <w:r>
              <w:t>Chemical</w:t>
            </w:r>
          </w:p>
        </w:tc>
        <w:tc>
          <w:tcPr>
            <w:tcW w:w="2268" w:type="dxa"/>
          </w:tcPr>
          <w:p w14:paraId="401AFBA4" w14:textId="6FB10F6A" w:rsidR="00F8621E" w:rsidRDefault="00F8621E" w:rsidP="00F8621E">
            <w:pPr>
              <w:cnfStyle w:val="000000100000" w:firstRow="0" w:lastRow="0" w:firstColumn="0" w:lastColumn="0" w:oddVBand="0" w:evenVBand="0" w:oddHBand="1" w:evenHBand="0" w:firstRowFirstColumn="0" w:firstRowLastColumn="0" w:lastRowFirstColumn="0" w:lastRowLastColumn="0"/>
            </w:pPr>
            <w:r>
              <w:t xml:space="preserve">A spill of chemicals </w:t>
            </w:r>
            <w:r w:rsidR="009A0DDE">
              <w:t>during delivery</w:t>
            </w:r>
            <w:r>
              <w:t xml:space="preserve"> could enter the storm drain network.</w:t>
            </w:r>
          </w:p>
        </w:tc>
        <w:tc>
          <w:tcPr>
            <w:tcW w:w="1586" w:type="dxa"/>
          </w:tcPr>
          <w:p w14:paraId="6634A209" w14:textId="7462ECF0" w:rsidR="00F8621E" w:rsidRDefault="00F8621E" w:rsidP="00F8621E">
            <w:pPr>
              <w:cnfStyle w:val="000000100000" w:firstRow="0" w:lastRow="0" w:firstColumn="0" w:lastColumn="0" w:oddVBand="0" w:evenVBand="0" w:oddHBand="1" w:evenHBand="0" w:firstRowFirstColumn="0" w:firstRowLastColumn="0" w:lastRowFirstColumn="0" w:lastRowLastColumn="0"/>
            </w:pPr>
            <w:r>
              <w:t>The receiving watercourse from the storm drain network.</w:t>
            </w:r>
          </w:p>
        </w:tc>
        <w:tc>
          <w:tcPr>
            <w:tcW w:w="1249" w:type="dxa"/>
          </w:tcPr>
          <w:p w14:paraId="0C391CD9" w14:textId="1228A1DC" w:rsidR="00F8621E" w:rsidRDefault="00F8621E" w:rsidP="00F8621E">
            <w:pPr>
              <w:cnfStyle w:val="000000100000" w:firstRow="0" w:lastRow="0" w:firstColumn="0" w:lastColumn="0" w:oddVBand="0" w:evenVBand="0" w:oddHBand="1" w:evenHBand="0" w:firstRowFirstColumn="0" w:firstRowLastColumn="0" w:lastRowFirstColumn="0" w:lastRowLastColumn="0"/>
            </w:pPr>
            <w:r>
              <w:t>The storm drain network.</w:t>
            </w:r>
          </w:p>
        </w:tc>
        <w:tc>
          <w:tcPr>
            <w:tcW w:w="2410" w:type="dxa"/>
          </w:tcPr>
          <w:p w14:paraId="5810A709" w14:textId="796BC555" w:rsidR="009A0DDE" w:rsidRDefault="009A0DDE" w:rsidP="00F8621E">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Trained staff used to deliver the chemicals, and trained Bradgate staff overseeing the delivery.</w:t>
            </w:r>
          </w:p>
          <w:p w14:paraId="3BD63356" w14:textId="76A94D8A" w:rsidR="00F8621E" w:rsidRDefault="00F8621E" w:rsidP="00F8621E">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Trained staff maintaining the plant and checking it daily.</w:t>
            </w:r>
          </w:p>
          <w:p w14:paraId="237C4FD9" w14:textId="77777777" w:rsidR="00F8621E" w:rsidRDefault="00F8621E" w:rsidP="00F8621E">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Spill kits are available of size relative to the source, with trained staff to use them.</w:t>
            </w:r>
          </w:p>
          <w:p w14:paraId="730FF6FE" w14:textId="77777777" w:rsidR="00F8621E" w:rsidRDefault="00F8621E" w:rsidP="00F8621E">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A concrete bund at &gt;110% of the holding tanks capacity.</w:t>
            </w:r>
          </w:p>
          <w:p w14:paraId="46837332" w14:textId="77777777" w:rsidR="00F8621E" w:rsidRDefault="00F8621E" w:rsidP="00F8621E">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Interceptors.</w:t>
            </w:r>
          </w:p>
          <w:p w14:paraId="3BE727FF" w14:textId="77777777" w:rsidR="00F8621E" w:rsidRDefault="00F8621E" w:rsidP="00F8621E">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Penstock valve on final point of discharge.</w:t>
            </w:r>
          </w:p>
          <w:p w14:paraId="061461B0" w14:textId="77777777" w:rsidR="00F8621E" w:rsidRDefault="00F8621E" w:rsidP="00F8621E">
            <w:pPr>
              <w:cnfStyle w:val="000000100000" w:firstRow="0" w:lastRow="0" w:firstColumn="0" w:lastColumn="0" w:oddVBand="0" w:evenVBand="0" w:oddHBand="1" w:evenHBand="0" w:firstRowFirstColumn="0" w:firstRowLastColumn="0" w:lastRowFirstColumn="0" w:lastRowLastColumn="0"/>
            </w:pPr>
          </w:p>
        </w:tc>
        <w:tc>
          <w:tcPr>
            <w:tcW w:w="1843" w:type="dxa"/>
          </w:tcPr>
          <w:p w14:paraId="56F460E5" w14:textId="2DF62B84" w:rsidR="00F8621E" w:rsidRDefault="00F8621E" w:rsidP="00F8621E">
            <w:pPr>
              <w:cnfStyle w:val="000000100000" w:firstRow="0" w:lastRow="0" w:firstColumn="0" w:lastColumn="0" w:oddVBand="0" w:evenVBand="0" w:oddHBand="1" w:evenHBand="0" w:firstRowFirstColumn="0" w:firstRowLastColumn="0" w:lastRowFirstColumn="0" w:lastRowLastColumn="0"/>
            </w:pPr>
            <w:r>
              <w:t>The effluent could enter the storm drain network leading to effluent with varying pH escaping into a receiving watercourse.</w:t>
            </w:r>
          </w:p>
        </w:tc>
        <w:tc>
          <w:tcPr>
            <w:tcW w:w="1701" w:type="dxa"/>
          </w:tcPr>
          <w:p w14:paraId="783627BA" w14:textId="57F0448A" w:rsidR="00F8621E" w:rsidRDefault="00F8621E" w:rsidP="00F8621E">
            <w:pPr>
              <w:cnfStyle w:val="000000100000" w:firstRow="0" w:lastRow="0" w:firstColumn="0" w:lastColumn="0" w:oddVBand="0" w:evenVBand="0" w:oddHBand="1" w:evenHBand="0" w:firstRowFirstColumn="0" w:firstRowLastColumn="0" w:lastRowFirstColumn="0" w:lastRowLastColumn="0"/>
            </w:pPr>
            <w:r>
              <w:t xml:space="preserve">Potential for a pollution incident at the receiving watercourse. </w:t>
            </w:r>
          </w:p>
        </w:tc>
        <w:tc>
          <w:tcPr>
            <w:tcW w:w="2126" w:type="dxa"/>
          </w:tcPr>
          <w:p w14:paraId="509EF20C" w14:textId="378236F4" w:rsidR="00F8621E" w:rsidRDefault="00F8621E" w:rsidP="00F8621E">
            <w:pPr>
              <w:cnfStyle w:val="000000100000" w:firstRow="0" w:lastRow="0" w:firstColumn="0" w:lastColumn="0" w:oddVBand="0" w:evenVBand="0" w:oddHBand="1" w:evenHBand="0" w:firstRowFirstColumn="0" w:firstRowLastColumn="0" w:lastRowFirstColumn="0" w:lastRowLastColumn="0"/>
            </w:pPr>
            <w:r>
              <w:t>Low if we use the management techniques.</w:t>
            </w:r>
          </w:p>
        </w:tc>
      </w:tr>
    </w:tbl>
    <w:p w14:paraId="6A42E8C4" w14:textId="56FCA1B4" w:rsidR="00172635" w:rsidRDefault="00172635" w:rsidP="00995134"/>
    <w:p w14:paraId="2F9958E3" w14:textId="77777777" w:rsidR="00BA7C13" w:rsidRDefault="00BA7C13" w:rsidP="00995134">
      <w:pPr>
        <w:sectPr w:rsidR="00BA7C13" w:rsidSect="00D90B30">
          <w:pgSz w:w="16838" w:h="11906" w:orient="landscape"/>
          <w:pgMar w:top="1440" w:right="2098" w:bottom="1440" w:left="1440" w:header="709" w:footer="709" w:gutter="0"/>
          <w:cols w:space="708"/>
          <w:titlePg/>
          <w:docGrid w:linePitch="360"/>
        </w:sectPr>
      </w:pPr>
    </w:p>
    <w:p w14:paraId="2E31438D" w14:textId="3B4E18F4" w:rsidR="00172635" w:rsidRDefault="00BA7C13" w:rsidP="00F8621E">
      <w:pPr>
        <w:pStyle w:val="Heading1"/>
      </w:pPr>
      <w:r>
        <w:lastRenderedPageBreak/>
        <w:t>Risk of Accidents</w:t>
      </w:r>
    </w:p>
    <w:p w14:paraId="3E200F26" w14:textId="4E2B2FD3" w:rsidR="00BA7C13" w:rsidRDefault="00BA7C13" w:rsidP="00995134">
      <w:r>
        <w:t>Risk of accidents has been addressed in the table above, along with the operational techniques that are employed to eliminate or reduce environmental harm arising from these accidents. These include:</w:t>
      </w:r>
    </w:p>
    <w:p w14:paraId="69D6A09E" w14:textId="71B3C85A" w:rsidR="00BA7C13" w:rsidRDefault="00F8621E" w:rsidP="00BA7C13">
      <w:pPr>
        <w:pStyle w:val="ListParagraph"/>
        <w:numPr>
          <w:ilvl w:val="0"/>
          <w:numId w:val="33"/>
        </w:numPr>
      </w:pPr>
      <w:r>
        <w:t>Failure of pumps leading to overflow of effluent tanks.</w:t>
      </w:r>
    </w:p>
    <w:p w14:paraId="191A2799" w14:textId="53D0C31C" w:rsidR="00F8621E" w:rsidRDefault="00F8621E" w:rsidP="00BA7C13">
      <w:pPr>
        <w:pStyle w:val="ListParagraph"/>
        <w:numPr>
          <w:ilvl w:val="0"/>
          <w:numId w:val="33"/>
        </w:numPr>
      </w:pPr>
      <w:r>
        <w:t>Breach of primary effluent tanks.</w:t>
      </w:r>
    </w:p>
    <w:p w14:paraId="0AD9D886" w14:textId="7D54FEB5" w:rsidR="00F8621E" w:rsidRDefault="00F8621E" w:rsidP="00BA7C13">
      <w:pPr>
        <w:pStyle w:val="ListParagraph"/>
        <w:numPr>
          <w:ilvl w:val="0"/>
          <w:numId w:val="33"/>
        </w:numPr>
      </w:pPr>
      <w:r>
        <w:t>Breach of primary chemical tanks.</w:t>
      </w:r>
    </w:p>
    <w:p w14:paraId="40BC589F" w14:textId="50308186" w:rsidR="00F8621E" w:rsidRDefault="009A0DDE" w:rsidP="00BA7C13">
      <w:pPr>
        <w:pStyle w:val="ListParagraph"/>
        <w:numPr>
          <w:ilvl w:val="0"/>
          <w:numId w:val="33"/>
        </w:numPr>
      </w:pPr>
      <w:r>
        <w:t>A chemical spill within the effluent plant.</w:t>
      </w:r>
    </w:p>
    <w:p w14:paraId="6FE5DF72" w14:textId="121CB77B" w:rsidR="009A0DDE" w:rsidRDefault="009A0DDE" w:rsidP="00BA7C13">
      <w:pPr>
        <w:pStyle w:val="ListParagraph"/>
        <w:numPr>
          <w:ilvl w:val="0"/>
          <w:numId w:val="33"/>
        </w:numPr>
      </w:pPr>
      <w:r>
        <w:t>A chemical spill during delivery.</w:t>
      </w:r>
    </w:p>
    <w:p w14:paraId="50E578DF" w14:textId="2212F3DF" w:rsidR="000A684E" w:rsidRDefault="000A684E" w:rsidP="000A684E">
      <w:pPr>
        <w:pStyle w:val="Heading1"/>
      </w:pPr>
      <w:r>
        <w:t>Identification of Receptors</w:t>
      </w:r>
    </w:p>
    <w:p w14:paraId="1C266D0D" w14:textId="58BF2C1A" w:rsidR="00BD27E1" w:rsidRDefault="000A684E" w:rsidP="00BD27E1">
      <w:r>
        <w:t>Severn Trent have been contacted by Bradgate Bakery previously to ascertain where the storm water drainage network we connect to terminates. Severn Trent have stated in an email they are unsure where the network terminates.</w:t>
      </w:r>
    </w:p>
    <w:p w14:paraId="390BBAE9" w14:textId="221CA1D3" w:rsidR="000A684E" w:rsidRDefault="000A684E" w:rsidP="00BD27E1">
      <w:r>
        <w:t xml:space="preserve">No further assessment has been carried out. H1 Annex D2 was reviewed, however this states that it assesses sanitary pollutants </w:t>
      </w:r>
      <w:r w:rsidR="007D0168">
        <w:t>specifically for surface water discharge, whereas Bradgate Bakery under normal conditions will discharge to a trade effluent sewer.</w:t>
      </w:r>
    </w:p>
    <w:sectPr w:rsidR="000A684E" w:rsidSect="00BA7C13">
      <w:pgSz w:w="11906" w:h="16838"/>
      <w:pgMar w:top="2098"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BBBD" w14:textId="77777777" w:rsidR="0052075C" w:rsidRDefault="0052075C" w:rsidP="00341BAD">
      <w:pPr>
        <w:spacing w:after="0" w:line="240" w:lineRule="auto"/>
      </w:pPr>
      <w:r>
        <w:separator/>
      </w:r>
    </w:p>
  </w:endnote>
  <w:endnote w:type="continuationSeparator" w:id="0">
    <w:p w14:paraId="046CBE7B" w14:textId="77777777" w:rsidR="0052075C" w:rsidRDefault="0052075C" w:rsidP="0034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56015"/>
      <w:docPartObj>
        <w:docPartGallery w:val="Page Numbers (Bottom of Page)"/>
        <w:docPartUnique/>
      </w:docPartObj>
    </w:sdtPr>
    <w:sdtEndPr>
      <w:rPr>
        <w:noProof/>
      </w:rPr>
    </w:sdtEndPr>
    <w:sdtContent>
      <w:p w14:paraId="780223AA" w14:textId="10034B10" w:rsidR="00D90B30" w:rsidRDefault="00D90B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A6634F" w14:textId="0BFACDAF" w:rsidR="0052075C" w:rsidRPr="00D90B30" w:rsidRDefault="0052075C" w:rsidP="00D90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45975"/>
      <w:docPartObj>
        <w:docPartGallery w:val="Page Numbers (Bottom of Page)"/>
        <w:docPartUnique/>
      </w:docPartObj>
    </w:sdtPr>
    <w:sdtEndPr>
      <w:rPr>
        <w:noProof/>
      </w:rPr>
    </w:sdtEndPr>
    <w:sdtContent>
      <w:p w14:paraId="5B78AAB0" w14:textId="30832DE7" w:rsidR="00D90B30" w:rsidRDefault="00D90B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FFD3D9" w14:textId="7136B989" w:rsidR="00D90B30" w:rsidRDefault="00D90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D896" w14:textId="77777777" w:rsidR="0052075C" w:rsidRDefault="0052075C" w:rsidP="00341BAD">
      <w:pPr>
        <w:spacing w:after="0" w:line="240" w:lineRule="auto"/>
      </w:pPr>
      <w:r>
        <w:separator/>
      </w:r>
    </w:p>
  </w:footnote>
  <w:footnote w:type="continuationSeparator" w:id="0">
    <w:p w14:paraId="1B908B77" w14:textId="77777777" w:rsidR="0052075C" w:rsidRDefault="0052075C" w:rsidP="00341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14AB" w14:textId="213FEBFB" w:rsidR="00AA3233" w:rsidRDefault="00AA3233">
    <w:pPr>
      <w:pStyle w:val="Header"/>
    </w:pPr>
    <w:r>
      <w:rPr>
        <w:noProof/>
        <w:lang w:eastAsia="en-GB"/>
      </w:rPr>
      <w:drawing>
        <wp:anchor distT="0" distB="0" distL="114300" distR="114300" simplePos="0" relativeHeight="251660288" behindDoc="1" locked="0" layoutInCell="1" allowOverlap="1" wp14:anchorId="2C4CB295" wp14:editId="7AD391CD">
          <wp:simplePos x="0" y="0"/>
          <wp:positionH relativeFrom="column">
            <wp:posOffset>1990725</wp:posOffset>
          </wp:positionH>
          <wp:positionV relativeFrom="paragraph">
            <wp:posOffset>-267335</wp:posOffset>
          </wp:positionV>
          <wp:extent cx="1476375" cy="809625"/>
          <wp:effectExtent l="0" t="0" r="0" b="9525"/>
          <wp:wrapTight wrapText="bothSides">
            <wp:wrapPolygon edited="0">
              <wp:start x="10034" y="2033"/>
              <wp:lineTo x="1115" y="11181"/>
              <wp:lineTo x="1115" y="19821"/>
              <wp:lineTo x="5853" y="21346"/>
              <wp:lineTo x="15329" y="21346"/>
              <wp:lineTo x="17559" y="20838"/>
              <wp:lineTo x="20625" y="19821"/>
              <wp:lineTo x="20346" y="11181"/>
              <wp:lineTo x="13099" y="2033"/>
              <wp:lineTo x="10034" y="2033"/>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8096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6350" w14:textId="04190100" w:rsidR="0052075C" w:rsidRDefault="0052075C">
    <w:pPr>
      <w:pStyle w:val="Header"/>
    </w:pPr>
    <w:r>
      <w:rPr>
        <w:noProof/>
        <w:lang w:eastAsia="en-GB"/>
      </w:rPr>
      <w:drawing>
        <wp:anchor distT="0" distB="0" distL="114300" distR="114300" simplePos="0" relativeHeight="251658240" behindDoc="1" locked="0" layoutInCell="1" allowOverlap="1" wp14:anchorId="71DCD84D" wp14:editId="502B68D8">
          <wp:simplePos x="0" y="0"/>
          <wp:positionH relativeFrom="column">
            <wp:posOffset>2257425</wp:posOffset>
          </wp:positionH>
          <wp:positionV relativeFrom="paragraph">
            <wp:posOffset>-297180</wp:posOffset>
          </wp:positionV>
          <wp:extent cx="1476375" cy="809625"/>
          <wp:effectExtent l="0" t="0" r="0" b="9525"/>
          <wp:wrapTight wrapText="bothSides">
            <wp:wrapPolygon edited="0">
              <wp:start x="10034" y="2033"/>
              <wp:lineTo x="1115" y="11181"/>
              <wp:lineTo x="1115" y="19821"/>
              <wp:lineTo x="5853" y="21346"/>
              <wp:lineTo x="15329" y="21346"/>
              <wp:lineTo x="17559" y="20838"/>
              <wp:lineTo x="20625" y="19821"/>
              <wp:lineTo x="20346" y="11181"/>
              <wp:lineTo x="13099" y="2033"/>
              <wp:lineTo x="10034" y="203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809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A06"/>
    <w:multiLevelType w:val="hybridMultilevel"/>
    <w:tmpl w:val="AC94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13F28"/>
    <w:multiLevelType w:val="hybridMultilevel"/>
    <w:tmpl w:val="3C0E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5521D"/>
    <w:multiLevelType w:val="hybridMultilevel"/>
    <w:tmpl w:val="D4B2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F1DA9"/>
    <w:multiLevelType w:val="hybridMultilevel"/>
    <w:tmpl w:val="3C8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77CAE"/>
    <w:multiLevelType w:val="hybridMultilevel"/>
    <w:tmpl w:val="D3E20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80DE0"/>
    <w:multiLevelType w:val="hybridMultilevel"/>
    <w:tmpl w:val="12604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441F58"/>
    <w:multiLevelType w:val="hybridMultilevel"/>
    <w:tmpl w:val="624E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B3009"/>
    <w:multiLevelType w:val="hybridMultilevel"/>
    <w:tmpl w:val="EAAAF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00152D"/>
    <w:multiLevelType w:val="hybridMultilevel"/>
    <w:tmpl w:val="23C8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20980"/>
    <w:multiLevelType w:val="hybridMultilevel"/>
    <w:tmpl w:val="6E1E0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772961"/>
    <w:multiLevelType w:val="hybridMultilevel"/>
    <w:tmpl w:val="65E2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C62D2"/>
    <w:multiLevelType w:val="hybridMultilevel"/>
    <w:tmpl w:val="D1BEED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A965164"/>
    <w:multiLevelType w:val="hybridMultilevel"/>
    <w:tmpl w:val="7AE2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60260"/>
    <w:multiLevelType w:val="hybridMultilevel"/>
    <w:tmpl w:val="B58A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D4DC4"/>
    <w:multiLevelType w:val="hybridMultilevel"/>
    <w:tmpl w:val="1F08D256"/>
    <w:lvl w:ilvl="0" w:tplc="08090001">
      <w:start w:val="1"/>
      <w:numFmt w:val="bullet"/>
      <w:lvlText w:val=""/>
      <w:lvlJc w:val="left"/>
      <w:pPr>
        <w:tabs>
          <w:tab w:val="num" w:pos="480"/>
        </w:tabs>
        <w:ind w:left="480" w:hanging="360"/>
      </w:pPr>
      <w:rPr>
        <w:rFonts w:ascii="Symbol" w:hAnsi="Symbol" w:hint="default"/>
      </w:rPr>
    </w:lvl>
    <w:lvl w:ilvl="1" w:tplc="08090003">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15" w15:restartNumberingAfterBreak="0">
    <w:nsid w:val="42B14332"/>
    <w:multiLevelType w:val="hybridMultilevel"/>
    <w:tmpl w:val="42622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9B2AAA"/>
    <w:multiLevelType w:val="hybridMultilevel"/>
    <w:tmpl w:val="C9E2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564E20"/>
    <w:multiLevelType w:val="hybridMultilevel"/>
    <w:tmpl w:val="F11A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66831"/>
    <w:multiLevelType w:val="hybridMultilevel"/>
    <w:tmpl w:val="C8E6B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330EF"/>
    <w:multiLevelType w:val="hybridMultilevel"/>
    <w:tmpl w:val="F6BE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1306E"/>
    <w:multiLevelType w:val="hybridMultilevel"/>
    <w:tmpl w:val="2E46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A47BC"/>
    <w:multiLevelType w:val="hybridMultilevel"/>
    <w:tmpl w:val="689A5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DA4991"/>
    <w:multiLevelType w:val="hybridMultilevel"/>
    <w:tmpl w:val="130C2F78"/>
    <w:lvl w:ilvl="0" w:tplc="08090001">
      <w:start w:val="1"/>
      <w:numFmt w:val="bullet"/>
      <w:lvlText w:val=""/>
      <w:lvlJc w:val="left"/>
      <w:pPr>
        <w:tabs>
          <w:tab w:val="num" w:pos="480"/>
        </w:tabs>
        <w:ind w:left="480" w:hanging="360"/>
      </w:pPr>
      <w:rPr>
        <w:rFonts w:ascii="Symbol" w:hAnsi="Symbol" w:hint="default"/>
      </w:rPr>
    </w:lvl>
    <w:lvl w:ilvl="1" w:tplc="08090003">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23" w15:restartNumberingAfterBreak="0">
    <w:nsid w:val="560B2CFD"/>
    <w:multiLevelType w:val="hybridMultilevel"/>
    <w:tmpl w:val="4A68EB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56B52E25"/>
    <w:multiLevelType w:val="hybridMultilevel"/>
    <w:tmpl w:val="1F28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CE7273"/>
    <w:multiLevelType w:val="hybridMultilevel"/>
    <w:tmpl w:val="0540D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824D1"/>
    <w:multiLevelType w:val="hybridMultilevel"/>
    <w:tmpl w:val="59546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567C40"/>
    <w:multiLevelType w:val="hybridMultilevel"/>
    <w:tmpl w:val="EFBE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D04A31"/>
    <w:multiLevelType w:val="hybridMultilevel"/>
    <w:tmpl w:val="EC5C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B63F1D"/>
    <w:multiLevelType w:val="hybridMultilevel"/>
    <w:tmpl w:val="DF1027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62F23305"/>
    <w:multiLevelType w:val="hybridMultilevel"/>
    <w:tmpl w:val="09789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147855"/>
    <w:multiLevelType w:val="hybridMultilevel"/>
    <w:tmpl w:val="40E0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1425C"/>
    <w:multiLevelType w:val="hybridMultilevel"/>
    <w:tmpl w:val="ADE472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878880">
    <w:abstractNumId w:val="14"/>
  </w:num>
  <w:num w:numId="2" w16cid:durableId="455687520">
    <w:abstractNumId w:val="26"/>
  </w:num>
  <w:num w:numId="3" w16cid:durableId="1606814131">
    <w:abstractNumId w:val="5"/>
  </w:num>
  <w:num w:numId="4" w16cid:durableId="1754082524">
    <w:abstractNumId w:val="24"/>
  </w:num>
  <w:num w:numId="5" w16cid:durableId="1926307771">
    <w:abstractNumId w:val="22"/>
  </w:num>
  <w:num w:numId="6" w16cid:durableId="463425523">
    <w:abstractNumId w:val="31"/>
  </w:num>
  <w:num w:numId="7" w16cid:durableId="815489443">
    <w:abstractNumId w:val="7"/>
  </w:num>
  <w:num w:numId="8" w16cid:durableId="1496646678">
    <w:abstractNumId w:val="10"/>
  </w:num>
  <w:num w:numId="9" w16cid:durableId="1643806490">
    <w:abstractNumId w:val="3"/>
  </w:num>
  <w:num w:numId="10" w16cid:durableId="1142188585">
    <w:abstractNumId w:val="18"/>
  </w:num>
  <w:num w:numId="11" w16cid:durableId="1379237290">
    <w:abstractNumId w:val="15"/>
  </w:num>
  <w:num w:numId="12" w16cid:durableId="796800284">
    <w:abstractNumId w:val="17"/>
  </w:num>
  <w:num w:numId="13" w16cid:durableId="257056035">
    <w:abstractNumId w:val="13"/>
  </w:num>
  <w:num w:numId="14" w16cid:durableId="1713532798">
    <w:abstractNumId w:val="16"/>
  </w:num>
  <w:num w:numId="15" w16cid:durableId="1430345754">
    <w:abstractNumId w:val="32"/>
  </w:num>
  <w:num w:numId="16" w16cid:durableId="30541421">
    <w:abstractNumId w:val="25"/>
  </w:num>
  <w:num w:numId="17" w16cid:durableId="760418234">
    <w:abstractNumId w:val="6"/>
  </w:num>
  <w:num w:numId="18" w16cid:durableId="554783138">
    <w:abstractNumId w:val="12"/>
  </w:num>
  <w:num w:numId="19" w16cid:durableId="1781488141">
    <w:abstractNumId w:val="11"/>
  </w:num>
  <w:num w:numId="20" w16cid:durableId="1608583865">
    <w:abstractNumId w:val="8"/>
  </w:num>
  <w:num w:numId="21" w16cid:durableId="451367685">
    <w:abstractNumId w:val="23"/>
  </w:num>
  <w:num w:numId="22" w16cid:durableId="1464346427">
    <w:abstractNumId w:val="30"/>
  </w:num>
  <w:num w:numId="23" w16cid:durableId="235479716">
    <w:abstractNumId w:val="29"/>
  </w:num>
  <w:num w:numId="24" w16cid:durableId="158232111">
    <w:abstractNumId w:val="27"/>
  </w:num>
  <w:num w:numId="25" w16cid:durableId="1717970575">
    <w:abstractNumId w:val="19"/>
  </w:num>
  <w:num w:numId="26" w16cid:durableId="1182205657">
    <w:abstractNumId w:val="0"/>
  </w:num>
  <w:num w:numId="27" w16cid:durableId="101263679">
    <w:abstractNumId w:val="20"/>
  </w:num>
  <w:num w:numId="28" w16cid:durableId="1928463756">
    <w:abstractNumId w:val="21"/>
  </w:num>
  <w:num w:numId="29" w16cid:durableId="1032266048">
    <w:abstractNumId w:val="9"/>
  </w:num>
  <w:num w:numId="30" w16cid:durableId="380178408">
    <w:abstractNumId w:val="28"/>
  </w:num>
  <w:num w:numId="31" w16cid:durableId="231817576">
    <w:abstractNumId w:val="2"/>
  </w:num>
  <w:num w:numId="32" w16cid:durableId="1530407762">
    <w:abstractNumId w:val="4"/>
  </w:num>
  <w:num w:numId="33" w16cid:durableId="880168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AD"/>
    <w:rsid w:val="000049EB"/>
    <w:rsid w:val="00006A61"/>
    <w:rsid w:val="00010806"/>
    <w:rsid w:val="000109EB"/>
    <w:rsid w:val="00013F18"/>
    <w:rsid w:val="0001519F"/>
    <w:rsid w:val="00022E3B"/>
    <w:rsid w:val="000237C9"/>
    <w:rsid w:val="000256F2"/>
    <w:rsid w:val="00027F0C"/>
    <w:rsid w:val="00032206"/>
    <w:rsid w:val="000364FE"/>
    <w:rsid w:val="00037008"/>
    <w:rsid w:val="00037C65"/>
    <w:rsid w:val="0004029E"/>
    <w:rsid w:val="0004198D"/>
    <w:rsid w:val="00057138"/>
    <w:rsid w:val="00073A0D"/>
    <w:rsid w:val="00080534"/>
    <w:rsid w:val="00081E23"/>
    <w:rsid w:val="00083EB4"/>
    <w:rsid w:val="00091147"/>
    <w:rsid w:val="00091300"/>
    <w:rsid w:val="00091ED7"/>
    <w:rsid w:val="00095D1F"/>
    <w:rsid w:val="000A1766"/>
    <w:rsid w:val="000A684E"/>
    <w:rsid w:val="000C01A3"/>
    <w:rsid w:val="000C33BA"/>
    <w:rsid w:val="000C5229"/>
    <w:rsid w:val="000D663B"/>
    <w:rsid w:val="000E3B6D"/>
    <w:rsid w:val="000E5FBE"/>
    <w:rsid w:val="000E6FD9"/>
    <w:rsid w:val="000F2139"/>
    <w:rsid w:val="000F346F"/>
    <w:rsid w:val="000F537A"/>
    <w:rsid w:val="000F5B31"/>
    <w:rsid w:val="000F6E7C"/>
    <w:rsid w:val="00102478"/>
    <w:rsid w:val="00104838"/>
    <w:rsid w:val="00105204"/>
    <w:rsid w:val="00111A37"/>
    <w:rsid w:val="001132BA"/>
    <w:rsid w:val="00114D17"/>
    <w:rsid w:val="0011515C"/>
    <w:rsid w:val="001210F3"/>
    <w:rsid w:val="001242F3"/>
    <w:rsid w:val="0012584C"/>
    <w:rsid w:val="00126143"/>
    <w:rsid w:val="00130108"/>
    <w:rsid w:val="0013102E"/>
    <w:rsid w:val="00136162"/>
    <w:rsid w:val="001367ED"/>
    <w:rsid w:val="00140E3D"/>
    <w:rsid w:val="00142A65"/>
    <w:rsid w:val="00145E60"/>
    <w:rsid w:val="001527F5"/>
    <w:rsid w:val="001533DC"/>
    <w:rsid w:val="001546BC"/>
    <w:rsid w:val="00164FB0"/>
    <w:rsid w:val="00170C40"/>
    <w:rsid w:val="00172635"/>
    <w:rsid w:val="00174DAD"/>
    <w:rsid w:val="00182714"/>
    <w:rsid w:val="00187CAD"/>
    <w:rsid w:val="00187EAC"/>
    <w:rsid w:val="001A6A6A"/>
    <w:rsid w:val="001B009B"/>
    <w:rsid w:val="001B113F"/>
    <w:rsid w:val="001B3A19"/>
    <w:rsid w:val="001B49CE"/>
    <w:rsid w:val="001B5B70"/>
    <w:rsid w:val="001B6951"/>
    <w:rsid w:val="001B6A01"/>
    <w:rsid w:val="001B702B"/>
    <w:rsid w:val="001C6329"/>
    <w:rsid w:val="001D37A9"/>
    <w:rsid w:val="001E1920"/>
    <w:rsid w:val="001E1D89"/>
    <w:rsid w:val="001E4065"/>
    <w:rsid w:val="001F7329"/>
    <w:rsid w:val="00200587"/>
    <w:rsid w:val="002128C6"/>
    <w:rsid w:val="00213420"/>
    <w:rsid w:val="00213E37"/>
    <w:rsid w:val="00220AF0"/>
    <w:rsid w:val="00223FB4"/>
    <w:rsid w:val="00227C14"/>
    <w:rsid w:val="00241222"/>
    <w:rsid w:val="00247479"/>
    <w:rsid w:val="002558B5"/>
    <w:rsid w:val="00257A78"/>
    <w:rsid w:val="00260DE9"/>
    <w:rsid w:val="002643F8"/>
    <w:rsid w:val="00271FA2"/>
    <w:rsid w:val="00272F1B"/>
    <w:rsid w:val="002826A2"/>
    <w:rsid w:val="00287D54"/>
    <w:rsid w:val="00290F79"/>
    <w:rsid w:val="002915C7"/>
    <w:rsid w:val="002A3248"/>
    <w:rsid w:val="002B1898"/>
    <w:rsid w:val="002C1A6E"/>
    <w:rsid w:val="002C22E5"/>
    <w:rsid w:val="002C74C8"/>
    <w:rsid w:val="002E4F45"/>
    <w:rsid w:val="002F2C62"/>
    <w:rsid w:val="002F2FF2"/>
    <w:rsid w:val="002F41BD"/>
    <w:rsid w:val="0030583C"/>
    <w:rsid w:val="0030765F"/>
    <w:rsid w:val="00321F8F"/>
    <w:rsid w:val="003230C7"/>
    <w:rsid w:val="00341BAD"/>
    <w:rsid w:val="003461F2"/>
    <w:rsid w:val="00351582"/>
    <w:rsid w:val="00366540"/>
    <w:rsid w:val="00367EF8"/>
    <w:rsid w:val="00375C13"/>
    <w:rsid w:val="003769D9"/>
    <w:rsid w:val="0037763A"/>
    <w:rsid w:val="00377712"/>
    <w:rsid w:val="00384DC2"/>
    <w:rsid w:val="00384EEF"/>
    <w:rsid w:val="00390D0C"/>
    <w:rsid w:val="00390F49"/>
    <w:rsid w:val="00395750"/>
    <w:rsid w:val="00396CF8"/>
    <w:rsid w:val="003A11AC"/>
    <w:rsid w:val="003A3913"/>
    <w:rsid w:val="003C5C14"/>
    <w:rsid w:val="003D0526"/>
    <w:rsid w:val="003D23F4"/>
    <w:rsid w:val="003D4A52"/>
    <w:rsid w:val="003D72FB"/>
    <w:rsid w:val="003D7893"/>
    <w:rsid w:val="003F0391"/>
    <w:rsid w:val="003F1C35"/>
    <w:rsid w:val="003F6DD8"/>
    <w:rsid w:val="003F7500"/>
    <w:rsid w:val="004012D2"/>
    <w:rsid w:val="00406605"/>
    <w:rsid w:val="004100D2"/>
    <w:rsid w:val="00413988"/>
    <w:rsid w:val="00415552"/>
    <w:rsid w:val="00416247"/>
    <w:rsid w:val="00421E3C"/>
    <w:rsid w:val="0042656A"/>
    <w:rsid w:val="004322F9"/>
    <w:rsid w:val="00432BDA"/>
    <w:rsid w:val="004332E4"/>
    <w:rsid w:val="00435E42"/>
    <w:rsid w:val="004454B4"/>
    <w:rsid w:val="00446698"/>
    <w:rsid w:val="0045214A"/>
    <w:rsid w:val="00452155"/>
    <w:rsid w:val="00453BF3"/>
    <w:rsid w:val="004551B8"/>
    <w:rsid w:val="00462EC5"/>
    <w:rsid w:val="00476E4E"/>
    <w:rsid w:val="00481862"/>
    <w:rsid w:val="00481F4E"/>
    <w:rsid w:val="00484F9A"/>
    <w:rsid w:val="00485E54"/>
    <w:rsid w:val="00486115"/>
    <w:rsid w:val="004904EC"/>
    <w:rsid w:val="004908E4"/>
    <w:rsid w:val="00490925"/>
    <w:rsid w:val="00491A23"/>
    <w:rsid w:val="00493BAB"/>
    <w:rsid w:val="00494D9E"/>
    <w:rsid w:val="004A5E46"/>
    <w:rsid w:val="004B148E"/>
    <w:rsid w:val="004B26B9"/>
    <w:rsid w:val="004B723B"/>
    <w:rsid w:val="004E2126"/>
    <w:rsid w:val="004F12F9"/>
    <w:rsid w:val="004F3035"/>
    <w:rsid w:val="004F4955"/>
    <w:rsid w:val="004F74D4"/>
    <w:rsid w:val="004F7658"/>
    <w:rsid w:val="00506C49"/>
    <w:rsid w:val="005118D3"/>
    <w:rsid w:val="0052075C"/>
    <w:rsid w:val="0052208D"/>
    <w:rsid w:val="0053521E"/>
    <w:rsid w:val="005407C6"/>
    <w:rsid w:val="005414CE"/>
    <w:rsid w:val="005554B7"/>
    <w:rsid w:val="0056185F"/>
    <w:rsid w:val="0056205C"/>
    <w:rsid w:val="00562916"/>
    <w:rsid w:val="0056648F"/>
    <w:rsid w:val="00570BDB"/>
    <w:rsid w:val="00575640"/>
    <w:rsid w:val="00576B2F"/>
    <w:rsid w:val="005847DC"/>
    <w:rsid w:val="00597677"/>
    <w:rsid w:val="005A2A63"/>
    <w:rsid w:val="005A3533"/>
    <w:rsid w:val="005B19DD"/>
    <w:rsid w:val="005C0365"/>
    <w:rsid w:val="005C268E"/>
    <w:rsid w:val="005C274C"/>
    <w:rsid w:val="005C279D"/>
    <w:rsid w:val="005C2EBE"/>
    <w:rsid w:val="005C49F2"/>
    <w:rsid w:val="005D2006"/>
    <w:rsid w:val="005D4053"/>
    <w:rsid w:val="005E58E2"/>
    <w:rsid w:val="005F0382"/>
    <w:rsid w:val="005F433D"/>
    <w:rsid w:val="005F7C64"/>
    <w:rsid w:val="00615F36"/>
    <w:rsid w:val="0062157F"/>
    <w:rsid w:val="006215E5"/>
    <w:rsid w:val="00621A2A"/>
    <w:rsid w:val="006225D3"/>
    <w:rsid w:val="00625DCC"/>
    <w:rsid w:val="00633E3B"/>
    <w:rsid w:val="006342D3"/>
    <w:rsid w:val="0064184B"/>
    <w:rsid w:val="00646CBA"/>
    <w:rsid w:val="00650271"/>
    <w:rsid w:val="006554EC"/>
    <w:rsid w:val="0065583B"/>
    <w:rsid w:val="00660FAC"/>
    <w:rsid w:val="00664E2B"/>
    <w:rsid w:val="006674F6"/>
    <w:rsid w:val="00671E92"/>
    <w:rsid w:val="006757FB"/>
    <w:rsid w:val="006879CD"/>
    <w:rsid w:val="006946DD"/>
    <w:rsid w:val="0069518F"/>
    <w:rsid w:val="006953B9"/>
    <w:rsid w:val="00696E99"/>
    <w:rsid w:val="006A39D2"/>
    <w:rsid w:val="006A4939"/>
    <w:rsid w:val="006B0660"/>
    <w:rsid w:val="006B4021"/>
    <w:rsid w:val="006C2F43"/>
    <w:rsid w:val="006C6E00"/>
    <w:rsid w:val="006D4D16"/>
    <w:rsid w:val="006E2852"/>
    <w:rsid w:val="006E59DE"/>
    <w:rsid w:val="006E6A2E"/>
    <w:rsid w:val="0070204B"/>
    <w:rsid w:val="00707329"/>
    <w:rsid w:val="00710020"/>
    <w:rsid w:val="007107D4"/>
    <w:rsid w:val="00726C9C"/>
    <w:rsid w:val="00737298"/>
    <w:rsid w:val="00742233"/>
    <w:rsid w:val="00750833"/>
    <w:rsid w:val="00762F7F"/>
    <w:rsid w:val="00762FCC"/>
    <w:rsid w:val="00766A87"/>
    <w:rsid w:val="00773B83"/>
    <w:rsid w:val="00780434"/>
    <w:rsid w:val="0078216F"/>
    <w:rsid w:val="007834F1"/>
    <w:rsid w:val="007862D7"/>
    <w:rsid w:val="00791ED3"/>
    <w:rsid w:val="007A3773"/>
    <w:rsid w:val="007B31B6"/>
    <w:rsid w:val="007B4A18"/>
    <w:rsid w:val="007B5348"/>
    <w:rsid w:val="007C5BFF"/>
    <w:rsid w:val="007C7D0F"/>
    <w:rsid w:val="007D0168"/>
    <w:rsid w:val="007D3839"/>
    <w:rsid w:val="007D7AB6"/>
    <w:rsid w:val="007E4601"/>
    <w:rsid w:val="007E709D"/>
    <w:rsid w:val="007E7D90"/>
    <w:rsid w:val="0080546E"/>
    <w:rsid w:val="0080628D"/>
    <w:rsid w:val="00806551"/>
    <w:rsid w:val="00806653"/>
    <w:rsid w:val="00811637"/>
    <w:rsid w:val="00811D8F"/>
    <w:rsid w:val="008211F5"/>
    <w:rsid w:val="00824137"/>
    <w:rsid w:val="00824535"/>
    <w:rsid w:val="00825792"/>
    <w:rsid w:val="00826FAF"/>
    <w:rsid w:val="00832F2F"/>
    <w:rsid w:val="00833650"/>
    <w:rsid w:val="00841EFE"/>
    <w:rsid w:val="008454F8"/>
    <w:rsid w:val="008508D3"/>
    <w:rsid w:val="00861FD5"/>
    <w:rsid w:val="00863CFB"/>
    <w:rsid w:val="00871A31"/>
    <w:rsid w:val="008755F3"/>
    <w:rsid w:val="00876461"/>
    <w:rsid w:val="00880DFB"/>
    <w:rsid w:val="0089205F"/>
    <w:rsid w:val="00892412"/>
    <w:rsid w:val="00895845"/>
    <w:rsid w:val="008A201F"/>
    <w:rsid w:val="008A579D"/>
    <w:rsid w:val="008B051A"/>
    <w:rsid w:val="008B1429"/>
    <w:rsid w:val="008B1DAB"/>
    <w:rsid w:val="008C2612"/>
    <w:rsid w:val="008D1533"/>
    <w:rsid w:val="008D4E1B"/>
    <w:rsid w:val="008E3935"/>
    <w:rsid w:val="008E4D43"/>
    <w:rsid w:val="008F462C"/>
    <w:rsid w:val="008F71B7"/>
    <w:rsid w:val="008F7724"/>
    <w:rsid w:val="00903127"/>
    <w:rsid w:val="009032A8"/>
    <w:rsid w:val="009060DD"/>
    <w:rsid w:val="00916D90"/>
    <w:rsid w:val="009220FC"/>
    <w:rsid w:val="00924A0E"/>
    <w:rsid w:val="009268BC"/>
    <w:rsid w:val="009361CC"/>
    <w:rsid w:val="00936D0B"/>
    <w:rsid w:val="00945026"/>
    <w:rsid w:val="0095350B"/>
    <w:rsid w:val="0095684C"/>
    <w:rsid w:val="009600C7"/>
    <w:rsid w:val="00973179"/>
    <w:rsid w:val="00975969"/>
    <w:rsid w:val="00983A0A"/>
    <w:rsid w:val="009927F7"/>
    <w:rsid w:val="00993862"/>
    <w:rsid w:val="00995134"/>
    <w:rsid w:val="0099522C"/>
    <w:rsid w:val="0099612E"/>
    <w:rsid w:val="009A0DDE"/>
    <w:rsid w:val="009A2C0B"/>
    <w:rsid w:val="009C5D62"/>
    <w:rsid w:val="009C627F"/>
    <w:rsid w:val="009D006D"/>
    <w:rsid w:val="009D0EAE"/>
    <w:rsid w:val="009D115D"/>
    <w:rsid w:val="009D26AA"/>
    <w:rsid w:val="009D55C3"/>
    <w:rsid w:val="009D58B2"/>
    <w:rsid w:val="009D79A1"/>
    <w:rsid w:val="009E18F8"/>
    <w:rsid w:val="009E27A0"/>
    <w:rsid w:val="009E3293"/>
    <w:rsid w:val="009F2B6C"/>
    <w:rsid w:val="00A05191"/>
    <w:rsid w:val="00A075CB"/>
    <w:rsid w:val="00A10990"/>
    <w:rsid w:val="00A1287F"/>
    <w:rsid w:val="00A23747"/>
    <w:rsid w:val="00A23DA4"/>
    <w:rsid w:val="00A305E2"/>
    <w:rsid w:val="00A31F27"/>
    <w:rsid w:val="00A40889"/>
    <w:rsid w:val="00A612CB"/>
    <w:rsid w:val="00A61981"/>
    <w:rsid w:val="00A627E9"/>
    <w:rsid w:val="00A65025"/>
    <w:rsid w:val="00A705D1"/>
    <w:rsid w:val="00A72380"/>
    <w:rsid w:val="00A73F67"/>
    <w:rsid w:val="00A8159C"/>
    <w:rsid w:val="00A87E32"/>
    <w:rsid w:val="00AA0ABD"/>
    <w:rsid w:val="00AA1B6C"/>
    <w:rsid w:val="00AA1FE5"/>
    <w:rsid w:val="00AA3233"/>
    <w:rsid w:val="00AA7260"/>
    <w:rsid w:val="00AB036D"/>
    <w:rsid w:val="00AD638E"/>
    <w:rsid w:val="00AE73B9"/>
    <w:rsid w:val="00B069C7"/>
    <w:rsid w:val="00B11537"/>
    <w:rsid w:val="00B1391D"/>
    <w:rsid w:val="00B14EE9"/>
    <w:rsid w:val="00B1640F"/>
    <w:rsid w:val="00B2166B"/>
    <w:rsid w:val="00B251BB"/>
    <w:rsid w:val="00B30D76"/>
    <w:rsid w:val="00B31A8B"/>
    <w:rsid w:val="00B34E6F"/>
    <w:rsid w:val="00B40CD1"/>
    <w:rsid w:val="00B45123"/>
    <w:rsid w:val="00B63A03"/>
    <w:rsid w:val="00B76927"/>
    <w:rsid w:val="00B83CF3"/>
    <w:rsid w:val="00B95F71"/>
    <w:rsid w:val="00BA3B4A"/>
    <w:rsid w:val="00BA4C49"/>
    <w:rsid w:val="00BA6369"/>
    <w:rsid w:val="00BA6C6E"/>
    <w:rsid w:val="00BA72E8"/>
    <w:rsid w:val="00BA7C13"/>
    <w:rsid w:val="00BB1C37"/>
    <w:rsid w:val="00BB344A"/>
    <w:rsid w:val="00BB5AAB"/>
    <w:rsid w:val="00BB6926"/>
    <w:rsid w:val="00BB6A1F"/>
    <w:rsid w:val="00BC0408"/>
    <w:rsid w:val="00BC5238"/>
    <w:rsid w:val="00BD14DB"/>
    <w:rsid w:val="00BD27E1"/>
    <w:rsid w:val="00BD2A3E"/>
    <w:rsid w:val="00BF34A3"/>
    <w:rsid w:val="00BF3829"/>
    <w:rsid w:val="00C0224F"/>
    <w:rsid w:val="00C03DA7"/>
    <w:rsid w:val="00C05678"/>
    <w:rsid w:val="00C0585D"/>
    <w:rsid w:val="00C05D5A"/>
    <w:rsid w:val="00C156DA"/>
    <w:rsid w:val="00C230D0"/>
    <w:rsid w:val="00C27E3B"/>
    <w:rsid w:val="00C33D3C"/>
    <w:rsid w:val="00C34676"/>
    <w:rsid w:val="00C504C3"/>
    <w:rsid w:val="00C512C7"/>
    <w:rsid w:val="00C52044"/>
    <w:rsid w:val="00C53438"/>
    <w:rsid w:val="00C55E73"/>
    <w:rsid w:val="00C627B1"/>
    <w:rsid w:val="00C631A5"/>
    <w:rsid w:val="00C63D74"/>
    <w:rsid w:val="00C653CE"/>
    <w:rsid w:val="00C65DE3"/>
    <w:rsid w:val="00C766AE"/>
    <w:rsid w:val="00C77097"/>
    <w:rsid w:val="00C80800"/>
    <w:rsid w:val="00C82FF0"/>
    <w:rsid w:val="00C8385E"/>
    <w:rsid w:val="00C929A3"/>
    <w:rsid w:val="00CA3726"/>
    <w:rsid w:val="00CA4982"/>
    <w:rsid w:val="00CB342A"/>
    <w:rsid w:val="00CD2143"/>
    <w:rsid w:val="00CD60D6"/>
    <w:rsid w:val="00CE5E68"/>
    <w:rsid w:val="00CF363E"/>
    <w:rsid w:val="00CF5C5A"/>
    <w:rsid w:val="00CF649E"/>
    <w:rsid w:val="00CF6A4F"/>
    <w:rsid w:val="00D04F32"/>
    <w:rsid w:val="00D07B1D"/>
    <w:rsid w:val="00D1274C"/>
    <w:rsid w:val="00D168D5"/>
    <w:rsid w:val="00D250BF"/>
    <w:rsid w:val="00D26D20"/>
    <w:rsid w:val="00D329E5"/>
    <w:rsid w:val="00D341D9"/>
    <w:rsid w:val="00D36C33"/>
    <w:rsid w:val="00D42522"/>
    <w:rsid w:val="00D46DD0"/>
    <w:rsid w:val="00D52538"/>
    <w:rsid w:val="00D52B7F"/>
    <w:rsid w:val="00D52C3D"/>
    <w:rsid w:val="00D551BE"/>
    <w:rsid w:val="00D57E80"/>
    <w:rsid w:val="00D64662"/>
    <w:rsid w:val="00D73E75"/>
    <w:rsid w:val="00D7508E"/>
    <w:rsid w:val="00D8255D"/>
    <w:rsid w:val="00D83A7B"/>
    <w:rsid w:val="00D860A4"/>
    <w:rsid w:val="00D90B30"/>
    <w:rsid w:val="00D927CB"/>
    <w:rsid w:val="00D92A39"/>
    <w:rsid w:val="00D92D0E"/>
    <w:rsid w:val="00D92FB1"/>
    <w:rsid w:val="00D9538D"/>
    <w:rsid w:val="00DB053A"/>
    <w:rsid w:val="00DB0B7B"/>
    <w:rsid w:val="00DB0CD9"/>
    <w:rsid w:val="00DB0F2D"/>
    <w:rsid w:val="00DB4400"/>
    <w:rsid w:val="00DB58AB"/>
    <w:rsid w:val="00DB64FB"/>
    <w:rsid w:val="00DD2B7D"/>
    <w:rsid w:val="00DD2F80"/>
    <w:rsid w:val="00DD4238"/>
    <w:rsid w:val="00DD5124"/>
    <w:rsid w:val="00DD778E"/>
    <w:rsid w:val="00DF27FF"/>
    <w:rsid w:val="00E07AEA"/>
    <w:rsid w:val="00E11AC4"/>
    <w:rsid w:val="00E1487D"/>
    <w:rsid w:val="00E2062E"/>
    <w:rsid w:val="00E21CB3"/>
    <w:rsid w:val="00E30FE5"/>
    <w:rsid w:val="00E344BA"/>
    <w:rsid w:val="00E37DCE"/>
    <w:rsid w:val="00E40255"/>
    <w:rsid w:val="00E4123B"/>
    <w:rsid w:val="00E46E9F"/>
    <w:rsid w:val="00E5230B"/>
    <w:rsid w:val="00E52AF9"/>
    <w:rsid w:val="00E72FD8"/>
    <w:rsid w:val="00E73146"/>
    <w:rsid w:val="00E802FB"/>
    <w:rsid w:val="00E9077F"/>
    <w:rsid w:val="00EA1915"/>
    <w:rsid w:val="00EB522E"/>
    <w:rsid w:val="00EB5AC5"/>
    <w:rsid w:val="00EB5EDE"/>
    <w:rsid w:val="00EB6D42"/>
    <w:rsid w:val="00EC35E5"/>
    <w:rsid w:val="00EC75F6"/>
    <w:rsid w:val="00EE5D59"/>
    <w:rsid w:val="00EE7E7C"/>
    <w:rsid w:val="00EF01C2"/>
    <w:rsid w:val="00EF0B98"/>
    <w:rsid w:val="00EF2F1D"/>
    <w:rsid w:val="00EF59B4"/>
    <w:rsid w:val="00EF60F8"/>
    <w:rsid w:val="00F04040"/>
    <w:rsid w:val="00F04572"/>
    <w:rsid w:val="00F07011"/>
    <w:rsid w:val="00F10F7D"/>
    <w:rsid w:val="00F118D4"/>
    <w:rsid w:val="00F17C98"/>
    <w:rsid w:val="00F2329B"/>
    <w:rsid w:val="00F27CE6"/>
    <w:rsid w:val="00F27F83"/>
    <w:rsid w:val="00F54D3B"/>
    <w:rsid w:val="00F6711F"/>
    <w:rsid w:val="00F772BC"/>
    <w:rsid w:val="00F80861"/>
    <w:rsid w:val="00F84253"/>
    <w:rsid w:val="00F8621E"/>
    <w:rsid w:val="00F91859"/>
    <w:rsid w:val="00F9466A"/>
    <w:rsid w:val="00FA0DE1"/>
    <w:rsid w:val="00FA7EDD"/>
    <w:rsid w:val="00FB589A"/>
    <w:rsid w:val="00FC04A6"/>
    <w:rsid w:val="00FC10F5"/>
    <w:rsid w:val="00FC18B7"/>
    <w:rsid w:val="00FD1700"/>
    <w:rsid w:val="00FD5763"/>
    <w:rsid w:val="00FE1D7A"/>
    <w:rsid w:val="00FE2954"/>
    <w:rsid w:val="00FF0382"/>
    <w:rsid w:val="00FF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AA660D9"/>
  <w15:docId w15:val="{5EA549DB-59F5-4EE7-8500-7AB0E188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9A1"/>
  </w:style>
  <w:style w:type="paragraph" w:styleId="Heading1">
    <w:name w:val="heading 1"/>
    <w:basedOn w:val="Normal"/>
    <w:next w:val="Normal"/>
    <w:link w:val="Heading1Char"/>
    <w:uiPriority w:val="9"/>
    <w:qFormat/>
    <w:rsid w:val="00BC0408"/>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225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BAD"/>
    <w:pPr>
      <w:ind w:left="720"/>
      <w:contextualSpacing/>
    </w:pPr>
  </w:style>
  <w:style w:type="paragraph" w:styleId="Header">
    <w:name w:val="header"/>
    <w:basedOn w:val="Normal"/>
    <w:link w:val="HeaderChar"/>
    <w:uiPriority w:val="99"/>
    <w:unhideWhenUsed/>
    <w:rsid w:val="00341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BAD"/>
  </w:style>
  <w:style w:type="paragraph" w:styleId="Footer">
    <w:name w:val="footer"/>
    <w:basedOn w:val="Normal"/>
    <w:link w:val="FooterChar"/>
    <w:uiPriority w:val="99"/>
    <w:unhideWhenUsed/>
    <w:rsid w:val="00341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BAD"/>
  </w:style>
  <w:style w:type="paragraph" w:styleId="BalloonText">
    <w:name w:val="Balloon Text"/>
    <w:basedOn w:val="Normal"/>
    <w:link w:val="BalloonTextChar"/>
    <w:uiPriority w:val="99"/>
    <w:semiHidden/>
    <w:unhideWhenUsed/>
    <w:rsid w:val="00341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AD"/>
    <w:rPr>
      <w:rFonts w:ascii="Tahoma" w:hAnsi="Tahoma" w:cs="Tahoma"/>
      <w:sz w:val="16"/>
      <w:szCs w:val="16"/>
    </w:rPr>
  </w:style>
  <w:style w:type="paragraph" w:styleId="NoSpacing">
    <w:name w:val="No Spacing"/>
    <w:link w:val="NoSpacingChar"/>
    <w:uiPriority w:val="1"/>
    <w:qFormat/>
    <w:rsid w:val="00341BA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41BAD"/>
    <w:rPr>
      <w:rFonts w:eastAsiaTheme="minorEastAsia"/>
      <w:lang w:val="en-US" w:eastAsia="ja-JP"/>
    </w:rPr>
  </w:style>
  <w:style w:type="table" w:styleId="TableGrid">
    <w:name w:val="Table Grid"/>
    <w:basedOn w:val="TableNormal"/>
    <w:rsid w:val="00625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52C3D"/>
    <w:rPr>
      <w:i/>
      <w:iCs/>
    </w:rPr>
  </w:style>
  <w:style w:type="character" w:styleId="Hyperlink">
    <w:name w:val="Hyperlink"/>
    <w:basedOn w:val="DefaultParagraphFont"/>
    <w:uiPriority w:val="99"/>
    <w:unhideWhenUsed/>
    <w:rsid w:val="00F91859"/>
    <w:rPr>
      <w:color w:val="0000FF" w:themeColor="hyperlink"/>
      <w:u w:val="single"/>
    </w:rPr>
  </w:style>
  <w:style w:type="table" w:styleId="LightShading-Accent4">
    <w:name w:val="Light Shading Accent 4"/>
    <w:basedOn w:val="TableNormal"/>
    <w:uiPriority w:val="60"/>
    <w:rsid w:val="00762FC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UnresolvedMention">
    <w:name w:val="Unresolved Mention"/>
    <w:basedOn w:val="DefaultParagraphFont"/>
    <w:uiPriority w:val="99"/>
    <w:semiHidden/>
    <w:unhideWhenUsed/>
    <w:rsid w:val="009220FC"/>
    <w:rPr>
      <w:color w:val="605E5C"/>
      <w:shd w:val="clear" w:color="auto" w:fill="E1DFDD"/>
    </w:rPr>
  </w:style>
  <w:style w:type="character" w:styleId="FollowedHyperlink">
    <w:name w:val="FollowedHyperlink"/>
    <w:basedOn w:val="DefaultParagraphFont"/>
    <w:uiPriority w:val="99"/>
    <w:semiHidden/>
    <w:unhideWhenUsed/>
    <w:rsid w:val="00833650"/>
    <w:rPr>
      <w:color w:val="800080" w:themeColor="followedHyperlink"/>
      <w:u w:val="single"/>
    </w:rPr>
  </w:style>
  <w:style w:type="character" w:customStyle="1" w:styleId="Heading1Char">
    <w:name w:val="Heading 1 Char"/>
    <w:basedOn w:val="DefaultParagraphFont"/>
    <w:link w:val="Heading1"/>
    <w:uiPriority w:val="9"/>
    <w:rsid w:val="00BC0408"/>
    <w:rPr>
      <w:rFonts w:asciiTheme="majorHAnsi" w:eastAsiaTheme="majorEastAsia" w:hAnsiTheme="majorHAnsi" w:cstheme="majorBidi"/>
      <w:sz w:val="32"/>
      <w:szCs w:val="32"/>
    </w:rPr>
  </w:style>
  <w:style w:type="paragraph" w:styleId="Subtitle">
    <w:name w:val="Subtitle"/>
    <w:basedOn w:val="Normal"/>
    <w:next w:val="Normal"/>
    <w:link w:val="SubtitleChar"/>
    <w:uiPriority w:val="11"/>
    <w:qFormat/>
    <w:rsid w:val="006757F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757FB"/>
    <w:rPr>
      <w:rFonts w:eastAsiaTheme="minorEastAsia"/>
      <w:color w:val="5A5A5A" w:themeColor="text1" w:themeTint="A5"/>
      <w:spacing w:val="15"/>
    </w:rPr>
  </w:style>
  <w:style w:type="paragraph" w:customStyle="1" w:styleId="Default">
    <w:name w:val="Default"/>
    <w:rsid w:val="005E58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332E4"/>
    <w:rPr>
      <w:sz w:val="16"/>
      <w:szCs w:val="16"/>
    </w:rPr>
  </w:style>
  <w:style w:type="paragraph" w:styleId="CommentText">
    <w:name w:val="annotation text"/>
    <w:basedOn w:val="Normal"/>
    <w:link w:val="CommentTextChar"/>
    <w:uiPriority w:val="99"/>
    <w:semiHidden/>
    <w:unhideWhenUsed/>
    <w:rsid w:val="004332E4"/>
    <w:pPr>
      <w:spacing w:line="240" w:lineRule="auto"/>
    </w:pPr>
    <w:rPr>
      <w:sz w:val="20"/>
      <w:szCs w:val="20"/>
    </w:rPr>
  </w:style>
  <w:style w:type="character" w:customStyle="1" w:styleId="CommentTextChar">
    <w:name w:val="Comment Text Char"/>
    <w:basedOn w:val="DefaultParagraphFont"/>
    <w:link w:val="CommentText"/>
    <w:uiPriority w:val="99"/>
    <w:semiHidden/>
    <w:rsid w:val="004332E4"/>
    <w:rPr>
      <w:sz w:val="20"/>
      <w:szCs w:val="20"/>
    </w:rPr>
  </w:style>
  <w:style w:type="paragraph" w:styleId="CommentSubject">
    <w:name w:val="annotation subject"/>
    <w:basedOn w:val="CommentText"/>
    <w:next w:val="CommentText"/>
    <w:link w:val="CommentSubjectChar"/>
    <w:uiPriority w:val="99"/>
    <w:semiHidden/>
    <w:unhideWhenUsed/>
    <w:rsid w:val="004332E4"/>
    <w:rPr>
      <w:b/>
      <w:bCs/>
    </w:rPr>
  </w:style>
  <w:style w:type="character" w:customStyle="1" w:styleId="CommentSubjectChar">
    <w:name w:val="Comment Subject Char"/>
    <w:basedOn w:val="CommentTextChar"/>
    <w:link w:val="CommentSubject"/>
    <w:uiPriority w:val="99"/>
    <w:semiHidden/>
    <w:rsid w:val="004332E4"/>
    <w:rPr>
      <w:b/>
      <w:bCs/>
      <w:sz w:val="20"/>
      <w:szCs w:val="20"/>
    </w:rPr>
  </w:style>
  <w:style w:type="character" w:customStyle="1" w:styleId="Heading2Char">
    <w:name w:val="Heading 2 Char"/>
    <w:basedOn w:val="DefaultParagraphFont"/>
    <w:link w:val="Heading2"/>
    <w:uiPriority w:val="9"/>
    <w:semiHidden/>
    <w:rsid w:val="006225D3"/>
    <w:rPr>
      <w:rFonts w:asciiTheme="majorHAnsi" w:eastAsiaTheme="majorEastAsia" w:hAnsiTheme="majorHAnsi" w:cstheme="majorBidi"/>
      <w:color w:val="365F91" w:themeColor="accent1" w:themeShade="BF"/>
      <w:sz w:val="26"/>
      <w:szCs w:val="26"/>
    </w:rPr>
  </w:style>
  <w:style w:type="table" w:styleId="PlainTable1">
    <w:name w:val="Plain Table 1"/>
    <w:basedOn w:val="TableNormal"/>
    <w:uiPriority w:val="41"/>
    <w:rsid w:val="00FD57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BC04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40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82461">
      <w:bodyDiv w:val="1"/>
      <w:marLeft w:val="0"/>
      <w:marRight w:val="0"/>
      <w:marTop w:val="0"/>
      <w:marBottom w:val="0"/>
      <w:divBdr>
        <w:top w:val="none" w:sz="0" w:space="0" w:color="auto"/>
        <w:left w:val="none" w:sz="0" w:space="0" w:color="auto"/>
        <w:bottom w:val="none" w:sz="0" w:space="0" w:color="auto"/>
        <w:right w:val="none" w:sz="0" w:space="0" w:color="auto"/>
      </w:divBdr>
    </w:div>
    <w:div w:id="17693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risk-assessments-for-your-environmental-perm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2022-09-08T23:00:00+00:00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epr-cp3430wv</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Samworth Brothers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2022-09-08T23:00:00+00:00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EPR/CP3430WV/A001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LE4 1WX</FacilityAddressPostcode>
    <TaxCatchAll xmlns="662745e8-e224-48e8-a2e3-254862b8c2f5">
      <Value>181</Value>
      <Value>12</Value>
      <Value>10</Value>
      <Value>9</Value>
      <Value>38</Value>
    </TaxCatchAll>
    <ExternalAuthor xmlns="eebef177-55b5-4448-a5fb-28ea454417ee">Samworth Bakery</ExternalAuthor>
    <SiteName xmlns="eebef177-55b5-4448-a5fb-28ea454417ee">Samworth Brothers  Madeline Road</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f2b7f3ca-46f3-45f8-8338-025c3a7cf089">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Madeline Road  Beaumont Leys  Leicester  Leicestershire  LE4 1WX</FacilityAddres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5" ma:contentTypeDescription="Create a new document." ma:contentTypeScope="" ma:versionID="75dde228456aa9e70f1655277954dc7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8fa4c989f269bd412d9f26917a8e9c44"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BD496-8CD6-4FCD-BB86-BD92E60C3A4E}">
  <ds:schemaRefs>
    <ds:schemaRef ds:uri="http://schemas.openxmlformats.org/officeDocument/2006/bibliography"/>
  </ds:schemaRefs>
</ds:datastoreItem>
</file>

<file path=customXml/itemProps2.xml><?xml version="1.0" encoding="utf-8"?>
<ds:datastoreItem xmlns:ds="http://schemas.openxmlformats.org/officeDocument/2006/customXml" ds:itemID="{95AF65EF-F2FA-4270-BD63-1E387893F5DE}">
  <ds:schemaRefs>
    <ds:schemaRef ds:uri="http://schemas.microsoft.com/office/2006/metadata/properties"/>
    <ds:schemaRef ds:uri="http://schemas.microsoft.com/office/infopath/2007/PartnerControls"/>
    <ds:schemaRef ds:uri="b067494f-865f-43a3-ad98-3e38a69308b6"/>
    <ds:schemaRef ds:uri="5b1b19a9-c210-4499-8b03-6e5241f3bc02"/>
  </ds:schemaRefs>
</ds:datastoreItem>
</file>

<file path=customXml/itemProps3.xml><?xml version="1.0" encoding="utf-8"?>
<ds:datastoreItem xmlns:ds="http://schemas.openxmlformats.org/officeDocument/2006/customXml" ds:itemID="{55A618B2-AF0A-43A6-A1AD-C9051CBAB94E}">
  <ds:schemaRefs>
    <ds:schemaRef ds:uri="http://schemas.microsoft.com/sharepoint/v3/contenttype/forms"/>
  </ds:schemaRefs>
</ds:datastoreItem>
</file>

<file path=customXml/itemProps4.xml><?xml version="1.0" encoding="utf-8"?>
<ds:datastoreItem xmlns:ds="http://schemas.openxmlformats.org/officeDocument/2006/customXml" ds:itemID="{641019A6-221A-4689-82D6-1FC934E9A2D0}"/>
</file>

<file path=docProps/app.xml><?xml version="1.0" encoding="utf-8"?>
<Properties xmlns="http://schemas.openxmlformats.org/officeDocument/2006/extended-properties" xmlns:vt="http://schemas.openxmlformats.org/officeDocument/2006/docPropsVTypes">
  <Template>Normal</Template>
  <TotalTime>478</TotalTime>
  <Pages>6</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Carlin</dc:creator>
  <cp:lastModifiedBy>James Cobb</cp:lastModifiedBy>
  <cp:revision>4</cp:revision>
  <cp:lastPrinted>2019-01-16T08:52:00Z</cp:lastPrinted>
  <dcterms:created xsi:type="dcterms:W3CDTF">2022-08-31T07:07:00Z</dcterms:created>
  <dcterms:modified xsi:type="dcterms:W3CDTF">2022-09-05T10:36:00Z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0x0101000E9AD557692E154F9D2697C8C6432F76006D4D92D51675A442A00CEFF055B17D24</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