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2077BD50"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967050">
        <w:rPr>
          <w:rFonts w:ascii="Arial" w:hAnsi="Arial" w:cs="Arial"/>
          <w:sz w:val="24"/>
          <w:szCs w:val="24"/>
        </w:rPr>
        <w:t>Hill House</w:t>
      </w:r>
      <w:r w:rsidR="004344A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C" w14:textId="64868ACD"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967050">
        <w:rPr>
          <w:rFonts w:ascii="Arial" w:hAnsi="Arial" w:cs="Arial"/>
          <w:sz w:val="24"/>
          <w:szCs w:val="24"/>
        </w:rPr>
        <w:t>Hill House</w:t>
      </w:r>
      <w:r w:rsidR="00EF591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03326B19"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967050">
        <w:rPr>
          <w:rFonts w:ascii="Arial" w:hAnsi="Arial" w:cs="Arial"/>
          <w:sz w:val="24"/>
          <w:szCs w:val="24"/>
        </w:rPr>
        <w:t>Hill House Farm</w:t>
      </w:r>
      <w:r w:rsidR="00B31599">
        <w:rPr>
          <w:rFonts w:ascii="Arial" w:hAnsi="Arial" w:cs="Arial"/>
          <w:sz w:val="24"/>
          <w:szCs w:val="24"/>
        </w:rPr>
        <w:t xml:space="preserve"> Poultry Unit</w:t>
      </w:r>
      <w:r>
        <w:rPr>
          <w:rFonts w:ascii="Arial" w:hAnsi="Arial" w:cs="Arial"/>
          <w:sz w:val="24"/>
          <w:szCs w:val="24"/>
        </w:rPr>
        <w:t xml:space="preserve">, </w:t>
      </w:r>
      <w:r w:rsidR="00967050">
        <w:rPr>
          <w:rFonts w:ascii="Arial" w:hAnsi="Arial" w:cs="Arial"/>
          <w:sz w:val="24"/>
          <w:szCs w:val="24"/>
        </w:rPr>
        <w:t>medium</w:t>
      </w:r>
      <w:r>
        <w:rPr>
          <w:rFonts w:ascii="Arial" w:hAnsi="Arial" w:cs="Arial"/>
          <w:sz w:val="24"/>
          <w:szCs w:val="24"/>
        </w:rPr>
        <w:t xml:space="preserve">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97"/>
        <w:gridCol w:w="2165"/>
        <w:gridCol w:w="2388"/>
        <w:gridCol w:w="2883"/>
      </w:tblGrid>
      <w:tr w:rsidR="00692E59" w14:paraId="5B2D88C5" w14:textId="77777777" w:rsidTr="00F836A9">
        <w:tc>
          <w:tcPr>
            <w:tcW w:w="2335"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097"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65"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883"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F836A9" w14:paraId="7FE4AD75" w14:textId="77777777" w:rsidTr="00F836A9">
        <w:tc>
          <w:tcPr>
            <w:tcW w:w="2335" w:type="dxa"/>
            <w:shd w:val="clear" w:color="auto" w:fill="auto"/>
          </w:tcPr>
          <w:p w14:paraId="7CE4C288" w14:textId="430B9F85" w:rsidR="00F836A9" w:rsidRPr="00C13728" w:rsidRDefault="00F836A9" w:rsidP="00F836A9">
            <w:pPr>
              <w:pStyle w:val="BlockText"/>
              <w:ind w:left="0"/>
              <w:rPr>
                <w:rFonts w:ascii="Arial" w:hAnsi="Arial" w:cs="Arial"/>
              </w:rPr>
            </w:pPr>
            <w:r>
              <w:rPr>
                <w:rFonts w:ascii="Arial" w:hAnsi="Arial" w:cs="Arial"/>
              </w:rPr>
              <w:t>Heathfield House</w:t>
            </w:r>
          </w:p>
        </w:tc>
        <w:tc>
          <w:tcPr>
            <w:tcW w:w="3097" w:type="dxa"/>
            <w:shd w:val="clear" w:color="auto" w:fill="auto"/>
          </w:tcPr>
          <w:p w14:paraId="6F07DADB" w14:textId="2A936D35" w:rsidR="00F836A9" w:rsidRPr="00C13728" w:rsidRDefault="00F836A9" w:rsidP="00F836A9">
            <w:pPr>
              <w:pStyle w:val="BlockText"/>
              <w:ind w:left="0"/>
              <w:rPr>
                <w:rFonts w:ascii="Arial" w:hAnsi="Arial" w:cs="Arial"/>
              </w:rPr>
            </w:pPr>
            <w:r>
              <w:rPr>
                <w:rFonts w:ascii="Arial" w:hAnsi="Arial" w:cs="Arial"/>
              </w:rPr>
              <w:t>Residential</w:t>
            </w:r>
          </w:p>
        </w:tc>
        <w:tc>
          <w:tcPr>
            <w:tcW w:w="2165" w:type="dxa"/>
            <w:shd w:val="clear" w:color="auto" w:fill="auto"/>
          </w:tcPr>
          <w:p w14:paraId="1B6402B7" w14:textId="1F758458" w:rsidR="00F836A9" w:rsidRPr="00C13728" w:rsidRDefault="00F836A9" w:rsidP="00F836A9">
            <w:pPr>
              <w:pStyle w:val="BlockText"/>
              <w:ind w:left="0"/>
              <w:rPr>
                <w:rFonts w:ascii="Arial" w:hAnsi="Arial" w:cs="Arial"/>
              </w:rPr>
            </w:pPr>
            <w:r>
              <w:rPr>
                <w:rFonts w:ascii="Arial" w:hAnsi="Arial" w:cs="Arial"/>
              </w:rPr>
              <w:t>365m</w:t>
            </w:r>
          </w:p>
        </w:tc>
        <w:tc>
          <w:tcPr>
            <w:tcW w:w="2388" w:type="dxa"/>
            <w:shd w:val="clear" w:color="auto" w:fill="auto"/>
          </w:tcPr>
          <w:p w14:paraId="66C8E365" w14:textId="3C8886BE" w:rsidR="00F836A9" w:rsidRPr="00C13728" w:rsidRDefault="00F836A9" w:rsidP="00F836A9">
            <w:pPr>
              <w:pStyle w:val="BlockText"/>
              <w:ind w:left="0"/>
              <w:rPr>
                <w:rFonts w:ascii="Arial" w:hAnsi="Arial" w:cs="Arial"/>
              </w:rPr>
            </w:pPr>
            <w:r>
              <w:rPr>
                <w:rFonts w:ascii="Arial" w:hAnsi="Arial" w:cs="Arial"/>
              </w:rPr>
              <w:t>SE</w:t>
            </w:r>
          </w:p>
        </w:tc>
        <w:tc>
          <w:tcPr>
            <w:tcW w:w="2883" w:type="dxa"/>
            <w:shd w:val="clear" w:color="auto" w:fill="auto"/>
          </w:tcPr>
          <w:p w14:paraId="43C88D61" w14:textId="66ACF944" w:rsidR="00F836A9" w:rsidRPr="00C13728" w:rsidRDefault="00F836A9" w:rsidP="00F836A9">
            <w:pPr>
              <w:pStyle w:val="BlockText"/>
              <w:ind w:left="0"/>
              <w:rPr>
                <w:rFonts w:ascii="Arial" w:hAnsi="Arial" w:cs="Arial"/>
              </w:rPr>
            </w:pPr>
            <w:r>
              <w:rPr>
                <w:rFonts w:ascii="Arial" w:hAnsi="Arial" w:cs="Arial"/>
              </w:rPr>
              <w:t>369346,236259</w:t>
            </w:r>
          </w:p>
        </w:tc>
      </w:tr>
      <w:tr w:rsidR="00F836A9" w14:paraId="44DB60AB" w14:textId="77777777" w:rsidTr="00F836A9">
        <w:tc>
          <w:tcPr>
            <w:tcW w:w="2335" w:type="dxa"/>
            <w:shd w:val="clear" w:color="auto" w:fill="auto"/>
          </w:tcPr>
          <w:p w14:paraId="02DF5EF0" w14:textId="7AC85950" w:rsidR="00F836A9" w:rsidRPr="00C13728" w:rsidRDefault="00F836A9" w:rsidP="00F836A9">
            <w:pPr>
              <w:pStyle w:val="BlockText"/>
              <w:ind w:left="0"/>
              <w:rPr>
                <w:rFonts w:ascii="Arial" w:hAnsi="Arial" w:cs="Arial"/>
              </w:rPr>
            </w:pPr>
            <w:r>
              <w:rPr>
                <w:rFonts w:ascii="Arial" w:hAnsi="Arial" w:cs="Arial"/>
              </w:rPr>
              <w:t>Dwelling</w:t>
            </w:r>
          </w:p>
        </w:tc>
        <w:tc>
          <w:tcPr>
            <w:tcW w:w="3097" w:type="dxa"/>
            <w:shd w:val="clear" w:color="auto" w:fill="auto"/>
          </w:tcPr>
          <w:p w14:paraId="4E49D35C" w14:textId="62203C69" w:rsidR="00F836A9" w:rsidRPr="00C13728" w:rsidRDefault="00F836A9" w:rsidP="00F836A9">
            <w:pPr>
              <w:pStyle w:val="BlockText"/>
              <w:ind w:left="0"/>
              <w:rPr>
                <w:rFonts w:ascii="Arial" w:hAnsi="Arial" w:cs="Arial"/>
              </w:rPr>
            </w:pPr>
            <w:r>
              <w:rPr>
                <w:rFonts w:ascii="Arial" w:hAnsi="Arial" w:cs="Arial"/>
              </w:rPr>
              <w:t>Residential</w:t>
            </w:r>
          </w:p>
        </w:tc>
        <w:tc>
          <w:tcPr>
            <w:tcW w:w="2165" w:type="dxa"/>
            <w:shd w:val="clear" w:color="auto" w:fill="auto"/>
          </w:tcPr>
          <w:p w14:paraId="013E56C8" w14:textId="533319D5" w:rsidR="00F836A9" w:rsidRPr="00C13728" w:rsidRDefault="00F836A9" w:rsidP="00F836A9">
            <w:pPr>
              <w:pStyle w:val="BlockText"/>
              <w:ind w:left="0"/>
              <w:rPr>
                <w:rFonts w:ascii="Arial" w:hAnsi="Arial" w:cs="Arial"/>
              </w:rPr>
            </w:pPr>
            <w:r>
              <w:rPr>
                <w:rFonts w:ascii="Arial" w:hAnsi="Arial" w:cs="Arial"/>
              </w:rPr>
              <w:t>374m</w:t>
            </w:r>
          </w:p>
        </w:tc>
        <w:tc>
          <w:tcPr>
            <w:tcW w:w="2388" w:type="dxa"/>
            <w:shd w:val="clear" w:color="auto" w:fill="auto"/>
          </w:tcPr>
          <w:p w14:paraId="4F93DF6B" w14:textId="540A9DED" w:rsidR="00F836A9" w:rsidRPr="00C13728" w:rsidRDefault="00F836A9" w:rsidP="00F836A9">
            <w:pPr>
              <w:pStyle w:val="BlockText"/>
              <w:ind w:left="0"/>
              <w:rPr>
                <w:rFonts w:ascii="Arial" w:hAnsi="Arial" w:cs="Arial"/>
              </w:rPr>
            </w:pPr>
            <w:r>
              <w:rPr>
                <w:rFonts w:ascii="Arial" w:hAnsi="Arial" w:cs="Arial"/>
              </w:rPr>
              <w:t>SE</w:t>
            </w:r>
          </w:p>
        </w:tc>
        <w:tc>
          <w:tcPr>
            <w:tcW w:w="2883" w:type="dxa"/>
            <w:shd w:val="clear" w:color="auto" w:fill="auto"/>
          </w:tcPr>
          <w:p w14:paraId="76EEDE84" w14:textId="224FAE83" w:rsidR="00F836A9" w:rsidRPr="00C13728" w:rsidRDefault="00F836A9" w:rsidP="00F836A9">
            <w:pPr>
              <w:pStyle w:val="BlockText"/>
              <w:ind w:left="0"/>
              <w:rPr>
                <w:rFonts w:ascii="Arial" w:hAnsi="Arial" w:cs="Arial"/>
              </w:rPr>
            </w:pPr>
            <w:r>
              <w:rPr>
                <w:rFonts w:ascii="Arial" w:hAnsi="Arial" w:cs="Arial"/>
              </w:rPr>
              <w:t>369402,236333</w:t>
            </w:r>
          </w:p>
        </w:tc>
      </w:tr>
      <w:tr w:rsidR="00F836A9" w14:paraId="07587142" w14:textId="77777777" w:rsidTr="00F836A9">
        <w:tc>
          <w:tcPr>
            <w:tcW w:w="2335" w:type="dxa"/>
            <w:shd w:val="clear" w:color="auto" w:fill="auto"/>
          </w:tcPr>
          <w:p w14:paraId="2F185D8F" w14:textId="65E69D32" w:rsidR="00F836A9" w:rsidRPr="00C13728" w:rsidRDefault="00F836A9" w:rsidP="00F836A9">
            <w:pPr>
              <w:pStyle w:val="BlockText"/>
              <w:ind w:left="0"/>
              <w:rPr>
                <w:rFonts w:ascii="Arial" w:hAnsi="Arial" w:cs="Arial"/>
              </w:rPr>
            </w:pPr>
            <w:r>
              <w:rPr>
                <w:rFonts w:ascii="Arial" w:hAnsi="Arial" w:cs="Arial"/>
              </w:rPr>
              <w:t>Dwelling</w:t>
            </w:r>
          </w:p>
        </w:tc>
        <w:tc>
          <w:tcPr>
            <w:tcW w:w="3097" w:type="dxa"/>
            <w:shd w:val="clear" w:color="auto" w:fill="auto"/>
          </w:tcPr>
          <w:p w14:paraId="54C9FDD5" w14:textId="5B297D8D" w:rsidR="00F836A9" w:rsidRPr="00C13728" w:rsidRDefault="00F836A9" w:rsidP="00F836A9">
            <w:pPr>
              <w:pStyle w:val="BlockText"/>
              <w:ind w:left="0"/>
              <w:rPr>
                <w:rFonts w:ascii="Arial" w:hAnsi="Arial" w:cs="Arial"/>
              </w:rPr>
            </w:pPr>
            <w:r>
              <w:rPr>
                <w:rFonts w:ascii="Arial" w:hAnsi="Arial" w:cs="Arial"/>
              </w:rPr>
              <w:t>Residential</w:t>
            </w:r>
          </w:p>
        </w:tc>
        <w:tc>
          <w:tcPr>
            <w:tcW w:w="2165" w:type="dxa"/>
            <w:shd w:val="clear" w:color="auto" w:fill="auto"/>
          </w:tcPr>
          <w:p w14:paraId="641BA7C6" w14:textId="61C263C3" w:rsidR="00F836A9" w:rsidRPr="00C13728" w:rsidRDefault="00F836A9" w:rsidP="00F836A9">
            <w:pPr>
              <w:pStyle w:val="BlockText"/>
              <w:ind w:left="0"/>
              <w:rPr>
                <w:rFonts w:ascii="Arial" w:hAnsi="Arial" w:cs="Arial"/>
              </w:rPr>
            </w:pPr>
            <w:r>
              <w:rPr>
                <w:rFonts w:ascii="Arial" w:hAnsi="Arial" w:cs="Arial"/>
              </w:rPr>
              <w:t>270m</w:t>
            </w:r>
          </w:p>
        </w:tc>
        <w:tc>
          <w:tcPr>
            <w:tcW w:w="2388" w:type="dxa"/>
            <w:shd w:val="clear" w:color="auto" w:fill="auto"/>
          </w:tcPr>
          <w:p w14:paraId="14003724" w14:textId="797A0C00" w:rsidR="00F836A9" w:rsidRPr="00C13728" w:rsidRDefault="00F836A9" w:rsidP="00F836A9">
            <w:pPr>
              <w:pStyle w:val="BlockText"/>
              <w:ind w:left="0"/>
              <w:rPr>
                <w:rFonts w:ascii="Arial" w:hAnsi="Arial" w:cs="Arial"/>
              </w:rPr>
            </w:pPr>
            <w:r>
              <w:rPr>
                <w:rFonts w:ascii="Arial" w:hAnsi="Arial" w:cs="Arial"/>
              </w:rPr>
              <w:t>S</w:t>
            </w:r>
          </w:p>
        </w:tc>
        <w:tc>
          <w:tcPr>
            <w:tcW w:w="2883" w:type="dxa"/>
            <w:shd w:val="clear" w:color="auto" w:fill="auto"/>
          </w:tcPr>
          <w:p w14:paraId="67501C3E" w14:textId="5A2B45DF" w:rsidR="00F836A9" w:rsidRPr="00C13728" w:rsidRDefault="00F836A9" w:rsidP="00F836A9">
            <w:pPr>
              <w:pStyle w:val="BlockText"/>
              <w:ind w:left="0"/>
              <w:rPr>
                <w:rFonts w:ascii="Arial" w:hAnsi="Arial" w:cs="Arial"/>
              </w:rPr>
            </w:pPr>
            <w:r>
              <w:rPr>
                <w:rFonts w:ascii="Arial" w:hAnsi="Arial" w:cs="Arial"/>
              </w:rPr>
              <w:t>369109,236190</w:t>
            </w:r>
          </w:p>
        </w:tc>
      </w:tr>
      <w:tr w:rsidR="00F836A9" w14:paraId="11A4F536" w14:textId="77777777" w:rsidTr="00F836A9">
        <w:tc>
          <w:tcPr>
            <w:tcW w:w="2335" w:type="dxa"/>
            <w:shd w:val="clear" w:color="auto" w:fill="auto"/>
          </w:tcPr>
          <w:p w14:paraId="66FDB8AE" w14:textId="49246F2D" w:rsidR="00F836A9" w:rsidRDefault="00F836A9" w:rsidP="00F836A9">
            <w:pPr>
              <w:pStyle w:val="BlockText"/>
              <w:ind w:left="0"/>
            </w:pPr>
            <w:r>
              <w:rPr>
                <w:rFonts w:ascii="Arial" w:hAnsi="Arial" w:cs="Arial"/>
              </w:rPr>
              <w:t>Dwelling</w:t>
            </w:r>
          </w:p>
        </w:tc>
        <w:tc>
          <w:tcPr>
            <w:tcW w:w="3097" w:type="dxa"/>
            <w:shd w:val="clear" w:color="auto" w:fill="auto"/>
          </w:tcPr>
          <w:p w14:paraId="2EA2E4E5" w14:textId="15C9F228" w:rsidR="00F836A9" w:rsidRDefault="00F836A9" w:rsidP="00F836A9">
            <w:pPr>
              <w:pStyle w:val="BlockText"/>
              <w:ind w:left="0"/>
            </w:pPr>
            <w:r>
              <w:rPr>
                <w:rFonts w:ascii="Arial" w:hAnsi="Arial" w:cs="Arial"/>
              </w:rPr>
              <w:t>Residential</w:t>
            </w:r>
          </w:p>
        </w:tc>
        <w:tc>
          <w:tcPr>
            <w:tcW w:w="2165" w:type="dxa"/>
            <w:shd w:val="clear" w:color="auto" w:fill="auto"/>
          </w:tcPr>
          <w:p w14:paraId="3A33FE6F" w14:textId="7F5BB614" w:rsidR="00F836A9" w:rsidRDefault="00F836A9" w:rsidP="00F836A9">
            <w:pPr>
              <w:pStyle w:val="BlockText"/>
              <w:ind w:left="0"/>
            </w:pPr>
            <w:r>
              <w:t>319m</w:t>
            </w:r>
          </w:p>
        </w:tc>
        <w:tc>
          <w:tcPr>
            <w:tcW w:w="2388" w:type="dxa"/>
            <w:shd w:val="clear" w:color="auto" w:fill="auto"/>
          </w:tcPr>
          <w:p w14:paraId="77B4A89C" w14:textId="7C651D64" w:rsidR="00F836A9" w:rsidRDefault="00F836A9" w:rsidP="00F836A9">
            <w:pPr>
              <w:pStyle w:val="BlockText"/>
              <w:ind w:left="0"/>
            </w:pPr>
            <w:r>
              <w:t>NW</w:t>
            </w:r>
          </w:p>
        </w:tc>
        <w:tc>
          <w:tcPr>
            <w:tcW w:w="2883" w:type="dxa"/>
            <w:shd w:val="clear" w:color="auto" w:fill="auto"/>
          </w:tcPr>
          <w:p w14:paraId="68B56307" w14:textId="4E25768B" w:rsidR="00F836A9" w:rsidRDefault="00F836A9" w:rsidP="00F836A9">
            <w:pPr>
              <w:pStyle w:val="BlockText"/>
              <w:ind w:left="0"/>
            </w:pPr>
            <w:r w:rsidRPr="001256E6">
              <w:rPr>
                <w:rFonts w:ascii="Arial" w:hAnsi="Arial" w:cs="Arial"/>
              </w:rPr>
              <w:t>368770,236780</w:t>
            </w:r>
          </w:p>
        </w:tc>
      </w:tr>
      <w:tr w:rsidR="00F836A9" w14:paraId="0D4C62F2" w14:textId="77777777" w:rsidTr="00F836A9">
        <w:tc>
          <w:tcPr>
            <w:tcW w:w="2335" w:type="dxa"/>
            <w:shd w:val="clear" w:color="auto" w:fill="auto"/>
          </w:tcPr>
          <w:p w14:paraId="005FE127" w14:textId="0E419E06" w:rsidR="00F836A9" w:rsidRDefault="00F836A9" w:rsidP="00F836A9">
            <w:pPr>
              <w:pStyle w:val="BlockText"/>
              <w:ind w:left="0"/>
            </w:pPr>
            <w:r>
              <w:rPr>
                <w:rFonts w:ascii="Arial" w:hAnsi="Arial" w:cs="Arial"/>
              </w:rPr>
              <w:t>Dwelling</w:t>
            </w:r>
          </w:p>
        </w:tc>
        <w:tc>
          <w:tcPr>
            <w:tcW w:w="3097" w:type="dxa"/>
            <w:shd w:val="clear" w:color="auto" w:fill="auto"/>
          </w:tcPr>
          <w:p w14:paraId="794D420C" w14:textId="0657F266" w:rsidR="00F836A9" w:rsidRDefault="00F836A9" w:rsidP="00F836A9">
            <w:pPr>
              <w:pStyle w:val="BlockText"/>
              <w:ind w:left="0"/>
            </w:pPr>
            <w:r>
              <w:rPr>
                <w:rFonts w:ascii="Arial" w:hAnsi="Arial" w:cs="Arial"/>
              </w:rPr>
              <w:t>Residential</w:t>
            </w:r>
          </w:p>
        </w:tc>
        <w:tc>
          <w:tcPr>
            <w:tcW w:w="2165" w:type="dxa"/>
            <w:shd w:val="clear" w:color="auto" w:fill="auto"/>
          </w:tcPr>
          <w:p w14:paraId="23EBBEFF" w14:textId="76FAD897" w:rsidR="00F836A9" w:rsidRDefault="00F836A9" w:rsidP="00F836A9">
            <w:pPr>
              <w:pStyle w:val="BlockText"/>
              <w:ind w:left="0"/>
            </w:pPr>
            <w:r>
              <w:t>302m</w:t>
            </w:r>
          </w:p>
        </w:tc>
        <w:tc>
          <w:tcPr>
            <w:tcW w:w="2388" w:type="dxa"/>
            <w:shd w:val="clear" w:color="auto" w:fill="auto"/>
          </w:tcPr>
          <w:p w14:paraId="260B0F6F" w14:textId="10541923" w:rsidR="00F836A9" w:rsidRDefault="00F836A9" w:rsidP="00F836A9">
            <w:pPr>
              <w:pStyle w:val="BlockText"/>
              <w:ind w:left="0"/>
            </w:pPr>
            <w:r>
              <w:t>NW</w:t>
            </w:r>
          </w:p>
        </w:tc>
        <w:tc>
          <w:tcPr>
            <w:tcW w:w="2883" w:type="dxa"/>
            <w:shd w:val="clear" w:color="auto" w:fill="auto"/>
          </w:tcPr>
          <w:p w14:paraId="115BE427" w14:textId="055505FF" w:rsidR="00F836A9" w:rsidRDefault="00F836A9" w:rsidP="00F836A9">
            <w:pPr>
              <w:pStyle w:val="BlockText"/>
              <w:ind w:left="0"/>
            </w:pPr>
            <w:r w:rsidRPr="001256E6">
              <w:rPr>
                <w:rFonts w:ascii="Arial" w:hAnsi="Arial" w:cs="Arial"/>
              </w:rPr>
              <w:t>368739,236740</w:t>
            </w:r>
          </w:p>
        </w:tc>
      </w:tr>
      <w:tr w:rsidR="00F836A9" w14:paraId="5A487627" w14:textId="77777777" w:rsidTr="00F836A9">
        <w:tc>
          <w:tcPr>
            <w:tcW w:w="2335" w:type="dxa"/>
            <w:shd w:val="clear" w:color="auto" w:fill="auto"/>
          </w:tcPr>
          <w:p w14:paraId="467C88EC" w14:textId="29D3B68B" w:rsidR="00F836A9" w:rsidRDefault="00F836A9" w:rsidP="00F836A9">
            <w:pPr>
              <w:pStyle w:val="BlockText"/>
              <w:ind w:left="0"/>
            </w:pPr>
            <w:r>
              <w:rPr>
                <w:rFonts w:ascii="Arial" w:hAnsi="Arial" w:cs="Arial"/>
              </w:rPr>
              <w:t>Dwelling</w:t>
            </w:r>
          </w:p>
        </w:tc>
        <w:tc>
          <w:tcPr>
            <w:tcW w:w="3097" w:type="dxa"/>
            <w:shd w:val="clear" w:color="auto" w:fill="auto"/>
          </w:tcPr>
          <w:p w14:paraId="329DA99D" w14:textId="3A0EC119" w:rsidR="00F836A9" w:rsidRDefault="00F836A9" w:rsidP="00F836A9">
            <w:pPr>
              <w:pStyle w:val="BlockText"/>
              <w:ind w:left="0"/>
            </w:pPr>
            <w:r>
              <w:rPr>
                <w:rFonts w:ascii="Arial" w:hAnsi="Arial" w:cs="Arial"/>
              </w:rPr>
              <w:t>Residential</w:t>
            </w:r>
          </w:p>
        </w:tc>
        <w:tc>
          <w:tcPr>
            <w:tcW w:w="2165" w:type="dxa"/>
            <w:shd w:val="clear" w:color="auto" w:fill="auto"/>
          </w:tcPr>
          <w:p w14:paraId="6580CABE" w14:textId="6312A450" w:rsidR="00F836A9" w:rsidRDefault="00F836A9" w:rsidP="00F836A9">
            <w:pPr>
              <w:pStyle w:val="BlockText"/>
              <w:ind w:left="0"/>
            </w:pPr>
            <w:r>
              <w:t>343m</w:t>
            </w:r>
          </w:p>
        </w:tc>
        <w:tc>
          <w:tcPr>
            <w:tcW w:w="2388" w:type="dxa"/>
            <w:shd w:val="clear" w:color="auto" w:fill="auto"/>
          </w:tcPr>
          <w:p w14:paraId="18EECBA5" w14:textId="5D366ECC" w:rsidR="00F836A9" w:rsidRDefault="00F836A9" w:rsidP="00F836A9">
            <w:pPr>
              <w:pStyle w:val="BlockText"/>
              <w:ind w:left="0"/>
            </w:pPr>
            <w:r>
              <w:t>NW</w:t>
            </w:r>
          </w:p>
        </w:tc>
        <w:tc>
          <w:tcPr>
            <w:tcW w:w="2883" w:type="dxa"/>
            <w:shd w:val="clear" w:color="auto" w:fill="auto"/>
          </w:tcPr>
          <w:p w14:paraId="1C072CA5" w14:textId="0C456ADE" w:rsidR="00F836A9" w:rsidRDefault="00F836A9" w:rsidP="00F836A9">
            <w:pPr>
              <w:pStyle w:val="BlockText"/>
              <w:ind w:left="0"/>
            </w:pPr>
            <w:r w:rsidRPr="001256E6">
              <w:rPr>
                <w:rFonts w:ascii="Arial" w:hAnsi="Arial" w:cs="Arial"/>
              </w:rPr>
              <w:t>368711,236771</w:t>
            </w:r>
          </w:p>
        </w:tc>
      </w:tr>
      <w:tr w:rsidR="00F836A9" w14:paraId="16EADDF5" w14:textId="77777777" w:rsidTr="00F836A9">
        <w:tc>
          <w:tcPr>
            <w:tcW w:w="2335" w:type="dxa"/>
            <w:shd w:val="clear" w:color="auto" w:fill="auto"/>
          </w:tcPr>
          <w:p w14:paraId="28E9A98F" w14:textId="1D6B5A04" w:rsidR="00F836A9" w:rsidRDefault="00F836A9" w:rsidP="00F836A9">
            <w:pPr>
              <w:pStyle w:val="BlockText"/>
              <w:ind w:left="0"/>
            </w:pPr>
          </w:p>
        </w:tc>
        <w:tc>
          <w:tcPr>
            <w:tcW w:w="3097" w:type="dxa"/>
            <w:shd w:val="clear" w:color="auto" w:fill="auto"/>
          </w:tcPr>
          <w:p w14:paraId="271AA24D" w14:textId="624F75E9" w:rsidR="00F836A9" w:rsidRDefault="00F836A9" w:rsidP="00F836A9">
            <w:pPr>
              <w:pStyle w:val="BlockText"/>
              <w:ind w:left="0"/>
            </w:pPr>
          </w:p>
        </w:tc>
        <w:tc>
          <w:tcPr>
            <w:tcW w:w="2165" w:type="dxa"/>
            <w:shd w:val="clear" w:color="auto" w:fill="auto"/>
          </w:tcPr>
          <w:p w14:paraId="43D12529" w14:textId="510C5CC3" w:rsidR="00F836A9" w:rsidRDefault="00F836A9" w:rsidP="00F836A9">
            <w:pPr>
              <w:pStyle w:val="BlockText"/>
              <w:ind w:left="0"/>
            </w:pPr>
          </w:p>
        </w:tc>
        <w:tc>
          <w:tcPr>
            <w:tcW w:w="2388" w:type="dxa"/>
            <w:shd w:val="clear" w:color="auto" w:fill="auto"/>
          </w:tcPr>
          <w:p w14:paraId="498B70C8" w14:textId="3DAA8064" w:rsidR="00F836A9" w:rsidRDefault="00F836A9" w:rsidP="00F836A9">
            <w:pPr>
              <w:pStyle w:val="BlockText"/>
              <w:ind w:left="0"/>
            </w:pPr>
          </w:p>
        </w:tc>
        <w:tc>
          <w:tcPr>
            <w:tcW w:w="2883" w:type="dxa"/>
            <w:shd w:val="clear" w:color="auto" w:fill="auto"/>
          </w:tcPr>
          <w:p w14:paraId="05728F29" w14:textId="61DB85D7" w:rsidR="00F836A9" w:rsidRDefault="00F836A9" w:rsidP="00F836A9">
            <w:pPr>
              <w:pStyle w:val="BlockText"/>
              <w:ind w:left="0"/>
            </w:pPr>
          </w:p>
        </w:tc>
      </w:tr>
      <w:tr w:rsidR="00F836A9" w14:paraId="46761AB3" w14:textId="77777777" w:rsidTr="00F836A9">
        <w:tc>
          <w:tcPr>
            <w:tcW w:w="2335" w:type="dxa"/>
            <w:shd w:val="clear" w:color="auto" w:fill="auto"/>
          </w:tcPr>
          <w:p w14:paraId="4B51AD1C" w14:textId="1473B4E9" w:rsidR="00F836A9" w:rsidRDefault="00F836A9" w:rsidP="00F836A9">
            <w:pPr>
              <w:pStyle w:val="BlockText"/>
              <w:ind w:left="0"/>
            </w:pPr>
          </w:p>
        </w:tc>
        <w:tc>
          <w:tcPr>
            <w:tcW w:w="3097" w:type="dxa"/>
            <w:shd w:val="clear" w:color="auto" w:fill="auto"/>
          </w:tcPr>
          <w:p w14:paraId="176AF25A" w14:textId="7383702F" w:rsidR="00F836A9" w:rsidRDefault="00F836A9" w:rsidP="00F836A9">
            <w:pPr>
              <w:pStyle w:val="BlockText"/>
              <w:ind w:left="0"/>
            </w:pPr>
          </w:p>
        </w:tc>
        <w:tc>
          <w:tcPr>
            <w:tcW w:w="2165" w:type="dxa"/>
            <w:shd w:val="clear" w:color="auto" w:fill="auto"/>
          </w:tcPr>
          <w:p w14:paraId="7CE01EBD" w14:textId="54704E94" w:rsidR="00F836A9" w:rsidRDefault="00F836A9" w:rsidP="00F836A9">
            <w:pPr>
              <w:pStyle w:val="BlockText"/>
              <w:ind w:left="0"/>
            </w:pPr>
          </w:p>
        </w:tc>
        <w:tc>
          <w:tcPr>
            <w:tcW w:w="2388" w:type="dxa"/>
            <w:shd w:val="clear" w:color="auto" w:fill="auto"/>
          </w:tcPr>
          <w:p w14:paraId="3D0833C5" w14:textId="6C3BFD46" w:rsidR="00F836A9" w:rsidRDefault="00F836A9" w:rsidP="00F836A9">
            <w:pPr>
              <w:pStyle w:val="BlockText"/>
              <w:ind w:left="0"/>
            </w:pPr>
          </w:p>
        </w:tc>
        <w:tc>
          <w:tcPr>
            <w:tcW w:w="2883" w:type="dxa"/>
            <w:shd w:val="clear" w:color="auto" w:fill="auto"/>
          </w:tcPr>
          <w:p w14:paraId="7EB6D0D3" w14:textId="3A691449" w:rsidR="00F836A9" w:rsidRDefault="00F836A9" w:rsidP="00F836A9">
            <w:pPr>
              <w:pStyle w:val="BlockText"/>
              <w:ind w:left="0"/>
            </w:pPr>
          </w:p>
        </w:tc>
      </w:tr>
      <w:tr w:rsidR="00F836A9" w14:paraId="2B3527E6" w14:textId="77777777" w:rsidTr="00F836A9">
        <w:tc>
          <w:tcPr>
            <w:tcW w:w="2335" w:type="dxa"/>
            <w:shd w:val="clear" w:color="auto" w:fill="auto"/>
          </w:tcPr>
          <w:p w14:paraId="3BEB1C2B" w14:textId="1E97F16E" w:rsidR="00F836A9" w:rsidRDefault="00F836A9" w:rsidP="00F836A9">
            <w:pPr>
              <w:pStyle w:val="BlockText"/>
              <w:ind w:left="0"/>
            </w:pPr>
          </w:p>
        </w:tc>
        <w:tc>
          <w:tcPr>
            <w:tcW w:w="3097" w:type="dxa"/>
            <w:shd w:val="clear" w:color="auto" w:fill="auto"/>
          </w:tcPr>
          <w:p w14:paraId="45A480FA" w14:textId="6ABAE2B4" w:rsidR="00F836A9" w:rsidRDefault="00F836A9" w:rsidP="00F836A9">
            <w:pPr>
              <w:pStyle w:val="BlockText"/>
              <w:ind w:left="0"/>
            </w:pPr>
          </w:p>
        </w:tc>
        <w:tc>
          <w:tcPr>
            <w:tcW w:w="2165" w:type="dxa"/>
            <w:shd w:val="clear" w:color="auto" w:fill="auto"/>
          </w:tcPr>
          <w:p w14:paraId="52F4CB1D" w14:textId="1A7A8E89" w:rsidR="00F836A9" w:rsidRDefault="00F836A9" w:rsidP="00F836A9">
            <w:pPr>
              <w:pStyle w:val="BlockText"/>
              <w:ind w:left="0"/>
            </w:pPr>
          </w:p>
        </w:tc>
        <w:tc>
          <w:tcPr>
            <w:tcW w:w="2388" w:type="dxa"/>
            <w:shd w:val="clear" w:color="auto" w:fill="auto"/>
          </w:tcPr>
          <w:p w14:paraId="1420FEA4" w14:textId="559399A7" w:rsidR="00F836A9" w:rsidRDefault="00F836A9" w:rsidP="00F836A9">
            <w:pPr>
              <w:pStyle w:val="BlockText"/>
              <w:ind w:left="0"/>
            </w:pPr>
          </w:p>
        </w:tc>
        <w:tc>
          <w:tcPr>
            <w:tcW w:w="2883" w:type="dxa"/>
            <w:shd w:val="clear" w:color="auto" w:fill="auto"/>
          </w:tcPr>
          <w:p w14:paraId="50D58AA8" w14:textId="35F00F9C" w:rsidR="00F836A9" w:rsidRDefault="00F836A9" w:rsidP="00F836A9">
            <w:pPr>
              <w:pStyle w:val="BlockText"/>
              <w:ind w:left="0"/>
            </w:pPr>
          </w:p>
        </w:tc>
      </w:tr>
      <w:tr w:rsidR="00F836A9" w14:paraId="45067404" w14:textId="77777777" w:rsidTr="00F836A9">
        <w:tc>
          <w:tcPr>
            <w:tcW w:w="2335" w:type="dxa"/>
            <w:shd w:val="clear" w:color="auto" w:fill="auto"/>
          </w:tcPr>
          <w:p w14:paraId="3148665E" w14:textId="51B28B63" w:rsidR="00F836A9" w:rsidRDefault="00F836A9" w:rsidP="00F836A9">
            <w:pPr>
              <w:pStyle w:val="BlockText"/>
              <w:ind w:left="0"/>
            </w:pPr>
          </w:p>
        </w:tc>
        <w:tc>
          <w:tcPr>
            <w:tcW w:w="3097" w:type="dxa"/>
            <w:shd w:val="clear" w:color="auto" w:fill="auto"/>
          </w:tcPr>
          <w:p w14:paraId="418BE663" w14:textId="7ADED587" w:rsidR="00F836A9" w:rsidRDefault="00F836A9" w:rsidP="00F836A9">
            <w:pPr>
              <w:pStyle w:val="BlockText"/>
              <w:ind w:left="0"/>
            </w:pPr>
          </w:p>
        </w:tc>
        <w:tc>
          <w:tcPr>
            <w:tcW w:w="2165" w:type="dxa"/>
            <w:shd w:val="clear" w:color="auto" w:fill="auto"/>
          </w:tcPr>
          <w:p w14:paraId="2F122D52" w14:textId="24CD811C" w:rsidR="00F836A9" w:rsidRDefault="00F836A9" w:rsidP="00F836A9">
            <w:pPr>
              <w:pStyle w:val="BlockText"/>
              <w:ind w:left="0"/>
            </w:pPr>
          </w:p>
        </w:tc>
        <w:tc>
          <w:tcPr>
            <w:tcW w:w="2388" w:type="dxa"/>
            <w:shd w:val="clear" w:color="auto" w:fill="auto"/>
          </w:tcPr>
          <w:p w14:paraId="676175F5" w14:textId="4AAE8913" w:rsidR="00F836A9" w:rsidRDefault="00F836A9" w:rsidP="00F836A9">
            <w:pPr>
              <w:pStyle w:val="BlockText"/>
              <w:ind w:left="0"/>
            </w:pPr>
          </w:p>
        </w:tc>
        <w:tc>
          <w:tcPr>
            <w:tcW w:w="2883" w:type="dxa"/>
            <w:shd w:val="clear" w:color="auto" w:fill="auto"/>
          </w:tcPr>
          <w:p w14:paraId="20F729AC" w14:textId="4615BADD" w:rsidR="00F836A9" w:rsidRDefault="00F836A9" w:rsidP="00F836A9">
            <w:pPr>
              <w:pStyle w:val="BlockText"/>
              <w:ind w:left="0"/>
            </w:pPr>
          </w:p>
        </w:tc>
      </w:tr>
      <w:tr w:rsidR="00F836A9" w14:paraId="7C75838F" w14:textId="77777777" w:rsidTr="00F836A9">
        <w:tc>
          <w:tcPr>
            <w:tcW w:w="2335" w:type="dxa"/>
            <w:shd w:val="clear" w:color="auto" w:fill="auto"/>
          </w:tcPr>
          <w:p w14:paraId="239D90B3" w14:textId="47A7C01E" w:rsidR="00F836A9" w:rsidRDefault="00F836A9" w:rsidP="00F836A9">
            <w:pPr>
              <w:pStyle w:val="BlockText"/>
              <w:ind w:left="0"/>
            </w:pPr>
          </w:p>
        </w:tc>
        <w:tc>
          <w:tcPr>
            <w:tcW w:w="3097" w:type="dxa"/>
            <w:shd w:val="clear" w:color="auto" w:fill="auto"/>
          </w:tcPr>
          <w:p w14:paraId="6EC4F54C" w14:textId="729E8D83" w:rsidR="00F836A9" w:rsidRDefault="00F836A9" w:rsidP="00F836A9">
            <w:pPr>
              <w:pStyle w:val="BlockText"/>
              <w:ind w:left="0"/>
            </w:pPr>
          </w:p>
        </w:tc>
        <w:tc>
          <w:tcPr>
            <w:tcW w:w="2165" w:type="dxa"/>
            <w:shd w:val="clear" w:color="auto" w:fill="auto"/>
          </w:tcPr>
          <w:p w14:paraId="15034F63" w14:textId="2B22D6FE" w:rsidR="00F836A9" w:rsidRDefault="00F836A9" w:rsidP="00F836A9">
            <w:pPr>
              <w:pStyle w:val="BlockText"/>
              <w:ind w:left="0"/>
            </w:pPr>
          </w:p>
        </w:tc>
        <w:tc>
          <w:tcPr>
            <w:tcW w:w="2388" w:type="dxa"/>
            <w:shd w:val="clear" w:color="auto" w:fill="auto"/>
          </w:tcPr>
          <w:p w14:paraId="3B09364C" w14:textId="3A8F6BAE" w:rsidR="00F836A9" w:rsidRDefault="00F836A9" w:rsidP="00F836A9">
            <w:pPr>
              <w:pStyle w:val="BlockText"/>
              <w:ind w:left="0"/>
            </w:pPr>
          </w:p>
        </w:tc>
        <w:tc>
          <w:tcPr>
            <w:tcW w:w="2883" w:type="dxa"/>
            <w:shd w:val="clear" w:color="auto" w:fill="auto"/>
          </w:tcPr>
          <w:p w14:paraId="6B74D753" w14:textId="499A2BCE" w:rsidR="00F836A9" w:rsidRDefault="00F836A9" w:rsidP="00F836A9">
            <w:pPr>
              <w:pStyle w:val="BlockText"/>
              <w:ind w:left="0"/>
            </w:pPr>
          </w:p>
        </w:tc>
      </w:tr>
      <w:tr w:rsidR="00F836A9" w14:paraId="0D679E59" w14:textId="77777777" w:rsidTr="00F836A9">
        <w:tc>
          <w:tcPr>
            <w:tcW w:w="2335" w:type="dxa"/>
            <w:shd w:val="clear" w:color="auto" w:fill="auto"/>
          </w:tcPr>
          <w:p w14:paraId="43450141" w14:textId="11D4639E" w:rsidR="00F836A9" w:rsidRDefault="00F836A9" w:rsidP="00F836A9">
            <w:pPr>
              <w:pStyle w:val="BlockText"/>
              <w:ind w:left="0"/>
            </w:pPr>
          </w:p>
        </w:tc>
        <w:tc>
          <w:tcPr>
            <w:tcW w:w="3097" w:type="dxa"/>
            <w:shd w:val="clear" w:color="auto" w:fill="auto"/>
          </w:tcPr>
          <w:p w14:paraId="494E01A4" w14:textId="3BE66C45" w:rsidR="00F836A9" w:rsidRDefault="00F836A9" w:rsidP="00F836A9">
            <w:pPr>
              <w:pStyle w:val="BlockText"/>
              <w:ind w:left="0"/>
            </w:pPr>
          </w:p>
        </w:tc>
        <w:tc>
          <w:tcPr>
            <w:tcW w:w="2165" w:type="dxa"/>
            <w:shd w:val="clear" w:color="auto" w:fill="auto"/>
          </w:tcPr>
          <w:p w14:paraId="50A1C10D" w14:textId="10DAFB46" w:rsidR="00F836A9" w:rsidRDefault="00F836A9" w:rsidP="00F836A9">
            <w:pPr>
              <w:pStyle w:val="BlockText"/>
              <w:ind w:left="0"/>
            </w:pPr>
          </w:p>
        </w:tc>
        <w:tc>
          <w:tcPr>
            <w:tcW w:w="2388" w:type="dxa"/>
            <w:shd w:val="clear" w:color="auto" w:fill="auto"/>
          </w:tcPr>
          <w:p w14:paraId="6877ECB5" w14:textId="5FB3D40E" w:rsidR="00F836A9" w:rsidRDefault="00F836A9" w:rsidP="00F836A9">
            <w:pPr>
              <w:pStyle w:val="BlockText"/>
              <w:ind w:left="0"/>
            </w:pPr>
          </w:p>
        </w:tc>
        <w:tc>
          <w:tcPr>
            <w:tcW w:w="2883" w:type="dxa"/>
            <w:shd w:val="clear" w:color="auto" w:fill="auto"/>
          </w:tcPr>
          <w:p w14:paraId="5BC0C58D" w14:textId="09821D89" w:rsidR="00F836A9" w:rsidRDefault="00F836A9" w:rsidP="00F836A9">
            <w:pPr>
              <w:pStyle w:val="BlockText"/>
              <w:ind w:left="0"/>
            </w:pPr>
          </w:p>
        </w:tc>
      </w:tr>
      <w:tr w:rsidR="00F836A9" w14:paraId="70D3DB7E" w14:textId="77777777" w:rsidTr="00F836A9">
        <w:tc>
          <w:tcPr>
            <w:tcW w:w="2335" w:type="dxa"/>
            <w:shd w:val="clear" w:color="auto" w:fill="auto"/>
          </w:tcPr>
          <w:p w14:paraId="5B3273ED" w14:textId="3B26BF63" w:rsidR="00F836A9" w:rsidRDefault="00F836A9" w:rsidP="00F836A9">
            <w:pPr>
              <w:pStyle w:val="BlockText"/>
              <w:ind w:left="0"/>
            </w:pPr>
          </w:p>
        </w:tc>
        <w:tc>
          <w:tcPr>
            <w:tcW w:w="3097" w:type="dxa"/>
            <w:shd w:val="clear" w:color="auto" w:fill="auto"/>
          </w:tcPr>
          <w:p w14:paraId="399642C2" w14:textId="41AA3E59" w:rsidR="00F836A9" w:rsidRDefault="00F836A9" w:rsidP="00F836A9">
            <w:pPr>
              <w:pStyle w:val="BlockText"/>
              <w:ind w:left="0"/>
            </w:pPr>
          </w:p>
        </w:tc>
        <w:tc>
          <w:tcPr>
            <w:tcW w:w="2165" w:type="dxa"/>
            <w:shd w:val="clear" w:color="auto" w:fill="auto"/>
          </w:tcPr>
          <w:p w14:paraId="548BE963" w14:textId="2EA9C2FD" w:rsidR="00F836A9" w:rsidRDefault="00F836A9" w:rsidP="00F836A9">
            <w:pPr>
              <w:pStyle w:val="BlockText"/>
              <w:ind w:left="0"/>
            </w:pPr>
          </w:p>
        </w:tc>
        <w:tc>
          <w:tcPr>
            <w:tcW w:w="2388" w:type="dxa"/>
            <w:shd w:val="clear" w:color="auto" w:fill="auto"/>
          </w:tcPr>
          <w:p w14:paraId="16855DCC" w14:textId="09020C97" w:rsidR="00F836A9" w:rsidRDefault="00F836A9" w:rsidP="00F836A9">
            <w:pPr>
              <w:pStyle w:val="BlockText"/>
              <w:ind w:left="0"/>
            </w:pPr>
          </w:p>
        </w:tc>
        <w:tc>
          <w:tcPr>
            <w:tcW w:w="2883" w:type="dxa"/>
            <w:shd w:val="clear" w:color="auto" w:fill="auto"/>
          </w:tcPr>
          <w:p w14:paraId="156C24FE" w14:textId="1BFE61FE" w:rsidR="00F836A9" w:rsidRDefault="00F836A9" w:rsidP="00F836A9">
            <w:pPr>
              <w:pStyle w:val="BlockText"/>
              <w:ind w:left="0"/>
            </w:pPr>
          </w:p>
        </w:tc>
      </w:tr>
      <w:tr w:rsidR="00F836A9" w14:paraId="709CB8B8" w14:textId="77777777" w:rsidTr="00F836A9">
        <w:tc>
          <w:tcPr>
            <w:tcW w:w="2335" w:type="dxa"/>
            <w:shd w:val="clear" w:color="auto" w:fill="auto"/>
          </w:tcPr>
          <w:p w14:paraId="0A986BF6" w14:textId="5505113B" w:rsidR="00F836A9" w:rsidRDefault="00F836A9" w:rsidP="00F836A9">
            <w:pPr>
              <w:pStyle w:val="BlockText"/>
              <w:ind w:left="0"/>
            </w:pPr>
          </w:p>
        </w:tc>
        <w:tc>
          <w:tcPr>
            <w:tcW w:w="3097" w:type="dxa"/>
            <w:shd w:val="clear" w:color="auto" w:fill="auto"/>
          </w:tcPr>
          <w:p w14:paraId="14726129" w14:textId="29023702" w:rsidR="00F836A9" w:rsidRDefault="00F836A9" w:rsidP="00F836A9">
            <w:pPr>
              <w:pStyle w:val="BlockText"/>
              <w:ind w:left="0"/>
            </w:pPr>
          </w:p>
        </w:tc>
        <w:tc>
          <w:tcPr>
            <w:tcW w:w="2165" w:type="dxa"/>
            <w:shd w:val="clear" w:color="auto" w:fill="auto"/>
          </w:tcPr>
          <w:p w14:paraId="03061C7E" w14:textId="082FB367" w:rsidR="00F836A9" w:rsidRDefault="00F836A9" w:rsidP="00F836A9">
            <w:pPr>
              <w:pStyle w:val="BlockText"/>
              <w:ind w:left="0"/>
            </w:pPr>
          </w:p>
        </w:tc>
        <w:tc>
          <w:tcPr>
            <w:tcW w:w="2388" w:type="dxa"/>
            <w:shd w:val="clear" w:color="auto" w:fill="auto"/>
          </w:tcPr>
          <w:p w14:paraId="1C7FC2E6" w14:textId="1E60F1FA" w:rsidR="00F836A9" w:rsidRDefault="00F836A9" w:rsidP="00F836A9">
            <w:pPr>
              <w:pStyle w:val="BlockText"/>
              <w:ind w:left="0"/>
            </w:pPr>
          </w:p>
        </w:tc>
        <w:tc>
          <w:tcPr>
            <w:tcW w:w="2883" w:type="dxa"/>
            <w:shd w:val="clear" w:color="auto" w:fill="auto"/>
          </w:tcPr>
          <w:p w14:paraId="6C64C314" w14:textId="588917BF" w:rsidR="00F836A9" w:rsidRDefault="00F836A9" w:rsidP="00F836A9">
            <w:pPr>
              <w:pStyle w:val="BlockText"/>
              <w:ind w:left="0"/>
            </w:pPr>
          </w:p>
        </w:tc>
      </w:tr>
      <w:tr w:rsidR="00F836A9" w14:paraId="5DFCD9D3" w14:textId="77777777" w:rsidTr="00F836A9">
        <w:tc>
          <w:tcPr>
            <w:tcW w:w="2335" w:type="dxa"/>
            <w:shd w:val="clear" w:color="auto" w:fill="auto"/>
          </w:tcPr>
          <w:p w14:paraId="47675EC2" w14:textId="523B8AA3" w:rsidR="00F836A9" w:rsidRDefault="00F836A9" w:rsidP="00F836A9">
            <w:pPr>
              <w:pStyle w:val="BlockText"/>
              <w:ind w:left="0"/>
            </w:pPr>
          </w:p>
        </w:tc>
        <w:tc>
          <w:tcPr>
            <w:tcW w:w="3097" w:type="dxa"/>
            <w:shd w:val="clear" w:color="auto" w:fill="auto"/>
          </w:tcPr>
          <w:p w14:paraId="63AB1250" w14:textId="07AEA6A4" w:rsidR="00F836A9" w:rsidRDefault="00F836A9" w:rsidP="00F836A9">
            <w:pPr>
              <w:pStyle w:val="BlockText"/>
              <w:ind w:left="0"/>
            </w:pPr>
          </w:p>
        </w:tc>
        <w:tc>
          <w:tcPr>
            <w:tcW w:w="2165" w:type="dxa"/>
            <w:shd w:val="clear" w:color="auto" w:fill="auto"/>
          </w:tcPr>
          <w:p w14:paraId="34EA7F19" w14:textId="2906DF3B" w:rsidR="00F836A9" w:rsidRDefault="00F836A9" w:rsidP="00F836A9">
            <w:pPr>
              <w:pStyle w:val="BlockText"/>
              <w:ind w:left="0"/>
            </w:pPr>
          </w:p>
        </w:tc>
        <w:tc>
          <w:tcPr>
            <w:tcW w:w="2388" w:type="dxa"/>
            <w:shd w:val="clear" w:color="auto" w:fill="auto"/>
          </w:tcPr>
          <w:p w14:paraId="231ABB79" w14:textId="58DCC88E" w:rsidR="00F836A9" w:rsidRDefault="00F836A9" w:rsidP="00F836A9">
            <w:pPr>
              <w:pStyle w:val="BlockText"/>
              <w:ind w:left="0"/>
            </w:pPr>
          </w:p>
        </w:tc>
        <w:tc>
          <w:tcPr>
            <w:tcW w:w="2883" w:type="dxa"/>
            <w:shd w:val="clear" w:color="auto" w:fill="auto"/>
          </w:tcPr>
          <w:p w14:paraId="5396DF2E" w14:textId="3E72E58B" w:rsidR="00F836A9" w:rsidRDefault="00F836A9" w:rsidP="00F836A9">
            <w:pPr>
              <w:pStyle w:val="BlockText"/>
              <w:ind w:left="0"/>
            </w:pPr>
          </w:p>
        </w:tc>
      </w:tr>
      <w:tr w:rsidR="00F836A9" w14:paraId="674B90EE" w14:textId="77777777" w:rsidTr="00F836A9">
        <w:tc>
          <w:tcPr>
            <w:tcW w:w="2335" w:type="dxa"/>
            <w:shd w:val="clear" w:color="auto" w:fill="auto"/>
          </w:tcPr>
          <w:p w14:paraId="483D65FE" w14:textId="4DFBC6D7" w:rsidR="00F836A9" w:rsidRDefault="00F836A9" w:rsidP="00F836A9">
            <w:pPr>
              <w:pStyle w:val="BlockText"/>
              <w:ind w:left="0"/>
            </w:pPr>
          </w:p>
        </w:tc>
        <w:tc>
          <w:tcPr>
            <w:tcW w:w="3097" w:type="dxa"/>
            <w:shd w:val="clear" w:color="auto" w:fill="auto"/>
          </w:tcPr>
          <w:p w14:paraId="767EA227" w14:textId="1B5CB0EA" w:rsidR="00F836A9" w:rsidRDefault="00F836A9" w:rsidP="00F836A9">
            <w:pPr>
              <w:pStyle w:val="BlockText"/>
              <w:ind w:left="0"/>
            </w:pPr>
          </w:p>
        </w:tc>
        <w:tc>
          <w:tcPr>
            <w:tcW w:w="2165" w:type="dxa"/>
            <w:shd w:val="clear" w:color="auto" w:fill="auto"/>
          </w:tcPr>
          <w:p w14:paraId="731FAD0C" w14:textId="35E488B1" w:rsidR="00F836A9" w:rsidRDefault="00F836A9" w:rsidP="00F836A9">
            <w:pPr>
              <w:pStyle w:val="BlockText"/>
              <w:ind w:left="0"/>
            </w:pPr>
          </w:p>
        </w:tc>
        <w:tc>
          <w:tcPr>
            <w:tcW w:w="2388" w:type="dxa"/>
            <w:shd w:val="clear" w:color="auto" w:fill="auto"/>
          </w:tcPr>
          <w:p w14:paraId="213EA15E" w14:textId="7EDE6C0F" w:rsidR="00F836A9" w:rsidRDefault="00F836A9" w:rsidP="00F836A9">
            <w:pPr>
              <w:pStyle w:val="BlockText"/>
              <w:ind w:left="0"/>
            </w:pPr>
          </w:p>
        </w:tc>
        <w:tc>
          <w:tcPr>
            <w:tcW w:w="2883" w:type="dxa"/>
            <w:shd w:val="clear" w:color="auto" w:fill="auto"/>
          </w:tcPr>
          <w:p w14:paraId="7AC15E4C" w14:textId="51427DBC" w:rsidR="00F836A9" w:rsidRDefault="00F836A9" w:rsidP="00F836A9">
            <w:pPr>
              <w:pStyle w:val="BlockText"/>
              <w:ind w:left="0"/>
            </w:pPr>
          </w:p>
        </w:tc>
      </w:tr>
      <w:tr w:rsidR="00F836A9" w14:paraId="3C2ECA7E" w14:textId="77777777" w:rsidTr="00F836A9">
        <w:tc>
          <w:tcPr>
            <w:tcW w:w="2335" w:type="dxa"/>
            <w:shd w:val="clear" w:color="auto" w:fill="auto"/>
          </w:tcPr>
          <w:p w14:paraId="5903D619" w14:textId="5A133AE2" w:rsidR="00F836A9" w:rsidRDefault="00F836A9" w:rsidP="00F836A9">
            <w:pPr>
              <w:pStyle w:val="BlockText"/>
              <w:ind w:left="0"/>
            </w:pPr>
          </w:p>
        </w:tc>
        <w:tc>
          <w:tcPr>
            <w:tcW w:w="3097" w:type="dxa"/>
            <w:shd w:val="clear" w:color="auto" w:fill="auto"/>
          </w:tcPr>
          <w:p w14:paraId="03395C8B" w14:textId="55DEA956" w:rsidR="00F836A9" w:rsidRDefault="00F836A9" w:rsidP="00F836A9">
            <w:pPr>
              <w:pStyle w:val="BlockText"/>
              <w:ind w:left="0"/>
            </w:pPr>
          </w:p>
        </w:tc>
        <w:tc>
          <w:tcPr>
            <w:tcW w:w="2165" w:type="dxa"/>
            <w:shd w:val="clear" w:color="auto" w:fill="auto"/>
          </w:tcPr>
          <w:p w14:paraId="4AA003B5" w14:textId="3B5563B3" w:rsidR="00F836A9" w:rsidRDefault="00F836A9" w:rsidP="00F836A9">
            <w:pPr>
              <w:pStyle w:val="BlockText"/>
              <w:ind w:left="0"/>
            </w:pPr>
          </w:p>
        </w:tc>
        <w:tc>
          <w:tcPr>
            <w:tcW w:w="2388" w:type="dxa"/>
            <w:shd w:val="clear" w:color="auto" w:fill="auto"/>
          </w:tcPr>
          <w:p w14:paraId="77BB0DF8" w14:textId="029C2573" w:rsidR="00F836A9" w:rsidRDefault="00F836A9" w:rsidP="00F836A9">
            <w:pPr>
              <w:pStyle w:val="BlockText"/>
              <w:ind w:left="0"/>
            </w:pPr>
          </w:p>
        </w:tc>
        <w:tc>
          <w:tcPr>
            <w:tcW w:w="2883" w:type="dxa"/>
            <w:shd w:val="clear" w:color="auto" w:fill="auto"/>
          </w:tcPr>
          <w:p w14:paraId="5E13E46B" w14:textId="4F080B09" w:rsidR="00F836A9" w:rsidRDefault="00F836A9" w:rsidP="00F836A9">
            <w:pPr>
              <w:pStyle w:val="BlockText"/>
              <w:ind w:left="0"/>
            </w:pPr>
          </w:p>
        </w:tc>
      </w:tr>
      <w:tr w:rsidR="00F836A9" w14:paraId="62CAE8CB" w14:textId="77777777" w:rsidTr="00F836A9">
        <w:tc>
          <w:tcPr>
            <w:tcW w:w="2335" w:type="dxa"/>
            <w:shd w:val="clear" w:color="auto" w:fill="auto"/>
          </w:tcPr>
          <w:p w14:paraId="6A1B13A5" w14:textId="6998707A" w:rsidR="00F836A9" w:rsidRDefault="00F836A9" w:rsidP="00F836A9">
            <w:pPr>
              <w:pStyle w:val="BlockText"/>
              <w:ind w:left="0"/>
            </w:pPr>
          </w:p>
        </w:tc>
        <w:tc>
          <w:tcPr>
            <w:tcW w:w="3097" w:type="dxa"/>
            <w:shd w:val="clear" w:color="auto" w:fill="auto"/>
          </w:tcPr>
          <w:p w14:paraId="2BCD92E9" w14:textId="33C00BFB" w:rsidR="00F836A9" w:rsidRDefault="00F836A9" w:rsidP="00F836A9">
            <w:pPr>
              <w:pStyle w:val="BlockText"/>
              <w:ind w:left="0"/>
            </w:pPr>
          </w:p>
        </w:tc>
        <w:tc>
          <w:tcPr>
            <w:tcW w:w="2165" w:type="dxa"/>
            <w:shd w:val="clear" w:color="auto" w:fill="auto"/>
          </w:tcPr>
          <w:p w14:paraId="0889B2B0" w14:textId="62280120" w:rsidR="00F836A9" w:rsidRDefault="00F836A9" w:rsidP="00F836A9">
            <w:pPr>
              <w:pStyle w:val="BlockText"/>
              <w:ind w:left="0"/>
            </w:pPr>
          </w:p>
        </w:tc>
        <w:tc>
          <w:tcPr>
            <w:tcW w:w="2388" w:type="dxa"/>
            <w:shd w:val="clear" w:color="auto" w:fill="auto"/>
          </w:tcPr>
          <w:p w14:paraId="2598CCB3" w14:textId="1AB9BA2D" w:rsidR="00F836A9" w:rsidRDefault="00F836A9" w:rsidP="00F836A9">
            <w:pPr>
              <w:pStyle w:val="BlockText"/>
              <w:ind w:left="0"/>
            </w:pPr>
          </w:p>
        </w:tc>
        <w:tc>
          <w:tcPr>
            <w:tcW w:w="2883" w:type="dxa"/>
            <w:shd w:val="clear" w:color="auto" w:fill="auto"/>
          </w:tcPr>
          <w:p w14:paraId="71F1C2CB" w14:textId="2EC6C67F" w:rsidR="00F836A9" w:rsidRDefault="00F836A9" w:rsidP="00F836A9">
            <w:pPr>
              <w:pStyle w:val="BlockText"/>
              <w:ind w:left="0"/>
            </w:pPr>
          </w:p>
        </w:tc>
      </w:tr>
      <w:tr w:rsidR="00F836A9" w14:paraId="5532B5C0" w14:textId="77777777" w:rsidTr="00F836A9">
        <w:tc>
          <w:tcPr>
            <w:tcW w:w="2335" w:type="dxa"/>
            <w:shd w:val="clear" w:color="auto" w:fill="auto"/>
          </w:tcPr>
          <w:p w14:paraId="1D51A81D" w14:textId="40BC4C47" w:rsidR="00F836A9" w:rsidRDefault="00F836A9" w:rsidP="00F836A9">
            <w:pPr>
              <w:pStyle w:val="BlockText"/>
              <w:ind w:left="0"/>
            </w:pPr>
          </w:p>
        </w:tc>
        <w:tc>
          <w:tcPr>
            <w:tcW w:w="3097" w:type="dxa"/>
            <w:shd w:val="clear" w:color="auto" w:fill="auto"/>
          </w:tcPr>
          <w:p w14:paraId="60AB1762" w14:textId="06FA05C7" w:rsidR="00F836A9" w:rsidRDefault="00F836A9" w:rsidP="00F836A9">
            <w:pPr>
              <w:pStyle w:val="BlockText"/>
              <w:ind w:left="0"/>
            </w:pPr>
          </w:p>
        </w:tc>
        <w:tc>
          <w:tcPr>
            <w:tcW w:w="2165" w:type="dxa"/>
            <w:shd w:val="clear" w:color="auto" w:fill="auto"/>
          </w:tcPr>
          <w:p w14:paraId="1EACE2F2" w14:textId="60E331CA" w:rsidR="00F836A9" w:rsidRDefault="00F836A9" w:rsidP="00F836A9">
            <w:pPr>
              <w:pStyle w:val="BlockText"/>
              <w:ind w:left="0"/>
            </w:pPr>
          </w:p>
        </w:tc>
        <w:tc>
          <w:tcPr>
            <w:tcW w:w="2388" w:type="dxa"/>
            <w:shd w:val="clear" w:color="auto" w:fill="auto"/>
          </w:tcPr>
          <w:p w14:paraId="698B174F" w14:textId="455B76A3" w:rsidR="00F836A9" w:rsidRDefault="00F836A9" w:rsidP="00F836A9">
            <w:pPr>
              <w:pStyle w:val="BlockText"/>
              <w:ind w:left="0"/>
            </w:pPr>
          </w:p>
        </w:tc>
        <w:tc>
          <w:tcPr>
            <w:tcW w:w="2883" w:type="dxa"/>
            <w:shd w:val="clear" w:color="auto" w:fill="auto"/>
          </w:tcPr>
          <w:p w14:paraId="180A10C9" w14:textId="2099BFB0" w:rsidR="00F836A9" w:rsidRDefault="00F836A9" w:rsidP="00F836A9">
            <w:pPr>
              <w:pStyle w:val="BlockText"/>
              <w:ind w:left="0"/>
            </w:pPr>
          </w:p>
        </w:tc>
      </w:tr>
      <w:tr w:rsidR="00F836A9" w14:paraId="519BFE58" w14:textId="77777777" w:rsidTr="00F836A9">
        <w:tc>
          <w:tcPr>
            <w:tcW w:w="2335" w:type="dxa"/>
            <w:shd w:val="clear" w:color="auto" w:fill="auto"/>
          </w:tcPr>
          <w:p w14:paraId="15737293" w14:textId="026A5E7C" w:rsidR="00F836A9" w:rsidRDefault="00F836A9" w:rsidP="00F836A9">
            <w:pPr>
              <w:pStyle w:val="BlockText"/>
              <w:ind w:left="0"/>
            </w:pPr>
          </w:p>
        </w:tc>
        <w:tc>
          <w:tcPr>
            <w:tcW w:w="3097" w:type="dxa"/>
            <w:shd w:val="clear" w:color="auto" w:fill="auto"/>
          </w:tcPr>
          <w:p w14:paraId="08FF337E" w14:textId="542AA0DF" w:rsidR="00F836A9" w:rsidRDefault="00F836A9" w:rsidP="00F836A9">
            <w:pPr>
              <w:pStyle w:val="BlockText"/>
              <w:ind w:left="0"/>
            </w:pPr>
          </w:p>
        </w:tc>
        <w:tc>
          <w:tcPr>
            <w:tcW w:w="2165" w:type="dxa"/>
            <w:shd w:val="clear" w:color="auto" w:fill="auto"/>
          </w:tcPr>
          <w:p w14:paraId="41672431" w14:textId="3047F910" w:rsidR="00F836A9" w:rsidRDefault="00F836A9" w:rsidP="00F836A9">
            <w:pPr>
              <w:pStyle w:val="BlockText"/>
              <w:ind w:left="0"/>
            </w:pPr>
          </w:p>
        </w:tc>
        <w:tc>
          <w:tcPr>
            <w:tcW w:w="2388" w:type="dxa"/>
            <w:shd w:val="clear" w:color="auto" w:fill="auto"/>
          </w:tcPr>
          <w:p w14:paraId="2CE44737" w14:textId="7D3D35DA" w:rsidR="00F836A9" w:rsidRDefault="00F836A9" w:rsidP="00F836A9">
            <w:pPr>
              <w:pStyle w:val="BlockText"/>
              <w:ind w:left="0"/>
            </w:pPr>
          </w:p>
        </w:tc>
        <w:tc>
          <w:tcPr>
            <w:tcW w:w="2883" w:type="dxa"/>
            <w:shd w:val="clear" w:color="auto" w:fill="auto"/>
          </w:tcPr>
          <w:p w14:paraId="4C8CD389" w14:textId="12C72759" w:rsidR="00F836A9" w:rsidRDefault="00F836A9" w:rsidP="00F836A9">
            <w:pPr>
              <w:pStyle w:val="BlockText"/>
              <w:ind w:left="0"/>
            </w:pPr>
          </w:p>
        </w:tc>
      </w:tr>
      <w:tr w:rsidR="00F836A9" w14:paraId="56058A22" w14:textId="77777777" w:rsidTr="00F836A9">
        <w:tc>
          <w:tcPr>
            <w:tcW w:w="2335" w:type="dxa"/>
            <w:shd w:val="clear" w:color="auto" w:fill="auto"/>
          </w:tcPr>
          <w:p w14:paraId="68794C0F" w14:textId="56943036" w:rsidR="00F836A9" w:rsidRDefault="00F836A9" w:rsidP="00F836A9">
            <w:pPr>
              <w:pStyle w:val="BlockText"/>
              <w:ind w:left="0"/>
            </w:pPr>
          </w:p>
        </w:tc>
        <w:tc>
          <w:tcPr>
            <w:tcW w:w="3097" w:type="dxa"/>
            <w:shd w:val="clear" w:color="auto" w:fill="auto"/>
          </w:tcPr>
          <w:p w14:paraId="1067D057" w14:textId="300F509C" w:rsidR="00F836A9" w:rsidRDefault="00F836A9" w:rsidP="00F836A9">
            <w:pPr>
              <w:pStyle w:val="BlockText"/>
              <w:ind w:left="0"/>
            </w:pPr>
          </w:p>
        </w:tc>
        <w:tc>
          <w:tcPr>
            <w:tcW w:w="2165" w:type="dxa"/>
            <w:shd w:val="clear" w:color="auto" w:fill="auto"/>
          </w:tcPr>
          <w:p w14:paraId="79B05ADD" w14:textId="4062F9A0" w:rsidR="00F836A9" w:rsidRDefault="00F836A9" w:rsidP="00F836A9">
            <w:pPr>
              <w:pStyle w:val="BlockText"/>
              <w:ind w:left="0"/>
            </w:pPr>
          </w:p>
        </w:tc>
        <w:tc>
          <w:tcPr>
            <w:tcW w:w="2388" w:type="dxa"/>
            <w:shd w:val="clear" w:color="auto" w:fill="auto"/>
          </w:tcPr>
          <w:p w14:paraId="7D9AD880" w14:textId="2B178556" w:rsidR="00F836A9" w:rsidRDefault="00F836A9" w:rsidP="00F836A9">
            <w:pPr>
              <w:pStyle w:val="BlockText"/>
              <w:ind w:left="0"/>
            </w:pPr>
          </w:p>
        </w:tc>
        <w:tc>
          <w:tcPr>
            <w:tcW w:w="2883" w:type="dxa"/>
            <w:shd w:val="clear" w:color="auto" w:fill="auto"/>
          </w:tcPr>
          <w:p w14:paraId="3870AF65" w14:textId="45B77BDC" w:rsidR="00F836A9" w:rsidRDefault="00F836A9" w:rsidP="00F836A9">
            <w:pPr>
              <w:pStyle w:val="BlockText"/>
              <w:ind w:left="0"/>
            </w:pP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02C71A59"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901333">
              <w:rPr>
                <w:rFonts w:ascii="Arial" w:hAnsi="Arial" w:cs="Arial"/>
                <w:sz w:val="24"/>
                <w:szCs w:val="24"/>
              </w:rPr>
              <w:t>Hill House</w:t>
            </w:r>
            <w:r w:rsidR="00A66F22">
              <w:rPr>
                <w:rFonts w:ascii="Arial" w:hAnsi="Arial" w:cs="Arial"/>
                <w:sz w:val="24"/>
                <w:szCs w:val="24"/>
              </w:rPr>
              <w:t xml:space="preserve"> 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2946A71E"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Twice daily </w:t>
            </w:r>
            <w:r w:rsidR="000358EF">
              <w:rPr>
                <w:rFonts w:ascii="Arial" w:hAnsi="Arial" w:cs="Arial"/>
                <w:bCs/>
                <w:color w:val="000000"/>
                <w:sz w:val="24"/>
                <w:szCs w:val="24"/>
              </w:rPr>
              <w:t>high</w:t>
            </w:r>
            <w:r w:rsidR="008F16F3">
              <w:rPr>
                <w:rFonts w:ascii="Arial" w:hAnsi="Arial" w:cs="Arial"/>
                <w:bCs/>
                <w:color w:val="000000"/>
                <w:sz w:val="24"/>
                <w:szCs w:val="24"/>
              </w:rPr>
              <w:t xml:space="preserve"> housekeeping odour</w:t>
            </w:r>
            <w:r>
              <w:rPr>
                <w:rFonts w:ascii="Arial" w:hAnsi="Arial" w:cs="Arial"/>
                <w:bCs/>
                <w:color w:val="000000"/>
                <w:sz w:val="24"/>
                <w:szCs w:val="24"/>
              </w:rPr>
              <w:t xml:space="preserve"> checks</w:t>
            </w:r>
            <w:r w:rsidR="00AD0EEA">
              <w:rPr>
                <w:rFonts w:ascii="Arial" w:hAnsi="Arial" w:cs="Arial"/>
                <w:bCs/>
                <w:color w:val="000000"/>
                <w:sz w:val="24"/>
                <w:szCs w:val="24"/>
              </w:rPr>
              <w:t xml:space="preserve"> by staff</w:t>
            </w:r>
            <w:r>
              <w:rPr>
                <w:rFonts w:ascii="Arial" w:hAnsi="Arial" w:cs="Arial"/>
                <w:bCs/>
                <w:color w:val="000000"/>
                <w:sz w:val="24"/>
                <w:szCs w:val="24"/>
              </w:rPr>
              <w:t xml:space="preserve">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19D9AC79" w:rsidR="00234054" w:rsidRDefault="004C7700"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Litter spread on </w:t>
            </w:r>
            <w:proofErr w:type="gramStart"/>
            <w:r>
              <w:rPr>
                <w:rFonts w:ascii="Arial" w:hAnsi="Arial" w:cs="Arial"/>
                <w:color w:val="000000"/>
              </w:rPr>
              <w:t>operator controlled</w:t>
            </w:r>
            <w:proofErr w:type="gramEnd"/>
            <w:r>
              <w:rPr>
                <w:rFonts w:ascii="Arial" w:hAnsi="Arial" w:cs="Arial"/>
                <w:color w:val="000000"/>
              </w:rPr>
              <w:t xml:space="preserve"> land</w:t>
            </w:r>
            <w:r w:rsidR="00234054">
              <w:rPr>
                <w:rFonts w:ascii="Arial" w:hAnsi="Arial" w:cs="Arial"/>
                <w:color w:val="000000"/>
              </w:rPr>
              <w: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Key staff monitoring washing operations ensuring effective drainage to dirty water tanks.</w:t>
            </w:r>
            <w:r w:rsidR="008527A3">
              <w:rPr>
                <w:rFonts w:ascii="Arial" w:hAnsi="Arial" w:cs="Arial"/>
                <w:color w:val="000000"/>
              </w:rPr>
              <w:t xml:space="preserve"> Any </w:t>
            </w:r>
            <w:r w:rsidR="008527A3">
              <w:rPr>
                <w:rFonts w:ascii="Arial" w:hAnsi="Arial" w:cs="Arial"/>
                <w:color w:val="000000"/>
              </w:rPr>
              <w:lastRenderedPageBreak/>
              <w:t>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225DF221"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w:t>
            </w:r>
            <w:r w:rsidR="00EE4884">
              <w:rPr>
                <w:rFonts w:ascii="Arial" w:hAnsi="Arial" w:cs="Arial"/>
                <w:color w:val="000000"/>
              </w:rPr>
              <w:t xml:space="preserve">operator controlled </w:t>
            </w:r>
            <w:r>
              <w:rPr>
                <w:rFonts w:ascii="Arial" w:hAnsi="Arial" w:cs="Arial"/>
                <w:color w:val="000000"/>
              </w:rPr>
              <w:t xml:space="preserve">land. </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 xml:space="preserve">Ventilation and heating controls advanced to account for additional </w:t>
            </w:r>
            <w:proofErr w:type="gramStart"/>
            <w:r>
              <w:rPr>
                <w:sz w:val="24"/>
              </w:rPr>
              <w:t>live-weight</w:t>
            </w:r>
            <w:proofErr w:type="gramEnd"/>
            <w:r>
              <w:rPr>
                <w:sz w:val="24"/>
              </w:rPr>
              <w:t xml:space="preserve">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Collection governed by Integrator</w:t>
            </w:r>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45F15700" w:rsidR="000E6A4B" w:rsidRPr="0036281D" w:rsidRDefault="00BE0BF2">
      <w:pPr>
        <w:rPr>
          <w:rFonts w:ascii="Arial" w:hAnsi="Arial" w:cs="Arial"/>
          <w:b/>
          <w:sz w:val="24"/>
          <w:szCs w:val="24"/>
        </w:rPr>
      </w:pPr>
      <w:r>
        <w:rPr>
          <w:rFonts w:ascii="Arial" w:hAnsi="Arial" w:cs="Arial"/>
          <w:b/>
          <w:sz w:val="24"/>
          <w:szCs w:val="24"/>
        </w:rPr>
        <w:t>January</w:t>
      </w:r>
      <w:r w:rsidR="00C2196B">
        <w:rPr>
          <w:rFonts w:ascii="Arial" w:hAnsi="Arial" w:cs="Arial"/>
          <w:b/>
          <w:sz w:val="24"/>
          <w:szCs w:val="24"/>
        </w:rPr>
        <w:t xml:space="preserve"> 202</w:t>
      </w:r>
      <w:r w:rsidR="00514C5A">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358EF"/>
    <w:rsid w:val="0005492A"/>
    <w:rsid w:val="00055BEA"/>
    <w:rsid w:val="00091504"/>
    <w:rsid w:val="00093C24"/>
    <w:rsid w:val="000A6A31"/>
    <w:rsid w:val="000B31E8"/>
    <w:rsid w:val="000E6A4B"/>
    <w:rsid w:val="00181B00"/>
    <w:rsid w:val="00184089"/>
    <w:rsid w:val="00186959"/>
    <w:rsid w:val="001B05BC"/>
    <w:rsid w:val="001D3563"/>
    <w:rsid w:val="001F0583"/>
    <w:rsid w:val="001F3C9C"/>
    <w:rsid w:val="00234054"/>
    <w:rsid w:val="00272B00"/>
    <w:rsid w:val="002E0AD3"/>
    <w:rsid w:val="00300A9E"/>
    <w:rsid w:val="003014DA"/>
    <w:rsid w:val="00332A87"/>
    <w:rsid w:val="0036281D"/>
    <w:rsid w:val="0036304B"/>
    <w:rsid w:val="003C5045"/>
    <w:rsid w:val="003E0206"/>
    <w:rsid w:val="00413C9E"/>
    <w:rsid w:val="004344A5"/>
    <w:rsid w:val="004346D1"/>
    <w:rsid w:val="00464C15"/>
    <w:rsid w:val="004B07FF"/>
    <w:rsid w:val="004B3C84"/>
    <w:rsid w:val="004C7700"/>
    <w:rsid w:val="004E4EC1"/>
    <w:rsid w:val="00514C5A"/>
    <w:rsid w:val="00520FC3"/>
    <w:rsid w:val="005300B4"/>
    <w:rsid w:val="0057155E"/>
    <w:rsid w:val="005F5E5B"/>
    <w:rsid w:val="00605A1D"/>
    <w:rsid w:val="00635A37"/>
    <w:rsid w:val="006524B0"/>
    <w:rsid w:val="00657E68"/>
    <w:rsid w:val="00660411"/>
    <w:rsid w:val="00676F11"/>
    <w:rsid w:val="00692E59"/>
    <w:rsid w:val="006A1ADB"/>
    <w:rsid w:val="006D5BE1"/>
    <w:rsid w:val="006E7156"/>
    <w:rsid w:val="0070447D"/>
    <w:rsid w:val="00732922"/>
    <w:rsid w:val="00742B9E"/>
    <w:rsid w:val="00774E7E"/>
    <w:rsid w:val="007943FF"/>
    <w:rsid w:val="00797C1C"/>
    <w:rsid w:val="007A2061"/>
    <w:rsid w:val="007B7EE6"/>
    <w:rsid w:val="008527A3"/>
    <w:rsid w:val="00853893"/>
    <w:rsid w:val="008A08E7"/>
    <w:rsid w:val="008E33C2"/>
    <w:rsid w:val="008F16F3"/>
    <w:rsid w:val="008F67DF"/>
    <w:rsid w:val="00901333"/>
    <w:rsid w:val="009263CB"/>
    <w:rsid w:val="00967050"/>
    <w:rsid w:val="009672D7"/>
    <w:rsid w:val="00970450"/>
    <w:rsid w:val="00975E45"/>
    <w:rsid w:val="00980476"/>
    <w:rsid w:val="009C4BD5"/>
    <w:rsid w:val="00A14E16"/>
    <w:rsid w:val="00A22700"/>
    <w:rsid w:val="00A25118"/>
    <w:rsid w:val="00A6086A"/>
    <w:rsid w:val="00A66F22"/>
    <w:rsid w:val="00A67B1C"/>
    <w:rsid w:val="00A8196F"/>
    <w:rsid w:val="00A81D7D"/>
    <w:rsid w:val="00AC084A"/>
    <w:rsid w:val="00AD0EEA"/>
    <w:rsid w:val="00AD47D4"/>
    <w:rsid w:val="00B21D1A"/>
    <w:rsid w:val="00B31599"/>
    <w:rsid w:val="00B96F7C"/>
    <w:rsid w:val="00BC446C"/>
    <w:rsid w:val="00BD2CBB"/>
    <w:rsid w:val="00BE0792"/>
    <w:rsid w:val="00BE0BF2"/>
    <w:rsid w:val="00C10684"/>
    <w:rsid w:val="00C2196B"/>
    <w:rsid w:val="00C21B57"/>
    <w:rsid w:val="00C34CB8"/>
    <w:rsid w:val="00C44590"/>
    <w:rsid w:val="00C627D2"/>
    <w:rsid w:val="00CA1621"/>
    <w:rsid w:val="00CB75E9"/>
    <w:rsid w:val="00CC4A19"/>
    <w:rsid w:val="00CF5787"/>
    <w:rsid w:val="00D63269"/>
    <w:rsid w:val="00D666A2"/>
    <w:rsid w:val="00D70F4F"/>
    <w:rsid w:val="00D974C7"/>
    <w:rsid w:val="00DA269E"/>
    <w:rsid w:val="00DD1B0E"/>
    <w:rsid w:val="00DD1F8B"/>
    <w:rsid w:val="00DE7167"/>
    <w:rsid w:val="00E35B0F"/>
    <w:rsid w:val="00E73862"/>
    <w:rsid w:val="00E852AB"/>
    <w:rsid w:val="00EB166F"/>
    <w:rsid w:val="00EB2EAB"/>
    <w:rsid w:val="00EC2116"/>
    <w:rsid w:val="00EC2397"/>
    <w:rsid w:val="00ED3C01"/>
    <w:rsid w:val="00EE4884"/>
    <w:rsid w:val="00EF4489"/>
    <w:rsid w:val="00EF5915"/>
    <w:rsid w:val="00F13A1B"/>
    <w:rsid w:val="00F654A7"/>
    <w:rsid w:val="00F8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EPR-AP3329SB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EPR/AP3329SB</OtherReference>
    <EventLink xmlns="5ffd8e36-f429-4edc-ab50-c5be84842779" xsi:nil="true"/>
    <Customer_x002f_OperatorName xmlns="eebef177-55b5-4448-a5fb-28ea454417ee">Alistair Young, Susan Young, James Young</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HR8 2LE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Hill House Farm</ExternalAuthor>
    <SiteName xmlns="eebef177-55b5-4448-a5fb-28ea454417ee">Hill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Hill House Farm, Ross Road, Ledbury, Hereford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592F554F-0E69-46D6-8179-FFCE08AFC497}"/>
</file>

<file path=customXml/itemProps2.xml><?xml version="1.0" encoding="utf-8"?>
<ds:datastoreItem xmlns:ds="http://schemas.openxmlformats.org/officeDocument/2006/customXml" ds:itemID="{FE59BEF3-E8F0-4E02-932B-1306EC840E05}"/>
</file>

<file path=customXml/itemProps3.xml><?xml version="1.0" encoding="utf-8"?>
<ds:datastoreItem xmlns:ds="http://schemas.openxmlformats.org/officeDocument/2006/customXml" ds:itemID="{0414D1A0-1613-4983-9DED-68810A090087}"/>
</file>

<file path=docProps/app.xml><?xml version="1.0" encoding="utf-8"?>
<Properties xmlns="http://schemas.openxmlformats.org/officeDocument/2006/extended-properties" xmlns:vt="http://schemas.openxmlformats.org/officeDocument/2006/docPropsVTypes">
  <Template>Normal</Template>
  <TotalTime>1209</TotalTime>
  <Pages>20</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87</cp:revision>
  <dcterms:created xsi:type="dcterms:W3CDTF">2014-06-06T12:43:00Z</dcterms:created>
  <dcterms:modified xsi:type="dcterms:W3CDTF">2023-01-17T09:39:00Z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