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Look w:val="04A0" w:firstRow="1" w:lastRow="0" w:firstColumn="1" w:lastColumn="0" w:noHBand="0" w:noVBand="1"/>
      </w:tblPr>
      <w:tblGrid>
        <w:gridCol w:w="5913"/>
        <w:gridCol w:w="3863"/>
      </w:tblGrid>
      <w:tr w:rsidR="007872AF" w14:paraId="34552B81" w14:textId="77777777" w:rsidTr="5FB24A3B">
        <w:tc>
          <w:tcPr>
            <w:tcW w:w="5913" w:type="dxa"/>
            <w:shd w:val="clear" w:color="auto" w:fill="D0CECE" w:themeFill="background2" w:themeFillShade="E6"/>
          </w:tcPr>
          <w:p w14:paraId="1999F90F" w14:textId="6C09A7D9" w:rsidR="007872AF" w:rsidRPr="007872AF" w:rsidRDefault="007872AF">
            <w:pPr>
              <w:rPr>
                <w:b/>
                <w:bCs/>
              </w:rPr>
            </w:pPr>
            <w:r>
              <w:rPr>
                <w:b/>
                <w:bCs/>
              </w:rPr>
              <w:t>Environment Agency Question</w:t>
            </w:r>
          </w:p>
        </w:tc>
        <w:tc>
          <w:tcPr>
            <w:tcW w:w="3863" w:type="dxa"/>
            <w:shd w:val="clear" w:color="auto" w:fill="D0CECE" w:themeFill="background2" w:themeFillShade="E6"/>
          </w:tcPr>
          <w:p w14:paraId="42F461B5" w14:textId="37B78B84" w:rsidR="007872AF" w:rsidRPr="007872AF" w:rsidRDefault="007872AF">
            <w:pPr>
              <w:rPr>
                <w:b/>
                <w:bCs/>
              </w:rPr>
            </w:pPr>
            <w:r>
              <w:rPr>
                <w:b/>
                <w:bCs/>
              </w:rPr>
              <w:t>Yorkshire Water Response</w:t>
            </w:r>
          </w:p>
        </w:tc>
      </w:tr>
      <w:tr w:rsidR="007872AF" w14:paraId="5AC65187" w14:textId="77777777" w:rsidTr="5FB24A3B">
        <w:tc>
          <w:tcPr>
            <w:tcW w:w="5913" w:type="dxa"/>
            <w:shd w:val="clear" w:color="auto" w:fill="D0CECE" w:themeFill="background2" w:themeFillShade="E6"/>
          </w:tcPr>
          <w:p w14:paraId="72061C5C" w14:textId="34BBD876" w:rsidR="007872AF" w:rsidRPr="007872AF" w:rsidRDefault="007872AF">
            <w:pPr>
              <w:rPr>
                <w:b/>
                <w:bCs/>
              </w:rPr>
            </w:pPr>
            <w:r w:rsidRPr="007872AF">
              <w:rPr>
                <w:b/>
                <w:bCs/>
              </w:rPr>
              <w:t>Form Part B2</w:t>
            </w:r>
          </w:p>
        </w:tc>
        <w:tc>
          <w:tcPr>
            <w:tcW w:w="3863" w:type="dxa"/>
            <w:shd w:val="clear" w:color="auto" w:fill="D0CECE" w:themeFill="background2" w:themeFillShade="E6"/>
          </w:tcPr>
          <w:p w14:paraId="6F7AF2ED" w14:textId="77777777" w:rsidR="007872AF" w:rsidRPr="007872AF" w:rsidRDefault="007872AF">
            <w:pPr>
              <w:rPr>
                <w:b/>
                <w:bCs/>
              </w:rPr>
            </w:pPr>
          </w:p>
        </w:tc>
      </w:tr>
      <w:tr w:rsidR="007872AF" w14:paraId="237EA722" w14:textId="77777777" w:rsidTr="5FB24A3B">
        <w:tc>
          <w:tcPr>
            <w:tcW w:w="5913" w:type="dxa"/>
          </w:tcPr>
          <w:p w14:paraId="05328362" w14:textId="0C844CBA" w:rsidR="007872AF" w:rsidRDefault="007872AF" w:rsidP="007872AF">
            <w:r>
              <w:t>Q3) Operator competency - Amend form to acknowledge Continuing Competency certificate (CC) is CC enclosed; submit appropriate original qualification certificate.</w:t>
            </w:r>
          </w:p>
        </w:tc>
        <w:tc>
          <w:tcPr>
            <w:tcW w:w="3863" w:type="dxa"/>
          </w:tcPr>
          <w:p w14:paraId="7DE70A2F" w14:textId="2E27B925" w:rsidR="007872AF" w:rsidRDefault="005B5D1B">
            <w:r>
              <w:t>Please see document ref ‘Deighton B2’ and ‘Original WAMITAB Award – Kevin Spink’</w:t>
            </w:r>
          </w:p>
        </w:tc>
      </w:tr>
      <w:tr w:rsidR="007872AF" w14:paraId="045FCF41" w14:textId="77777777" w:rsidTr="5FB24A3B">
        <w:tc>
          <w:tcPr>
            <w:tcW w:w="5913" w:type="dxa"/>
          </w:tcPr>
          <w:p w14:paraId="4CDE9925" w14:textId="67215DE8" w:rsidR="007872AF" w:rsidRDefault="007872AF">
            <w:r w:rsidRPr="007872AF">
              <w:t>Q3b) Confirm whether Technical Competent Manager (TCM) currently and is intending to cover other sites. Provide the details of all other sites.</w:t>
            </w:r>
          </w:p>
        </w:tc>
        <w:tc>
          <w:tcPr>
            <w:tcW w:w="3863" w:type="dxa"/>
          </w:tcPr>
          <w:p w14:paraId="40060A53" w14:textId="1FF30B5B" w:rsidR="007872AF" w:rsidRDefault="005B5D1B">
            <w:r>
              <w:t>Please see document ref ‘TCM – Additional Sites’</w:t>
            </w:r>
          </w:p>
          <w:p w14:paraId="12A5F976" w14:textId="61EF0B6F" w:rsidR="007872AF" w:rsidRDefault="007872AF" w:rsidP="5FB24A3B">
            <w:pPr>
              <w:rPr>
                <w:highlight w:val="yellow"/>
              </w:rPr>
            </w:pPr>
          </w:p>
        </w:tc>
      </w:tr>
      <w:tr w:rsidR="007872AF" w14:paraId="059F5A6D" w14:textId="77777777" w:rsidTr="5FB24A3B">
        <w:tc>
          <w:tcPr>
            <w:tcW w:w="5913" w:type="dxa"/>
          </w:tcPr>
          <w:p w14:paraId="6A9EAA9B" w14:textId="0ECD50EB" w:rsidR="007872AF" w:rsidRDefault="007872AF">
            <w:r w:rsidRPr="007872AF">
              <w:t xml:space="preserve">Appendix) - Complete TCM’s date of birth. (Please note we redact the </w:t>
            </w:r>
            <w:proofErr w:type="spellStart"/>
            <w:r w:rsidRPr="007872AF">
              <w:t>DoB</w:t>
            </w:r>
            <w:proofErr w:type="spellEnd"/>
            <w:r w:rsidRPr="007872AF">
              <w:t xml:space="preserve"> information prior to putting it on the Public Register).</w:t>
            </w:r>
          </w:p>
        </w:tc>
        <w:tc>
          <w:tcPr>
            <w:tcW w:w="3863" w:type="dxa"/>
          </w:tcPr>
          <w:p w14:paraId="6403ECC6" w14:textId="48DAAA34" w:rsidR="007872AF" w:rsidRDefault="005B5D1B">
            <w:r>
              <w:t>Please see document ref ‘Deighton B2’</w:t>
            </w:r>
          </w:p>
        </w:tc>
      </w:tr>
      <w:tr w:rsidR="007872AF" w14:paraId="0C1D7F29" w14:textId="77777777" w:rsidTr="5FB24A3B">
        <w:tc>
          <w:tcPr>
            <w:tcW w:w="5913" w:type="dxa"/>
          </w:tcPr>
          <w:p w14:paraId="56ED66B0" w14:textId="2CC7DC95" w:rsidR="007872AF" w:rsidRDefault="007872AF" w:rsidP="007872AF">
            <w:r>
              <w:t xml:space="preserve">Q5a) Site plan – Amend and resubmit map showing the proposed site area and boundary. </w:t>
            </w:r>
          </w:p>
          <w:p w14:paraId="4D5CA9B1" w14:textId="6C8946E0" w:rsidR="007872AF" w:rsidRDefault="007872AF" w:rsidP="007872AF">
            <w:r>
              <w:t>Reason: The National Grid Reference does not appear to correspond with the proposed permitted area on the site plan and currently the map’s scale is too small, making the proposed area difficult to define/ detect. The permitted area should be large enough to perform all waste operational activities. The map should be drawn to scale and have a north arrow, and show some local landscape features, so that the proposed site is clear in its relationship with the neighbourhood. The map would benefit from excluding surplus areas shown to the north.</w:t>
            </w:r>
          </w:p>
        </w:tc>
        <w:tc>
          <w:tcPr>
            <w:tcW w:w="3863" w:type="dxa"/>
          </w:tcPr>
          <w:p w14:paraId="3E04F47E" w14:textId="6D9AAB86" w:rsidR="007872AF" w:rsidRPr="00014A6A" w:rsidRDefault="2B14D8AB" w:rsidP="1CC7DBA7">
            <w:r w:rsidRPr="00014A6A">
              <w:t>Please see document ref</w:t>
            </w:r>
            <w:r w:rsidR="00934EB3">
              <w:t xml:space="preserve"> ‘</w:t>
            </w:r>
            <w:r w:rsidRPr="00014A6A">
              <w:t>Deighton</w:t>
            </w:r>
            <w:r w:rsidR="00014A6A">
              <w:t xml:space="preserve"> </w:t>
            </w:r>
            <w:r w:rsidRPr="00014A6A">
              <w:t xml:space="preserve">- </w:t>
            </w:r>
            <w:r w:rsidR="00014A6A">
              <w:t>P</w:t>
            </w:r>
            <w:r w:rsidRPr="00014A6A">
              <w:t xml:space="preserve">ermit </w:t>
            </w:r>
            <w:r w:rsidR="00014A6A">
              <w:t>B</w:t>
            </w:r>
            <w:r w:rsidRPr="00014A6A">
              <w:t>oundary and Deighton</w:t>
            </w:r>
            <w:r w:rsidR="00014A6A">
              <w:t xml:space="preserve"> </w:t>
            </w:r>
            <w:r w:rsidRPr="00014A6A">
              <w:t>- Site Plan</w:t>
            </w:r>
            <w:r w:rsidR="00934EB3">
              <w:t>’</w:t>
            </w:r>
          </w:p>
          <w:p w14:paraId="76E6B793" w14:textId="75612FE7" w:rsidR="007872AF" w:rsidRDefault="007872AF" w:rsidP="5FB24A3B">
            <w:pPr>
              <w:rPr>
                <w:highlight w:val="yellow"/>
              </w:rPr>
            </w:pPr>
          </w:p>
        </w:tc>
      </w:tr>
      <w:tr w:rsidR="007872AF" w14:paraId="611AE130" w14:textId="77777777" w:rsidTr="5FB24A3B">
        <w:tc>
          <w:tcPr>
            <w:tcW w:w="5913" w:type="dxa"/>
          </w:tcPr>
          <w:p w14:paraId="38989906" w14:textId="45DC7B5C" w:rsidR="007872AF" w:rsidRDefault="007872AF" w:rsidP="007872AF">
            <w:r>
              <w:t>Q5b) Site Condition Report</w:t>
            </w:r>
          </w:p>
          <w:p w14:paraId="51335F82" w14:textId="77777777" w:rsidR="007872AF" w:rsidRDefault="007872AF" w:rsidP="007872AF">
            <w:r>
              <w:t xml:space="preserve">You must also send us a detailed site plan (or plans) showing the following listed in the template Environmental permitting: H5 Site condition report - GOV.UK (www.gov.uk): </w:t>
            </w:r>
          </w:p>
          <w:p w14:paraId="3AE3E062" w14:textId="77777777" w:rsidR="007872AF" w:rsidRDefault="007872AF" w:rsidP="007872AF">
            <w:r>
              <w:t xml:space="preserve">• site location, the area covered by the SCR, and the location and nature of the activities and/or waste facilities on the site </w:t>
            </w:r>
          </w:p>
          <w:p w14:paraId="5323E77E" w14:textId="77777777" w:rsidR="007872AF" w:rsidRDefault="007872AF" w:rsidP="007872AF">
            <w:r>
              <w:t xml:space="preserve">• locations of receptors, sources of emissions/releases, and monitoring points </w:t>
            </w:r>
          </w:p>
          <w:p w14:paraId="2374A916" w14:textId="77777777" w:rsidR="007872AF" w:rsidRDefault="007872AF" w:rsidP="007872AF">
            <w:r>
              <w:t xml:space="preserve">• site drainage </w:t>
            </w:r>
          </w:p>
          <w:p w14:paraId="62A40C01" w14:textId="4D878270" w:rsidR="007872AF" w:rsidRDefault="007872AF" w:rsidP="007872AF">
            <w:r>
              <w:t>• site surfacing</w:t>
            </w:r>
          </w:p>
        </w:tc>
        <w:tc>
          <w:tcPr>
            <w:tcW w:w="3863" w:type="dxa"/>
          </w:tcPr>
          <w:p w14:paraId="4A6D6079" w14:textId="7907D8D9" w:rsidR="007872AF" w:rsidRDefault="005B5D1B">
            <w:r>
              <w:t>Please see document ref ‘Deighton WwTW – Supporting Information’ Appendix B.</w:t>
            </w:r>
          </w:p>
        </w:tc>
      </w:tr>
      <w:tr w:rsidR="007872AF" w14:paraId="5E05752F" w14:textId="77777777" w:rsidTr="5FB24A3B">
        <w:tc>
          <w:tcPr>
            <w:tcW w:w="5913" w:type="dxa"/>
          </w:tcPr>
          <w:p w14:paraId="14ED0CC3" w14:textId="060705D9" w:rsidR="007872AF" w:rsidRDefault="007872AF" w:rsidP="007872AF">
            <w:r>
              <w:t>Q5c) Non-Technical Summary (NTS) – Amend to also include/ clarify:</w:t>
            </w:r>
          </w:p>
          <w:p w14:paraId="650F4265" w14:textId="38FD08F9" w:rsidR="007872AF" w:rsidRDefault="007872AF" w:rsidP="007872AF">
            <w:pPr>
              <w:pStyle w:val="ListParagraph"/>
              <w:numPr>
                <w:ilvl w:val="0"/>
                <w:numId w:val="2"/>
              </w:numPr>
            </w:pPr>
            <w:r>
              <w:t>the process that occurs from arrival of waste onsite up</w:t>
            </w:r>
            <w:r w:rsidR="00934EB3">
              <w:t xml:space="preserve"> </w:t>
            </w:r>
            <w:r>
              <w:t xml:space="preserve">to discharge from holding tanks into Head of Works. </w:t>
            </w:r>
          </w:p>
          <w:p w14:paraId="15730751" w14:textId="3251E594" w:rsidR="007872AF" w:rsidRDefault="007872AF" w:rsidP="007872AF">
            <w:pPr>
              <w:pStyle w:val="ListParagraph"/>
              <w:numPr>
                <w:ilvl w:val="0"/>
                <w:numId w:val="2"/>
              </w:numPr>
            </w:pPr>
            <w:r>
              <w:t>the annual throughput tonnage.</w:t>
            </w:r>
          </w:p>
          <w:p w14:paraId="78EC741B" w14:textId="798B0EEA" w:rsidR="007872AF" w:rsidRDefault="007872AF" w:rsidP="007872AF">
            <w:pPr>
              <w:pStyle w:val="ListParagraph"/>
              <w:numPr>
                <w:ilvl w:val="0"/>
                <w:numId w:val="2"/>
              </w:numPr>
            </w:pPr>
            <w:r>
              <w:t>the hours and frequencies the deliveries would occur.</w:t>
            </w:r>
          </w:p>
          <w:p w14:paraId="222F2D2A" w14:textId="25956B63" w:rsidR="007872AF" w:rsidRDefault="007872AF" w:rsidP="007872AF">
            <w:pPr>
              <w:pStyle w:val="ListParagraph"/>
              <w:numPr>
                <w:ilvl w:val="0"/>
                <w:numId w:val="2"/>
              </w:numPr>
            </w:pPr>
            <w:r>
              <w:t>summarise the risks and mitigation associated with the proposed operation.</w:t>
            </w:r>
          </w:p>
          <w:p w14:paraId="5F3DE978" w14:textId="06E479C1" w:rsidR="007872AF" w:rsidRDefault="007872AF" w:rsidP="007872AF">
            <w:r>
              <w:t>Reason: The application currently suggests the tankered waste is diluted and blended prior to release at Head of Works; however, we believe this may not be the intention</w:t>
            </w:r>
          </w:p>
        </w:tc>
        <w:tc>
          <w:tcPr>
            <w:tcW w:w="3863" w:type="dxa"/>
          </w:tcPr>
          <w:p w14:paraId="6532842C" w14:textId="29658DF8" w:rsidR="007872AF" w:rsidRDefault="13A1970C">
            <w:r>
              <w:t>Please see document ref ‘Deighton WwTW – Supporting Information’ which has been updated to reflect operations on site.</w:t>
            </w:r>
            <w:r w:rsidR="0EDD49B1">
              <w:t xml:space="preserve"> </w:t>
            </w:r>
          </w:p>
        </w:tc>
      </w:tr>
      <w:tr w:rsidR="007872AF" w14:paraId="58DA4A4A" w14:textId="77777777" w:rsidTr="5FB24A3B">
        <w:tc>
          <w:tcPr>
            <w:tcW w:w="5913" w:type="dxa"/>
          </w:tcPr>
          <w:p w14:paraId="7E3DA028" w14:textId="45CEBACA" w:rsidR="007872AF" w:rsidRDefault="007872AF" w:rsidP="007872AF">
            <w:r>
              <w:t>Q6) Environmental Risk Assessment (ERA)</w:t>
            </w:r>
          </w:p>
          <w:p w14:paraId="1D361DC3" w14:textId="177F8C6A" w:rsidR="007872AF" w:rsidRDefault="007872AF" w:rsidP="007872AF">
            <w:pPr>
              <w:pStyle w:val="ListParagraph"/>
              <w:numPr>
                <w:ilvl w:val="0"/>
                <w:numId w:val="3"/>
              </w:numPr>
            </w:pPr>
            <w:r>
              <w:t>Include assessment of the potential for the production and release of bioaerosols from any wet mixing process done onsite prior to discharge into Head of Works.</w:t>
            </w:r>
          </w:p>
          <w:p w14:paraId="402085CD" w14:textId="5697AECA" w:rsidR="007872AF" w:rsidRDefault="007872AF" w:rsidP="007872AF">
            <w:pPr>
              <w:ind w:firstLine="45"/>
            </w:pPr>
          </w:p>
          <w:p w14:paraId="3AB9D9A6" w14:textId="43C66722" w:rsidR="007872AF" w:rsidRDefault="007872AF" w:rsidP="007872AF">
            <w:pPr>
              <w:pStyle w:val="ListParagraph"/>
              <w:numPr>
                <w:ilvl w:val="0"/>
                <w:numId w:val="3"/>
              </w:numPr>
            </w:pPr>
            <w:r>
              <w:lastRenderedPageBreak/>
              <w:t>The site is within flood zone 2 and near Zone 3 and the risk assessment submitted states that the site is in an area that benefits from flood defences; it is not sufficient to rely on flood defences. You should revise the risk assessment to adequately address flood risk at the site by describing how pollution in event of flood will be prevented; include details of actions to be taken in the event of an accident or abnormal event.</w:t>
            </w:r>
          </w:p>
          <w:p w14:paraId="126D66D1" w14:textId="77777777" w:rsidR="007872AF" w:rsidRDefault="007872AF"/>
        </w:tc>
        <w:tc>
          <w:tcPr>
            <w:tcW w:w="3863" w:type="dxa"/>
          </w:tcPr>
          <w:p w14:paraId="0A0E1222" w14:textId="5CF039DE" w:rsidR="007872AF" w:rsidRDefault="005B5D1B">
            <w:r>
              <w:lastRenderedPageBreak/>
              <w:t>Please see document ref ‘Deighton WwTW – Tankered Imports Environmental Risk Assessment’ and ‘Deighton WwTW Tankered Waste Imports Bioaerosol risk assessment’.</w:t>
            </w:r>
          </w:p>
        </w:tc>
      </w:tr>
      <w:tr w:rsidR="007872AF" w14:paraId="112337DB" w14:textId="77777777" w:rsidTr="5FB24A3B">
        <w:tc>
          <w:tcPr>
            <w:tcW w:w="5913" w:type="dxa"/>
            <w:shd w:val="clear" w:color="auto" w:fill="D0CECE" w:themeFill="background2" w:themeFillShade="E6"/>
          </w:tcPr>
          <w:p w14:paraId="61A252B4" w14:textId="5FA9EA5A" w:rsidR="007872AF" w:rsidRPr="007872AF" w:rsidRDefault="007872AF" w:rsidP="007872AF">
            <w:pPr>
              <w:rPr>
                <w:b/>
                <w:bCs/>
              </w:rPr>
            </w:pPr>
            <w:r w:rsidRPr="007872AF">
              <w:rPr>
                <w:b/>
                <w:bCs/>
              </w:rPr>
              <w:t>Form Part B4</w:t>
            </w:r>
          </w:p>
        </w:tc>
        <w:tc>
          <w:tcPr>
            <w:tcW w:w="3863" w:type="dxa"/>
            <w:shd w:val="clear" w:color="auto" w:fill="D0CECE" w:themeFill="background2" w:themeFillShade="E6"/>
          </w:tcPr>
          <w:p w14:paraId="2B4BAC71" w14:textId="77777777" w:rsidR="007872AF" w:rsidRDefault="007872AF"/>
        </w:tc>
      </w:tr>
      <w:tr w:rsidR="007872AF" w14:paraId="655EBC43" w14:textId="77777777" w:rsidTr="5FB24A3B">
        <w:tc>
          <w:tcPr>
            <w:tcW w:w="5913" w:type="dxa"/>
          </w:tcPr>
          <w:p w14:paraId="113B5B5C" w14:textId="1FD12FA2" w:rsidR="007872AF" w:rsidRDefault="007872AF" w:rsidP="007872AF">
            <w:r>
              <w:t>Table 1a – Confirm the maximum daily treatment and storage capacities, and annual throughput in tonnes.</w:t>
            </w:r>
          </w:p>
          <w:p w14:paraId="2D2C853B" w14:textId="77777777" w:rsidR="007872AF" w:rsidRDefault="007872AF" w:rsidP="007872AF">
            <w:r>
              <w:t xml:space="preserve">Include those requested after the application was submitted but before it was allocated for Duly Making if they are still required. </w:t>
            </w:r>
          </w:p>
          <w:p w14:paraId="1FFFF3BD" w14:textId="77777777" w:rsidR="007872AF" w:rsidRDefault="007872AF" w:rsidP="007872AF">
            <w:r>
              <w:t xml:space="preserve">The list of wastes to be accepted includes codes ending in 99, so you must provide more information and a full description of the waste in the document (for example, detailing the source, nature and composition of the waste). </w:t>
            </w:r>
          </w:p>
          <w:p w14:paraId="7AC59731" w14:textId="39366231" w:rsidR="007872AF" w:rsidRDefault="007872AF" w:rsidP="007872AF">
            <w:r>
              <w:t xml:space="preserve">Where you only want to receive specific wastes within a waste code you should provide further details of the restricted waste. Where a waste is dual coded you should use both codes for the waste.  </w:t>
            </w:r>
          </w:p>
        </w:tc>
        <w:tc>
          <w:tcPr>
            <w:tcW w:w="3863" w:type="dxa"/>
          </w:tcPr>
          <w:p w14:paraId="094634A8" w14:textId="11056278" w:rsidR="007872AF" w:rsidRDefault="088C72A0">
            <w:r>
              <w:t xml:space="preserve">Please see document ref ‘Form B4 – Deighton’ which has updated annual throughput figures and updated document </w:t>
            </w:r>
            <w:r w:rsidRPr="00934EB3">
              <w:t>ref ‘Final EWC List 2023’.</w:t>
            </w:r>
          </w:p>
        </w:tc>
      </w:tr>
      <w:tr w:rsidR="007872AF" w14:paraId="2310B270" w14:textId="77777777" w:rsidTr="5FB24A3B">
        <w:tc>
          <w:tcPr>
            <w:tcW w:w="5913" w:type="dxa"/>
          </w:tcPr>
          <w:p w14:paraId="20565189" w14:textId="6B1EC50D" w:rsidR="007872AF" w:rsidRDefault="007872AF" w:rsidP="007872AF">
            <w:r>
              <w:t>Table 1b – waste types</w:t>
            </w:r>
          </w:p>
          <w:p w14:paraId="2A82B715" w14:textId="77777777" w:rsidR="007872AF" w:rsidRDefault="007872AF" w:rsidP="007872AF">
            <w:r>
              <w:t xml:space="preserve"> </w:t>
            </w:r>
          </w:p>
          <w:p w14:paraId="009C5941" w14:textId="77777777" w:rsidR="007872AF" w:rsidRDefault="007872AF" w:rsidP="007872AF">
            <w:r>
              <w:t>Confirm the waste you intend to accept under “19 12 12 - other wastes (including mixtures of materials) from mechanical treatment of wastes other than those mentioned in 19 12 11”. Reason: This description is very broad and does not indicate the waste the operator will accept/ reject</w:t>
            </w:r>
          </w:p>
          <w:p w14:paraId="73BD30C5" w14:textId="428EF00F" w:rsidR="007872AF" w:rsidRDefault="007872AF" w:rsidP="007872AF"/>
        </w:tc>
        <w:tc>
          <w:tcPr>
            <w:tcW w:w="3863" w:type="dxa"/>
          </w:tcPr>
          <w:p w14:paraId="2719C8BA" w14:textId="79ECCD8C" w:rsidR="007872AF" w:rsidRDefault="088C72A0">
            <w:r>
              <w:t>Please see updated document ref ‘Final EWC List 2023’.</w:t>
            </w:r>
          </w:p>
          <w:p w14:paraId="0C967809" w14:textId="0387B4A2" w:rsidR="00356292" w:rsidRDefault="00356292"/>
          <w:p w14:paraId="082969A5" w14:textId="664B2EA0" w:rsidR="00356292" w:rsidRDefault="00356292">
            <w:r>
              <w:t>This waste would be generated from the c</w:t>
            </w:r>
            <w:r w:rsidRPr="00356292">
              <w:t>leaning of MBT facilities</w:t>
            </w:r>
            <w:r>
              <w:t xml:space="preserve"> and has been identified as suitable for treatment in ‘</w:t>
            </w:r>
            <w:r w:rsidRPr="00356292">
              <w:t>Biological waste treatment: appropriate measures for permitted facilities guidance</w:t>
            </w:r>
            <w:r>
              <w:t>’.</w:t>
            </w:r>
          </w:p>
          <w:p w14:paraId="3C04E6A2" w14:textId="48AA4F1D" w:rsidR="007872AF" w:rsidRDefault="007872AF" w:rsidP="3443828B"/>
        </w:tc>
      </w:tr>
      <w:tr w:rsidR="007872AF" w14:paraId="2DF11B12" w14:textId="77777777" w:rsidTr="5FB24A3B">
        <w:tc>
          <w:tcPr>
            <w:tcW w:w="5913" w:type="dxa"/>
          </w:tcPr>
          <w:p w14:paraId="4CE5286B" w14:textId="0A2492BA" w:rsidR="007872AF" w:rsidRDefault="007872AF" w:rsidP="007872AF">
            <w:r>
              <w:t xml:space="preserve">Table 3a Technical standards - </w:t>
            </w:r>
          </w:p>
          <w:p w14:paraId="0E4C81B7" w14:textId="77777777" w:rsidR="007872AF" w:rsidRDefault="007872AF" w:rsidP="007872AF">
            <w:r>
              <w:t xml:space="preserve">Amend Table 3a to include the relevant technical standards. The S5.06 guidance is no longer relevant to new operations. </w:t>
            </w:r>
          </w:p>
          <w:p w14:paraId="28191216" w14:textId="77777777" w:rsidR="007872AF" w:rsidRDefault="007872AF" w:rsidP="007872AF">
            <w:r>
              <w:t xml:space="preserve"> </w:t>
            </w:r>
          </w:p>
          <w:p w14:paraId="64D7B034" w14:textId="77777777" w:rsidR="007872AF" w:rsidRDefault="007872AF" w:rsidP="007872AF">
            <w:r>
              <w:t>Relevant standards are:</w:t>
            </w:r>
          </w:p>
          <w:p w14:paraId="418FAF68" w14:textId="1371D4B1" w:rsidR="007872AF" w:rsidRDefault="007872AF" w:rsidP="007872AF">
            <w:pPr>
              <w:pStyle w:val="ListParagraph"/>
              <w:numPr>
                <w:ilvl w:val="0"/>
                <w:numId w:val="4"/>
              </w:numPr>
            </w:pPr>
            <w:r>
              <w:t>Non-hazardous and inert waste: appropriate measures for permitted facilities - Guidance - GOV.UK (www.gov.uk). (excluding Section/Part 8-Installations)</w:t>
            </w:r>
          </w:p>
          <w:p w14:paraId="4048ED91" w14:textId="453557DB" w:rsidR="007872AF" w:rsidRDefault="007872AF" w:rsidP="007872AF">
            <w:pPr>
              <w:pStyle w:val="ListParagraph"/>
              <w:numPr>
                <w:ilvl w:val="0"/>
                <w:numId w:val="4"/>
              </w:numPr>
            </w:pPr>
            <w:r>
              <w:t>Biological waste treatment: appropriate measures for permitted facilities - Guidance - GOV.UK (www.gov.uk)</w:t>
            </w:r>
          </w:p>
          <w:p w14:paraId="48CEA3C6" w14:textId="77777777" w:rsidR="007872AF" w:rsidRDefault="007872AF" w:rsidP="007872AF">
            <w:r>
              <w:t xml:space="preserve"> </w:t>
            </w:r>
          </w:p>
          <w:p w14:paraId="3A6DC370" w14:textId="77777777" w:rsidR="007872AF" w:rsidRDefault="007872AF" w:rsidP="007872AF">
            <w:r>
              <w:t xml:space="preserve">We would expect the operator to agree to the whole guidance or sections of it as appropriate. If you agree with all the parts you can simply list the guidance in Table 3a and say you agree with “all parts”. </w:t>
            </w:r>
          </w:p>
          <w:p w14:paraId="1FEF77BB" w14:textId="77777777" w:rsidR="007872AF" w:rsidRDefault="007872AF" w:rsidP="007872AF">
            <w:r>
              <w:t xml:space="preserve"> </w:t>
            </w:r>
          </w:p>
          <w:p w14:paraId="40D104D2" w14:textId="77777777" w:rsidR="007872AF" w:rsidRDefault="007872AF" w:rsidP="007872AF">
            <w:r>
              <w:t xml:space="preserve">If a particular section is not applicable you can state this and explain why. </w:t>
            </w:r>
          </w:p>
          <w:p w14:paraId="2DB2B57F" w14:textId="77777777" w:rsidR="007872AF" w:rsidRDefault="007872AF" w:rsidP="007872AF">
            <w:r>
              <w:t xml:space="preserve"> </w:t>
            </w:r>
          </w:p>
          <w:p w14:paraId="3BE98E5F" w14:textId="77777777" w:rsidR="007872AF" w:rsidRDefault="007872AF" w:rsidP="007872AF">
            <w:r>
              <w:t xml:space="preserve">If you have an alternative measure to what is in the guidance should tell us. If you wish to deviate you must give the reference to your document in the table’s </w:t>
            </w:r>
            <w:proofErr w:type="gramStart"/>
            <w:r>
              <w:t>right hand</w:t>
            </w:r>
            <w:proofErr w:type="gramEnd"/>
            <w:r>
              <w:t xml:space="preserve"> column and submit that document. In that document you must explain how the operator will deviate and justify your reasoning. </w:t>
            </w:r>
          </w:p>
          <w:p w14:paraId="0A07A60F" w14:textId="77777777" w:rsidR="007872AF" w:rsidRDefault="007872AF" w:rsidP="007872AF">
            <w:r>
              <w:t xml:space="preserve"> </w:t>
            </w:r>
          </w:p>
          <w:p w14:paraId="4D6254ED" w14:textId="627A553B" w:rsidR="007872AF" w:rsidRDefault="007872AF" w:rsidP="007872AF">
            <w:r>
              <w:t>You should provide infrastructure plans, process flow diagrams or block diagrams to help describe the operations and processes to be undertaken.</w:t>
            </w:r>
          </w:p>
        </w:tc>
        <w:tc>
          <w:tcPr>
            <w:tcW w:w="3863" w:type="dxa"/>
          </w:tcPr>
          <w:p w14:paraId="0864652B" w14:textId="1841EE43" w:rsidR="007872AF" w:rsidRDefault="008F3825" w:rsidP="3443828B">
            <w:r>
              <w:t>Please see updated document ref ‘Form B4</w:t>
            </w:r>
            <w:r w:rsidR="00961FE6">
              <w:t xml:space="preserve"> - Deighton</w:t>
            </w:r>
            <w:r>
              <w:t xml:space="preserve">’ and ‘Deighton WwTW – </w:t>
            </w:r>
            <w:r>
              <w:t xml:space="preserve">Supporting Information’ Form B4 additional information. </w:t>
            </w:r>
          </w:p>
          <w:p w14:paraId="5D533A4B" w14:textId="77777777" w:rsidR="008F3825" w:rsidRDefault="008F3825" w:rsidP="3443828B"/>
          <w:p w14:paraId="1EF8F910" w14:textId="17735650" w:rsidR="007872AF" w:rsidRDefault="008F3825" w:rsidP="3443828B">
            <w:r>
              <w:t>Process flow diagrams are included in document ref ‘Deighton WwTW – Supporting Information’.</w:t>
            </w:r>
          </w:p>
          <w:p w14:paraId="3F12B006" w14:textId="77777777" w:rsidR="008F3825" w:rsidRDefault="008F3825" w:rsidP="3443828B"/>
          <w:p w14:paraId="5060D5A6" w14:textId="61B3318F" w:rsidR="007872AF" w:rsidRDefault="007872AF" w:rsidP="3443828B"/>
        </w:tc>
      </w:tr>
      <w:tr w:rsidR="007872AF" w14:paraId="0543DF3A" w14:textId="77777777" w:rsidTr="5FB24A3B">
        <w:tc>
          <w:tcPr>
            <w:tcW w:w="5913" w:type="dxa"/>
          </w:tcPr>
          <w:p w14:paraId="02319625" w14:textId="196924E3" w:rsidR="007872AF" w:rsidRDefault="007872AF" w:rsidP="007872AF">
            <w:r>
              <w:t xml:space="preserve">Table 3b Management Plans – </w:t>
            </w:r>
          </w:p>
          <w:p w14:paraId="4359B6C6" w14:textId="77777777" w:rsidR="007872AF" w:rsidRDefault="007872AF" w:rsidP="007872AF">
            <w:r>
              <w:t xml:space="preserve">You must submit an Odour Management Plan (OMP) as the wastes are potentially odorous. You may wish to use the attached template to form the base of the OMP.  </w:t>
            </w:r>
          </w:p>
          <w:p w14:paraId="63C59FA6" w14:textId="77777777" w:rsidR="007872AF" w:rsidRDefault="007872AF" w:rsidP="007872AF">
            <w:r>
              <w:t xml:space="preserve"> </w:t>
            </w:r>
          </w:p>
          <w:p w14:paraId="2F8A8C5B" w14:textId="77777777" w:rsidR="007872AF" w:rsidRDefault="007872AF" w:rsidP="007872AF">
            <w:r>
              <w:t>The OMP should meet the requirements of our H4 Guidance (https://www.gov.uk/government/publications/environmental-permitting-h4-odour-management). The charge for our assessment of your plan is not included in your baseline application charge; therefore, you need to make an additional payment of £1,246.</w:t>
            </w:r>
          </w:p>
          <w:p w14:paraId="71374BDB" w14:textId="77777777" w:rsidR="007872AF" w:rsidRDefault="007872AF" w:rsidP="007872AF">
            <w:r>
              <w:t xml:space="preserve"> </w:t>
            </w:r>
          </w:p>
          <w:p w14:paraId="314A5B1F" w14:textId="716617BA" w:rsidR="007872AF" w:rsidRDefault="007872AF" w:rsidP="007872AF">
            <w:r>
              <w:t>Reason: There is potential for odorous effluent to be accepted at the site via tanker; therefore, an OMP is required</w:t>
            </w:r>
          </w:p>
        </w:tc>
        <w:tc>
          <w:tcPr>
            <w:tcW w:w="3863" w:type="dxa"/>
          </w:tcPr>
          <w:p w14:paraId="0C96839D" w14:textId="4F9BD378" w:rsidR="007872AF" w:rsidRDefault="00356292">
            <w:r>
              <w:t xml:space="preserve">Please see document ref ‘Deighton – OMP’. An additional payment has been made under reference PSCAPPYYORKSWI005. </w:t>
            </w:r>
          </w:p>
        </w:tc>
      </w:tr>
      <w:tr w:rsidR="007872AF" w14:paraId="33417A75" w14:textId="77777777" w:rsidTr="5FB24A3B">
        <w:tc>
          <w:tcPr>
            <w:tcW w:w="5913" w:type="dxa"/>
          </w:tcPr>
          <w:p w14:paraId="15A77346" w14:textId="77777777" w:rsidR="007872AF" w:rsidRPr="007872AF" w:rsidRDefault="007872AF" w:rsidP="007872AF">
            <w:pPr>
              <w:rPr>
                <w:b/>
                <w:bCs/>
              </w:rPr>
            </w:pPr>
            <w:r w:rsidRPr="007872AF">
              <w:rPr>
                <w:b/>
                <w:bCs/>
              </w:rPr>
              <w:t xml:space="preserve">Form Part F1: </w:t>
            </w:r>
          </w:p>
          <w:p w14:paraId="736BB612" w14:textId="0E500515" w:rsidR="007872AF" w:rsidRDefault="007872AF" w:rsidP="007872AF">
            <w:r>
              <w:t>Make an additional payment of £1,246 for the Odour Management Plan (OMP) assessment.</w:t>
            </w:r>
            <w:r w:rsidR="00934EB3">
              <w:t xml:space="preserve"> </w:t>
            </w:r>
            <w:proofErr w:type="gramStart"/>
            <w:r>
              <w:t>(</w:t>
            </w:r>
            <w:proofErr w:type="gramEnd"/>
            <w:r>
              <w:t>As above)</w:t>
            </w:r>
          </w:p>
        </w:tc>
        <w:tc>
          <w:tcPr>
            <w:tcW w:w="3863" w:type="dxa"/>
          </w:tcPr>
          <w:p w14:paraId="0634D0F8" w14:textId="4A5CA9BE" w:rsidR="007872AF" w:rsidRDefault="00356292">
            <w:r>
              <w:t>An additional payment has been made under reference PSCAPPYYORKSWI005.</w:t>
            </w:r>
          </w:p>
        </w:tc>
      </w:tr>
    </w:tbl>
    <w:p w14:paraId="708C3BEA" w14:textId="77777777" w:rsidR="00644669" w:rsidRDefault="00644669"/>
    <w:p w14:paraId="5B87E6AB" w14:textId="56A0246B" w:rsidR="5FB24A3B" w:rsidRDefault="5FB24A3B" w:rsidP="5FB24A3B"/>
    <w:p w14:paraId="14A10DE1" w14:textId="4574B69E" w:rsidR="5FB24A3B" w:rsidRDefault="5FB24A3B" w:rsidP="5FB24A3B"/>
    <w:sectPr w:rsidR="5FB24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CB280" w14:textId="77777777" w:rsidR="007872AF" w:rsidRDefault="007872AF" w:rsidP="007872AF">
      <w:pPr>
        <w:spacing w:after="0" w:line="240" w:lineRule="auto"/>
      </w:pPr>
      <w:r>
        <w:separator/>
      </w:r>
    </w:p>
  </w:endnote>
  <w:endnote w:type="continuationSeparator" w:id="0">
    <w:p w14:paraId="60DD0D3C" w14:textId="77777777" w:rsidR="007872AF" w:rsidRDefault="007872AF" w:rsidP="007872AF">
      <w:pPr>
        <w:spacing w:after="0" w:line="240" w:lineRule="auto"/>
      </w:pPr>
      <w:r>
        <w:continuationSeparator/>
      </w:r>
    </w:p>
  </w:endnote>
  <w:endnote w:type="continuationNotice" w:id="1">
    <w:p w14:paraId="576C9D37" w14:textId="77777777" w:rsidR="00EB6147" w:rsidRDefault="00EB6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0A87" w14:textId="77777777" w:rsidR="007872AF" w:rsidRDefault="007872AF" w:rsidP="007872AF">
      <w:pPr>
        <w:spacing w:after="0" w:line="240" w:lineRule="auto"/>
      </w:pPr>
      <w:r>
        <w:separator/>
      </w:r>
    </w:p>
  </w:footnote>
  <w:footnote w:type="continuationSeparator" w:id="0">
    <w:p w14:paraId="4DBE936F" w14:textId="77777777" w:rsidR="007872AF" w:rsidRDefault="007872AF" w:rsidP="007872AF">
      <w:pPr>
        <w:spacing w:after="0" w:line="240" w:lineRule="auto"/>
      </w:pPr>
      <w:r>
        <w:continuationSeparator/>
      </w:r>
    </w:p>
  </w:footnote>
  <w:footnote w:type="continuationNotice" w:id="1">
    <w:p w14:paraId="6F8DA9A6" w14:textId="77777777" w:rsidR="00EB6147" w:rsidRDefault="00EB61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5E87"/>
    <w:multiLevelType w:val="hybridMultilevel"/>
    <w:tmpl w:val="35DE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76499"/>
    <w:multiLevelType w:val="hybridMultilevel"/>
    <w:tmpl w:val="1BBA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F24BE"/>
    <w:multiLevelType w:val="hybridMultilevel"/>
    <w:tmpl w:val="710E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DCB1C"/>
    <w:multiLevelType w:val="hybridMultilevel"/>
    <w:tmpl w:val="BFF809CE"/>
    <w:lvl w:ilvl="0" w:tplc="A8646E64">
      <w:start w:val="1"/>
      <w:numFmt w:val="bullet"/>
      <w:lvlText w:val=""/>
      <w:lvlJc w:val="left"/>
      <w:pPr>
        <w:ind w:left="720" w:hanging="360"/>
      </w:pPr>
      <w:rPr>
        <w:rFonts w:ascii="Symbol" w:hAnsi="Symbol" w:hint="default"/>
      </w:rPr>
    </w:lvl>
    <w:lvl w:ilvl="1" w:tplc="4EB4E7D6">
      <w:start w:val="1"/>
      <w:numFmt w:val="bullet"/>
      <w:lvlText w:val="o"/>
      <w:lvlJc w:val="left"/>
      <w:pPr>
        <w:ind w:left="1440" w:hanging="360"/>
      </w:pPr>
      <w:rPr>
        <w:rFonts w:ascii="Courier New" w:hAnsi="Courier New" w:hint="default"/>
      </w:rPr>
    </w:lvl>
    <w:lvl w:ilvl="2" w:tplc="7F8468B4">
      <w:start w:val="1"/>
      <w:numFmt w:val="bullet"/>
      <w:lvlText w:val=""/>
      <w:lvlJc w:val="left"/>
      <w:pPr>
        <w:ind w:left="2160" w:hanging="360"/>
      </w:pPr>
      <w:rPr>
        <w:rFonts w:ascii="Wingdings" w:hAnsi="Wingdings" w:hint="default"/>
      </w:rPr>
    </w:lvl>
    <w:lvl w:ilvl="3" w:tplc="4A9836CE">
      <w:start w:val="1"/>
      <w:numFmt w:val="bullet"/>
      <w:lvlText w:val=""/>
      <w:lvlJc w:val="left"/>
      <w:pPr>
        <w:ind w:left="2880" w:hanging="360"/>
      </w:pPr>
      <w:rPr>
        <w:rFonts w:ascii="Symbol" w:hAnsi="Symbol" w:hint="default"/>
      </w:rPr>
    </w:lvl>
    <w:lvl w:ilvl="4" w:tplc="CE5E992C">
      <w:start w:val="1"/>
      <w:numFmt w:val="bullet"/>
      <w:lvlText w:val="o"/>
      <w:lvlJc w:val="left"/>
      <w:pPr>
        <w:ind w:left="3600" w:hanging="360"/>
      </w:pPr>
      <w:rPr>
        <w:rFonts w:ascii="Courier New" w:hAnsi="Courier New" w:hint="default"/>
      </w:rPr>
    </w:lvl>
    <w:lvl w:ilvl="5" w:tplc="A3C2D0AE">
      <w:start w:val="1"/>
      <w:numFmt w:val="bullet"/>
      <w:lvlText w:val=""/>
      <w:lvlJc w:val="left"/>
      <w:pPr>
        <w:ind w:left="4320" w:hanging="360"/>
      </w:pPr>
      <w:rPr>
        <w:rFonts w:ascii="Wingdings" w:hAnsi="Wingdings" w:hint="default"/>
      </w:rPr>
    </w:lvl>
    <w:lvl w:ilvl="6" w:tplc="55E8284C">
      <w:start w:val="1"/>
      <w:numFmt w:val="bullet"/>
      <w:lvlText w:val=""/>
      <w:lvlJc w:val="left"/>
      <w:pPr>
        <w:ind w:left="5040" w:hanging="360"/>
      </w:pPr>
      <w:rPr>
        <w:rFonts w:ascii="Symbol" w:hAnsi="Symbol" w:hint="default"/>
      </w:rPr>
    </w:lvl>
    <w:lvl w:ilvl="7" w:tplc="74E4C3A8">
      <w:start w:val="1"/>
      <w:numFmt w:val="bullet"/>
      <w:lvlText w:val="o"/>
      <w:lvlJc w:val="left"/>
      <w:pPr>
        <w:ind w:left="5760" w:hanging="360"/>
      </w:pPr>
      <w:rPr>
        <w:rFonts w:ascii="Courier New" w:hAnsi="Courier New" w:hint="default"/>
      </w:rPr>
    </w:lvl>
    <w:lvl w:ilvl="8" w:tplc="B9101CF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AF"/>
    <w:rsid w:val="00014A6A"/>
    <w:rsid w:val="0009572D"/>
    <w:rsid w:val="000BDECC"/>
    <w:rsid w:val="00356292"/>
    <w:rsid w:val="00422C6F"/>
    <w:rsid w:val="005B5D1B"/>
    <w:rsid w:val="005D172F"/>
    <w:rsid w:val="005D4790"/>
    <w:rsid w:val="00644669"/>
    <w:rsid w:val="007872AF"/>
    <w:rsid w:val="007A70A8"/>
    <w:rsid w:val="0088399A"/>
    <w:rsid w:val="008C2143"/>
    <w:rsid w:val="008F3825"/>
    <w:rsid w:val="00934EB3"/>
    <w:rsid w:val="00961FE6"/>
    <w:rsid w:val="00CD5505"/>
    <w:rsid w:val="00D40200"/>
    <w:rsid w:val="00E6435F"/>
    <w:rsid w:val="00EA79C2"/>
    <w:rsid w:val="00EB33D9"/>
    <w:rsid w:val="00EB6147"/>
    <w:rsid w:val="00FF6109"/>
    <w:rsid w:val="010FAD5D"/>
    <w:rsid w:val="0178B829"/>
    <w:rsid w:val="03B49D64"/>
    <w:rsid w:val="0401BFB8"/>
    <w:rsid w:val="06444506"/>
    <w:rsid w:val="06AEDFBD"/>
    <w:rsid w:val="07C8F32E"/>
    <w:rsid w:val="088C72A0"/>
    <w:rsid w:val="0EDD49B1"/>
    <w:rsid w:val="0F7040F1"/>
    <w:rsid w:val="11A7962F"/>
    <w:rsid w:val="11C3942A"/>
    <w:rsid w:val="11EBE27A"/>
    <w:rsid w:val="1348FEB5"/>
    <w:rsid w:val="13A1970C"/>
    <w:rsid w:val="14DDF4D5"/>
    <w:rsid w:val="15C4462F"/>
    <w:rsid w:val="1A58A59E"/>
    <w:rsid w:val="1CBA048A"/>
    <w:rsid w:val="1CC7DBA7"/>
    <w:rsid w:val="1D321563"/>
    <w:rsid w:val="1E75D9B5"/>
    <w:rsid w:val="1ED54C70"/>
    <w:rsid w:val="1EE6A97A"/>
    <w:rsid w:val="204C760E"/>
    <w:rsid w:val="2242F591"/>
    <w:rsid w:val="2528D0D6"/>
    <w:rsid w:val="2828F6DA"/>
    <w:rsid w:val="2A47C4AD"/>
    <w:rsid w:val="2B14BB1F"/>
    <w:rsid w:val="2B14D8AB"/>
    <w:rsid w:val="2CB08B80"/>
    <w:rsid w:val="2F31857B"/>
    <w:rsid w:val="302D1853"/>
    <w:rsid w:val="32C256F8"/>
    <w:rsid w:val="34227EB6"/>
    <w:rsid w:val="3431A4AC"/>
    <w:rsid w:val="3443828B"/>
    <w:rsid w:val="34E124CB"/>
    <w:rsid w:val="36414C89"/>
    <w:rsid w:val="36A0235B"/>
    <w:rsid w:val="38A85841"/>
    <w:rsid w:val="3B9E997C"/>
    <w:rsid w:val="3D92190F"/>
    <w:rsid w:val="3E5F976E"/>
    <w:rsid w:val="3F49F10A"/>
    <w:rsid w:val="402DDD44"/>
    <w:rsid w:val="40842B6A"/>
    <w:rsid w:val="40AC79BA"/>
    <w:rsid w:val="4238BF81"/>
    <w:rsid w:val="4341B85F"/>
    <w:rsid w:val="44BB6071"/>
    <w:rsid w:val="452C554C"/>
    <w:rsid w:val="46031E88"/>
    <w:rsid w:val="484EC921"/>
    <w:rsid w:val="4AC5B518"/>
    <w:rsid w:val="4DA740BA"/>
    <w:rsid w:val="4DC68F3A"/>
    <w:rsid w:val="508D1BFF"/>
    <w:rsid w:val="51A4CA54"/>
    <w:rsid w:val="52FE9960"/>
    <w:rsid w:val="5336C5FD"/>
    <w:rsid w:val="53B3E691"/>
    <w:rsid w:val="550B7421"/>
    <w:rsid w:val="55412877"/>
    <w:rsid w:val="59085BED"/>
    <w:rsid w:val="5DF21CBB"/>
    <w:rsid w:val="5E046329"/>
    <w:rsid w:val="5EEDAF93"/>
    <w:rsid w:val="5F2C89B3"/>
    <w:rsid w:val="5FB24A3B"/>
    <w:rsid w:val="60E42F16"/>
    <w:rsid w:val="63A1BC0B"/>
    <w:rsid w:val="63C981DE"/>
    <w:rsid w:val="652600E7"/>
    <w:rsid w:val="65C089DE"/>
    <w:rsid w:val="680AD1BC"/>
    <w:rsid w:val="6972C3D7"/>
    <w:rsid w:val="6C49469E"/>
    <w:rsid w:val="6E164266"/>
    <w:rsid w:val="6F6D10FA"/>
    <w:rsid w:val="6F8514FF"/>
    <w:rsid w:val="6FC37C7C"/>
    <w:rsid w:val="70620DBB"/>
    <w:rsid w:val="7152D0BE"/>
    <w:rsid w:val="718BDECD"/>
    <w:rsid w:val="72EEA11F"/>
    <w:rsid w:val="732083B6"/>
    <w:rsid w:val="7337983A"/>
    <w:rsid w:val="73923B7C"/>
    <w:rsid w:val="79685F99"/>
    <w:rsid w:val="7C67D7FA"/>
    <w:rsid w:val="7D0A9EBE"/>
    <w:rsid w:val="7E86A5CD"/>
    <w:rsid w:val="7F4DB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B821"/>
  <w15:chartTrackingRefBased/>
  <w15:docId w15:val="{E63D20BB-8C6A-47F6-A023-0098455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AF"/>
    <w:pPr>
      <w:ind w:left="720"/>
      <w:contextualSpacing/>
    </w:pPr>
  </w:style>
  <w:style w:type="paragraph" w:styleId="Header">
    <w:name w:val="header"/>
    <w:basedOn w:val="Normal"/>
    <w:link w:val="HeaderChar"/>
    <w:uiPriority w:val="99"/>
    <w:semiHidden/>
    <w:unhideWhenUsed/>
    <w:rsid w:val="00EB6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147"/>
  </w:style>
  <w:style w:type="paragraph" w:styleId="Footer">
    <w:name w:val="footer"/>
    <w:basedOn w:val="Normal"/>
    <w:link w:val="FooterChar"/>
    <w:uiPriority w:val="99"/>
    <w:semiHidden/>
    <w:unhideWhenUsed/>
    <w:rsid w:val="00EB61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84803">
      <w:bodyDiv w:val="1"/>
      <w:marLeft w:val="0"/>
      <w:marRight w:val="0"/>
      <w:marTop w:val="0"/>
      <w:marBottom w:val="0"/>
      <w:divBdr>
        <w:top w:val="none" w:sz="0" w:space="0" w:color="auto"/>
        <w:left w:val="none" w:sz="0" w:space="0" w:color="auto"/>
        <w:bottom w:val="none" w:sz="0" w:space="0" w:color="auto"/>
        <w:right w:val="none" w:sz="0" w:space="0" w:color="auto"/>
      </w:divBdr>
    </w:div>
    <w:div w:id="19208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ImageCreateDate xmlns="http://schemas.microsoft.com/sharepoint/v3/fields"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Waste work in progress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wic_System_Copyright xmlns="http://schemas.microsoft.com/sharepoint/v3/fields" xsi:nil="true"/>
    <Team xmlns="662745e8-e224-48e8-a2e3-254862b8c2f5">NPS Waste Regime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Image" ma:contentTypeID="0x0101009148F5A04DDD49CBA7127AADA5FB792B00AADE34325A8B49CDA8BB4DB53328F214003B02ABCC6D8F434E9CAFE017FAD4D7F700F136A23D47A757448C079B40CBE51A35" ma:contentTypeVersion="2" ma:contentTypeDescription="Upload an image." ma:contentTypeScope="" ma:versionID="f6b3110cbc6664848a927ff87c0fa648">
  <xsd:schema xmlns:xsd="http://www.w3.org/2001/XMLSchema" xmlns:xs="http://www.w3.org/2001/XMLSchema" xmlns:p="http://schemas.microsoft.com/office/2006/metadata/properties" xmlns:ns1="http://schemas.microsoft.com/sharepoint/v3" xmlns:ns2="http://schemas.microsoft.com/sharepoint/v3/fields" xmlns:ns3="662745e8-e224-48e8-a2e3-254862b8c2f5" targetNamespace="http://schemas.microsoft.com/office/2006/metadata/properties" ma:root="true" ma:fieldsID="b85eae9f010f0e377546ac87203ac4a3" ns1:_="" ns2:_="" ns3:_="">
    <xsd:import namespace="http://schemas.microsoft.com/sharepoint/v3"/>
    <xsd:import namespace="http://schemas.microsoft.com/sharepoint/v3/fields"/>
    <xsd:import namespace="662745e8-e224-48e8-a2e3-254862b8c2f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2:wic_System_Copyright" minOccurs="0"/>
                <xsd:element ref="ns3:lae2bfa7b6474897ab4a53f76ea236c7" minOccurs="0"/>
                <xsd:element ref="ns3:TaxCatchAll" minOccurs="0"/>
                <xsd:element ref="ns3:TaxCatchAllLabel" minOccurs="0"/>
                <xsd:element ref="ns3:cf401361b24e474cb011be6eb76c0e76" minOccurs="0"/>
                <xsd:element ref="ns3:n7493b4506bf40e28c373b1e51a33445" minOccurs="0"/>
                <xsd:element ref="ns3:HOMigrated" minOccurs="0"/>
                <xsd:element ref="ns3:k85d23755b3a46b5a51451cf336b2e9b" minOccurs="0"/>
                <xsd:element ref="ns3:Team" minOccurs="0"/>
                <xsd:element ref="ns3:Topic" minOccurs="0"/>
                <xsd:element ref="ns3:ddeb1fd0a9ad4436a96525d34737dc44" minOccurs="0"/>
                <xsd:element ref="ns3: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2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813e1063-0b6b-4dca-a59b-39f8dfd0319b}" ma:internalName="TaxCatchAll" ma:showField="CatchAllData"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813e1063-0b6b-4dca-a59b-39f8dfd0319b}" ma:internalName="TaxCatchAllLabel" ma:readOnly="true" ma:showField="CatchAllDataLabel"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31"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33"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35" nillable="true" ma:displayName="Migrated" ma:default="0" ma:internalName="HOMigrated">
      <xsd:simpleType>
        <xsd:restriction base="dms:Boolean"/>
      </xsd:simpleType>
    </xsd:element>
    <xsd:element name="k85d23755b3a46b5a51451cf336b2e9b" ma:index="36"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38" nillable="true" ma:displayName="Team" ma:default="NPS Waste Regime" ma:internalName="Team">
      <xsd:simpleType>
        <xsd:restriction base="dms:Text"/>
      </xsd:simpleType>
    </xsd:element>
    <xsd:element name="Topic" ma:index="39" nillable="true" ma:displayName="Topic" ma:default="Waste work in progress" ma:internalName="Topic">
      <xsd:simpleType>
        <xsd:restriction base="dms:Text"/>
      </xsd:simpleType>
    </xsd:element>
    <xsd:element name="ddeb1fd0a9ad4436a96525d34737dc44" ma:index="40"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42"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9148F5A04DDD49CBA7127AADA5FB792B00AADE34325A8B49CDA8BB4DB53328F214003B02ABCC6D8F434E9CAFE017FAD4D7F7" PreviousValue="false" LastSyncTimeStamp="2018-07-26T16:31:42.4Z"/>
</file>

<file path=customXml/itemProps1.xml><?xml version="1.0" encoding="utf-8"?>
<ds:datastoreItem xmlns:ds="http://schemas.openxmlformats.org/officeDocument/2006/customXml" ds:itemID="{A6335809-B7B0-4E61-8AAC-4816C5C700CC}">
  <ds:schemaRefs>
    <ds:schemaRef ds:uri="http://purl.org/dc/elements/1.1/"/>
    <ds:schemaRef ds:uri="http://schemas.microsoft.com/office/2006/metadata/properties"/>
    <ds:schemaRef ds:uri="http://purl.org/dc/terms/"/>
    <ds:schemaRef ds:uri="3dddc719-072c-42b8-8ce4-554d9a99e7c2"/>
    <ds:schemaRef ds:uri="http://schemas.microsoft.com/office/2006/documentManagement/types"/>
    <ds:schemaRef ds:uri="http://schemas.microsoft.com/office/infopath/2007/PartnerControls"/>
    <ds:schemaRef ds:uri="http://schemas.openxmlformats.org/package/2006/metadata/core-properties"/>
    <ds:schemaRef ds:uri="0f7f962f-e918-4499-811c-fd8eb42c38da"/>
    <ds:schemaRef ds:uri="http://www.w3.org/XML/1998/namespace"/>
    <ds:schemaRef ds:uri="http://purl.org/dc/dcmitype/"/>
  </ds:schemaRefs>
</ds:datastoreItem>
</file>

<file path=customXml/itemProps2.xml><?xml version="1.0" encoding="utf-8"?>
<ds:datastoreItem xmlns:ds="http://schemas.openxmlformats.org/officeDocument/2006/customXml" ds:itemID="{4A2379BD-777F-469F-AFFB-EB6FAD9E1FB8}"/>
</file>

<file path=customXml/itemProps3.xml><?xml version="1.0" encoding="utf-8"?>
<ds:datastoreItem xmlns:ds="http://schemas.openxmlformats.org/officeDocument/2006/customXml" ds:itemID="{B1324176-530B-4778-B73C-1D71604A9364}">
  <ds:schemaRefs>
    <ds:schemaRef ds:uri="http://schemas.microsoft.com/sharepoint/v3/contenttype/forms"/>
  </ds:schemaRefs>
</ds:datastoreItem>
</file>

<file path=customXml/itemProps4.xml><?xml version="1.0" encoding="utf-8"?>
<ds:datastoreItem xmlns:ds="http://schemas.openxmlformats.org/officeDocument/2006/customXml" ds:itemID="{8405B012-4132-470D-BEA4-C5FA2A487D16}"/>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Jowsey1</dc:creator>
  <cp:keywords/>
  <dc:description/>
  <cp:lastModifiedBy>Adele Burns</cp:lastModifiedBy>
  <cp:revision>16</cp:revision>
  <dcterms:created xsi:type="dcterms:W3CDTF">2023-01-05T10:40:00Z</dcterms:created>
  <dcterms:modified xsi:type="dcterms:W3CDTF">2023-01-16T16:04:00Z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2023-01-05T10:40:24Z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e2589b4f-19e7-4828-aa83-f39f1ae5afdb</vt:lpwstr>
  </property>
  <property fmtid="{D5CDD505-2E9C-101B-9397-08002B2CF9AE}" pid="8" name="MSIP_Label_d04dfc70-0289-4bbf-a1df-2e48919102f8_ContentBits">
    <vt:lpwstr>0</vt:lpwstr>
  </property>
  <property fmtid="{D5CDD505-2E9C-101B-9397-08002B2CF9AE}" pid="9" name="ContentTypeId">
    <vt:lpwstr>0x0101009148F5A04DDD49CBA7127AADA5FB792B00AADE34325A8B49CDA8BB4DB53328F214003B02ABCC6D8F434E9CAFE017FAD4D7F700F136A23D47A757448C079B40CBE51A35</vt:lpwstr>
  </property>
  <property fmtid="{D5CDD505-2E9C-101B-9397-08002B2CF9AE}" pid="10" name="MediaServiceImageTags">
    <vt:lpwstr/>
  </property>
  <property fmtid="{D5CDD505-2E9C-101B-9397-08002B2CF9AE}" pid="11" name="InformationType">
    <vt:lpwstr/>
  </property>
  <property fmtid="{D5CDD505-2E9C-101B-9397-08002B2CF9AE}" pid="12" name="Distribution">
    <vt:lpwstr>9;#Internal EA|b77da37e-7166-4741-8c12-4679faab22d9</vt:lpwstr>
  </property>
  <property fmtid="{D5CDD505-2E9C-101B-9397-08002B2CF9AE}" pid="13" name="HOCopyrightLevel">
    <vt:lpwstr>7;#Crown|69589897-2828-4761-976e-717fd8e631c9</vt:lpwstr>
  </property>
  <property fmtid="{D5CDD505-2E9C-101B-9397-08002B2CF9AE}" pid="14" name="lcf76f155ced4ddcb4097134ff3c332f">
    <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8;#EA|d5f78ddb-b1b6-4328-9877-d7e3ed06fdac</vt:lpwstr>
  </property>
</Properties>
</file>