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4635" w:rsidR="00604635" w:rsidP="262449D3" w:rsidRDefault="00604635" w14:paraId="3B45E13A" w14:textId="24717014">
      <w:pPr>
        <w:rPr>
          <w:rFonts w:ascii="Poppins" w:hAnsi="Poppins" w:cs="Poppins"/>
          <w:sz w:val="22"/>
          <w:szCs w:val="22"/>
          <w:u w:val="single"/>
        </w:rPr>
      </w:pPr>
      <w:r w:rsidRPr="262449D3">
        <w:rPr>
          <w:rFonts w:ascii="Poppins" w:hAnsi="Poppins" w:cs="Poppins"/>
          <w:sz w:val="22"/>
          <w:szCs w:val="22"/>
          <w:u w:val="single"/>
        </w:rPr>
        <w:t>Environmental Risk Assessment</w:t>
      </w:r>
    </w:p>
    <w:tbl>
      <w:tblPr>
        <w:tblStyle w:val="TableGrid"/>
        <w:tblW w:w="5000" w:type="pct"/>
        <w:tblBorders>
          <w:top w:val="single" w:color="70AD47" w:themeColor="accent6" w:sz="2" w:space="0"/>
          <w:left w:val="single" w:color="70AD47" w:themeColor="accent6" w:sz="2" w:space="0"/>
          <w:bottom w:val="single" w:color="70AD47" w:themeColor="accent6" w:sz="2" w:space="0"/>
          <w:right w:val="single" w:color="70AD47" w:themeColor="accent6" w:sz="2" w:space="0"/>
          <w:insideH w:val="single" w:color="70AD47" w:themeColor="accent6" w:sz="2" w:space="0"/>
          <w:insideV w:val="single" w:color="70AD47" w:themeColor="accent6" w:sz="2" w:space="0"/>
        </w:tblBorders>
        <w:tblCellMar>
          <w:left w:w="85" w:type="dxa"/>
          <w:right w:w="85" w:type="dxa"/>
        </w:tblCellMar>
        <w:tblLook w:val="04A0" w:firstRow="1" w:lastRow="0" w:firstColumn="1" w:lastColumn="0" w:noHBand="0" w:noVBand="1"/>
      </w:tblPr>
      <w:tblGrid>
        <w:gridCol w:w="1386"/>
        <w:gridCol w:w="1110"/>
        <w:gridCol w:w="3749"/>
        <w:gridCol w:w="3317"/>
        <w:gridCol w:w="2193"/>
        <w:gridCol w:w="2193"/>
      </w:tblGrid>
      <w:tr w:rsidR="00C12B76" w:rsidTr="28BC772E" w14:paraId="4F78D2FD" w14:textId="77777777">
        <w:trPr>
          <w:tblHeader/>
        </w:trPr>
        <w:tc>
          <w:tcPr>
            <w:tcW w:w="895" w:type="pct"/>
            <w:gridSpan w:val="2"/>
            <w:tcBorders>
              <w:top w:val="single" w:color="auto" w:sz="4" w:space="0"/>
              <w:left w:val="single" w:color="auto" w:sz="4" w:space="0"/>
              <w:bottom w:val="single" w:color="auto" w:sz="4" w:space="0"/>
              <w:right w:val="single" w:color="auto" w:sz="4" w:space="0"/>
            </w:tcBorders>
            <w:shd w:val="clear" w:color="auto" w:fill="E7E6E6" w:themeFill="background2"/>
            <w:tcMar/>
          </w:tcPr>
          <w:p w:rsidR="00C12B76" w:rsidP="00472875" w:rsidRDefault="00C12B76" w14:paraId="1061CD61" w14:textId="77777777">
            <w:pPr>
              <w:pStyle w:val="Tablesmallheading"/>
            </w:pPr>
            <w:r>
              <w:t>Consideration</w:t>
            </w:r>
          </w:p>
        </w:tc>
        <w:tc>
          <w:tcPr>
            <w:tcW w:w="1344" w:type="pct"/>
            <w:tcBorders>
              <w:top w:val="single" w:color="auto" w:sz="4" w:space="0"/>
              <w:left w:val="single" w:color="auto" w:sz="4" w:space="0"/>
              <w:bottom w:val="single" w:color="auto" w:sz="4" w:space="0"/>
              <w:right w:val="single" w:color="auto" w:sz="4" w:space="0"/>
            </w:tcBorders>
            <w:shd w:val="clear" w:color="auto" w:fill="E7E6E6" w:themeFill="background2"/>
            <w:tcMar/>
          </w:tcPr>
          <w:p w:rsidRPr="0063320F" w:rsidR="00C12B76" w:rsidP="00472875" w:rsidRDefault="00C12B76" w14:paraId="1310AAA1" w14:textId="77777777">
            <w:pPr>
              <w:pStyle w:val="Tablesmallheading"/>
            </w:pPr>
            <w:r w:rsidRPr="0063320F">
              <w:t>Receptors</w:t>
            </w:r>
          </w:p>
        </w:tc>
        <w:tc>
          <w:tcPr>
            <w:tcW w:w="1189" w:type="pct"/>
            <w:tcBorders>
              <w:top w:val="single" w:color="auto" w:sz="4" w:space="0"/>
              <w:left w:val="single" w:color="auto" w:sz="4" w:space="0"/>
              <w:bottom w:val="single" w:color="auto" w:sz="4" w:space="0"/>
              <w:right w:val="single" w:color="auto" w:sz="4" w:space="0"/>
            </w:tcBorders>
            <w:shd w:val="clear" w:color="auto" w:fill="E7E6E6" w:themeFill="background2"/>
            <w:tcMar/>
          </w:tcPr>
          <w:p w:rsidRPr="0063320F" w:rsidR="00C12B76" w:rsidP="00472875" w:rsidRDefault="00C12B76" w14:paraId="016E924C" w14:textId="77777777">
            <w:pPr>
              <w:pStyle w:val="Tablesmallheading"/>
            </w:pPr>
            <w:r w:rsidRPr="0063320F">
              <w:t>Discussion</w:t>
            </w:r>
          </w:p>
        </w:tc>
        <w:tc>
          <w:tcPr>
            <w:tcW w:w="786" w:type="pct"/>
            <w:tcBorders>
              <w:top w:val="single" w:color="auto" w:sz="4" w:space="0"/>
              <w:left w:val="single" w:color="auto" w:sz="4" w:space="0"/>
              <w:bottom w:val="single" w:color="auto" w:sz="4" w:space="0"/>
              <w:right w:val="single" w:color="auto" w:sz="4" w:space="0"/>
            </w:tcBorders>
            <w:shd w:val="clear" w:color="auto" w:fill="E7E6E6" w:themeFill="background2"/>
            <w:tcMar/>
          </w:tcPr>
          <w:p w:rsidRPr="0063320F" w:rsidR="00C12B76" w:rsidP="00472875" w:rsidRDefault="00C12B76" w14:paraId="09EF1CBE" w14:textId="77777777">
            <w:pPr>
              <w:pStyle w:val="Tablesmallheading"/>
            </w:pPr>
            <w:r w:rsidRPr="0063320F">
              <w:t>Detailed Environmental Risk Assessment?</w:t>
            </w:r>
          </w:p>
        </w:tc>
        <w:tc>
          <w:tcPr>
            <w:tcW w:w="786" w:type="pct"/>
            <w:tcBorders>
              <w:top w:val="single" w:color="auto" w:sz="4" w:space="0"/>
              <w:left w:val="single" w:color="auto" w:sz="4" w:space="0"/>
              <w:bottom w:val="single" w:color="auto" w:sz="4" w:space="0"/>
              <w:right w:val="single" w:color="auto" w:sz="4" w:space="0"/>
            </w:tcBorders>
            <w:shd w:val="clear" w:color="auto" w:fill="E7E6E6" w:themeFill="background2"/>
            <w:tcMar/>
          </w:tcPr>
          <w:p w:rsidRPr="006D658E" w:rsidR="00C12B76" w:rsidP="00472875" w:rsidRDefault="00C12B76" w14:paraId="352E622B" w14:textId="77777777">
            <w:pPr>
              <w:pStyle w:val="Default"/>
              <w:rPr>
                <w:szCs w:val="20"/>
              </w:rPr>
            </w:pPr>
            <w:r>
              <w:rPr>
                <w:b/>
                <w:bCs/>
                <w:sz w:val="20"/>
                <w:szCs w:val="20"/>
              </w:rPr>
              <w:t xml:space="preserve">Additional Mitigation Required </w:t>
            </w:r>
          </w:p>
        </w:tc>
      </w:tr>
      <w:tr w:rsidR="00C12B76" w:rsidTr="28BC772E" w14:paraId="746CE561" w14:textId="77777777">
        <w:tc>
          <w:tcPr>
            <w:tcW w:w="497" w:type="pct"/>
            <w:vMerge w:val="restart"/>
            <w:tcBorders>
              <w:top w:val="single" w:color="auto" w:sz="4" w:space="0"/>
              <w:left w:val="single" w:color="auto" w:sz="4" w:space="0"/>
              <w:right w:val="single" w:color="auto" w:sz="4" w:space="0"/>
            </w:tcBorders>
            <w:tcMar/>
          </w:tcPr>
          <w:p w:rsidRPr="000851C4" w:rsidR="00C12B76" w:rsidP="00472875" w:rsidRDefault="00C12B76" w14:paraId="6943216A" w14:textId="77777777">
            <w:pPr>
              <w:pStyle w:val="Tablesmalltext"/>
            </w:pPr>
            <w:r>
              <w:t>Fugitive Emissions</w:t>
            </w:r>
          </w:p>
        </w:tc>
        <w:tc>
          <w:tcPr>
            <w:tcW w:w="398" w:type="pct"/>
            <w:tcBorders>
              <w:top w:val="single" w:color="auto" w:sz="4" w:space="0"/>
              <w:left w:val="single" w:color="auto" w:sz="4" w:space="0"/>
              <w:bottom w:val="single" w:color="auto" w:sz="4" w:space="0"/>
              <w:right w:val="single" w:color="auto" w:sz="4" w:space="0"/>
            </w:tcBorders>
            <w:tcMar/>
          </w:tcPr>
          <w:p w:rsidRPr="00A7331B" w:rsidR="00C12B76" w:rsidP="00472875" w:rsidRDefault="00C12B76" w14:paraId="4F65DE70" w14:textId="77777777">
            <w:pPr>
              <w:pStyle w:val="Tablesmalltext"/>
            </w:pPr>
            <w:r w:rsidRPr="00A7331B">
              <w:t>Litter</w:t>
            </w:r>
          </w:p>
        </w:tc>
        <w:tc>
          <w:tcPr>
            <w:tcW w:w="1344" w:type="pct"/>
            <w:tcBorders>
              <w:top w:val="single" w:color="auto" w:sz="4" w:space="0"/>
              <w:left w:val="single" w:color="auto" w:sz="4" w:space="0"/>
              <w:bottom w:val="single" w:color="auto" w:sz="4" w:space="0"/>
              <w:right w:val="single" w:color="auto" w:sz="4" w:space="0"/>
            </w:tcBorders>
            <w:tcMar/>
          </w:tcPr>
          <w:p w:rsidRPr="00A7331B" w:rsidR="00C12B76" w:rsidP="00472875" w:rsidRDefault="00C12B76" w14:paraId="12133CFE" w14:textId="77777777">
            <w:pPr>
              <w:pStyle w:val="Tablesmalltext"/>
            </w:pPr>
            <w:r w:rsidRPr="00A7331B">
              <w:t xml:space="preserve">Human health receptors: </w:t>
            </w:r>
          </w:p>
          <w:p w:rsidRPr="00A7331B" w:rsidR="00C12B76" w:rsidP="00472875" w:rsidRDefault="00C12B76" w14:paraId="071788A3" w14:textId="77777777">
            <w:pPr>
              <w:pStyle w:val="Tablesmalltext"/>
            </w:pPr>
            <w:r w:rsidRPr="001E6808">
              <w:t>There are residential areas ~310 m north west, ~450 m north west, ~750 m south east, ~530 m south west, ~410 m south east, ~880 m south east and ~910 m north east.</w:t>
            </w:r>
          </w:p>
          <w:p w:rsidRPr="00A7331B" w:rsidR="00C12B76" w:rsidP="00472875" w:rsidRDefault="00C12B76" w14:paraId="2CE176B6" w14:textId="77777777">
            <w:pPr>
              <w:pStyle w:val="Tablesmalltext"/>
            </w:pPr>
            <w:r w:rsidRPr="00A7331B">
              <w:t>The nearest is school is approximately 930 m north west.</w:t>
            </w:r>
          </w:p>
          <w:p w:rsidR="00C12B76" w:rsidP="00472875" w:rsidRDefault="00C12B76" w14:paraId="6093DF02" w14:textId="77777777">
            <w:pPr>
              <w:pStyle w:val="Tablesmalltext"/>
            </w:pPr>
            <w:r w:rsidRPr="00A7331B">
              <w:t xml:space="preserve">Designations: </w:t>
            </w:r>
          </w:p>
          <w:p w:rsidR="00C12B76" w:rsidP="00472875" w:rsidRDefault="00C12B76" w14:paraId="23DF4717" w14:textId="77777777">
            <w:pPr>
              <w:pStyle w:val="Tablesmalltext"/>
            </w:pPr>
            <w:r>
              <w:t xml:space="preserve">There are protected species, Brown Trout and Bullhead in the River Colne to the east of the site. There is a local wildlife site, the Sir John Ramsden Canal to the west of the site.  </w:t>
            </w:r>
            <w:r w:rsidRPr="00A7331B">
              <w:t>The</w:t>
            </w:r>
            <w:r>
              <w:t xml:space="preserve"> </w:t>
            </w:r>
            <w:r w:rsidRPr="00A7331B">
              <w:t>Dalton Bank LNR, is ~50 m to the east of the site</w:t>
            </w:r>
            <w:r>
              <w:t xml:space="preserve">. </w:t>
            </w:r>
            <w:r w:rsidRPr="00A7331B">
              <w:t>The Denby Grange Colliery Ponds SAC</w:t>
            </w:r>
            <w:r>
              <w:t xml:space="preserve"> </w:t>
            </w:r>
            <w:r w:rsidRPr="00A7331B">
              <w:t xml:space="preserve">is situated ~10 km south east of the site. </w:t>
            </w:r>
            <w:r>
              <w:t>There is a deciduous woodland to the east of the site, across the River Colne.</w:t>
            </w:r>
          </w:p>
          <w:p w:rsidRPr="00A7331B" w:rsidR="00C12B76" w:rsidP="00472875" w:rsidRDefault="00C12B76" w14:paraId="47B6FE65" w14:textId="77777777">
            <w:pPr>
              <w:pStyle w:val="Tablesmalltext"/>
            </w:pPr>
            <w:r w:rsidRPr="00A7331B">
              <w:t xml:space="preserve">There are no SSSI or NNR within 2 km of Deighton </w:t>
            </w:r>
            <w:r>
              <w:t>WWTW</w:t>
            </w:r>
            <w:r w:rsidRPr="00A7331B">
              <w:t>. There are no Ramsar, SPA o</w:t>
            </w:r>
            <w:r>
              <w:t xml:space="preserve">r </w:t>
            </w:r>
            <w:r w:rsidRPr="00A7331B">
              <w:t>MPZ within 10 km of the site.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524A35A4" w14:textId="77777777">
            <w:pPr>
              <w:pStyle w:val="Tablesmalltext"/>
            </w:pPr>
            <w:r>
              <w:t>The facility does not produce waste which results in litter</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03F8C353"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796A0C75" w14:textId="77777777">
            <w:pPr>
              <w:pStyle w:val="Tablesmalltext"/>
            </w:pPr>
            <w:r>
              <w:t>N/A</w:t>
            </w:r>
          </w:p>
        </w:tc>
      </w:tr>
      <w:tr w:rsidR="00C12B76" w:rsidTr="28BC772E" w14:paraId="44E62278" w14:textId="77777777">
        <w:tc>
          <w:tcPr>
            <w:tcW w:w="497" w:type="pct"/>
            <w:vMerge/>
            <w:tcMar/>
          </w:tcPr>
          <w:p w:rsidR="00C12B76" w:rsidP="00472875" w:rsidRDefault="00C12B76" w14:paraId="10A8A444" w14:textId="77777777">
            <w:pPr>
              <w:pStyle w:val="Tablesmalltext"/>
            </w:pPr>
          </w:p>
        </w:tc>
        <w:tc>
          <w:tcPr>
            <w:tcW w:w="398" w:type="pct"/>
            <w:tcBorders>
              <w:top w:val="single" w:color="auto" w:sz="4" w:space="0"/>
              <w:left w:val="single" w:color="auto" w:sz="4" w:space="0"/>
              <w:bottom w:val="single" w:color="auto" w:sz="4" w:space="0"/>
              <w:right w:val="single" w:color="auto" w:sz="4" w:space="0"/>
            </w:tcBorders>
            <w:tcMar/>
          </w:tcPr>
          <w:p w:rsidR="00C12B76" w:rsidP="00472875" w:rsidRDefault="00C12B76" w14:paraId="30B27914" w14:textId="77777777">
            <w:pPr>
              <w:pStyle w:val="Tablesmalltext"/>
            </w:pPr>
            <w:r>
              <w:t>Vermin and Pests</w:t>
            </w:r>
          </w:p>
        </w:tc>
        <w:tc>
          <w:tcPr>
            <w:tcW w:w="1344" w:type="pct"/>
            <w:tcBorders>
              <w:top w:val="single" w:color="auto" w:sz="4" w:space="0"/>
              <w:left w:val="single" w:color="auto" w:sz="4" w:space="0"/>
              <w:bottom w:val="single" w:color="auto" w:sz="4" w:space="0"/>
              <w:right w:val="single" w:color="auto" w:sz="4" w:space="0"/>
            </w:tcBorders>
            <w:tcMar/>
          </w:tcPr>
          <w:p w:rsidR="00C12B76" w:rsidP="00472875" w:rsidRDefault="00C12B76" w14:paraId="49DBCCD5" w14:textId="77777777">
            <w:pPr>
              <w:pStyle w:val="Tablesmalltext"/>
            </w:pPr>
            <w:r>
              <w:t>For human health receptors, see notes for Litter above.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104DD5AF" w14:textId="77777777">
            <w:pPr>
              <w:pStyle w:val="Tablesmalltext"/>
            </w:pPr>
            <w:r>
              <w:t>The waste produced does not typically attract pests and vermin and is well contained</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150B46EF"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6CAD06AE" w14:textId="77777777">
            <w:pPr>
              <w:pStyle w:val="Tablesmalltext"/>
            </w:pPr>
            <w:r>
              <w:t>N/A</w:t>
            </w:r>
          </w:p>
        </w:tc>
      </w:tr>
      <w:tr w:rsidR="00C12B76" w:rsidTr="28BC772E" w14:paraId="1BE2C8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7" w:type="pct"/>
            <w:vMerge/>
            <w:tcMar/>
          </w:tcPr>
          <w:p w:rsidRPr="000851C4" w:rsidR="00C12B76" w:rsidP="00472875" w:rsidRDefault="00C12B76" w14:paraId="4BC526BE" w14:textId="77777777">
            <w:pPr>
              <w:pStyle w:val="Tablesmalltext"/>
            </w:pPr>
          </w:p>
        </w:tc>
        <w:tc>
          <w:tcPr>
            <w:tcW w:w="398" w:type="pct"/>
            <w:tcBorders>
              <w:top w:val="single" w:color="auto" w:sz="4" w:space="0"/>
              <w:left w:val="single" w:color="auto" w:sz="4" w:space="0"/>
              <w:bottom w:val="single" w:color="auto" w:sz="4" w:space="0"/>
              <w:right w:val="single" w:color="auto" w:sz="4" w:space="0"/>
            </w:tcBorders>
            <w:tcMar/>
          </w:tcPr>
          <w:p w:rsidR="00C12B76" w:rsidP="00472875" w:rsidRDefault="00C12B76" w14:paraId="656C15FF" w14:textId="77777777">
            <w:pPr>
              <w:pStyle w:val="Tablesmalltext"/>
            </w:pPr>
            <w:r>
              <w:t>Dust</w:t>
            </w:r>
          </w:p>
        </w:tc>
        <w:tc>
          <w:tcPr>
            <w:tcW w:w="1344" w:type="pct"/>
            <w:tcBorders>
              <w:top w:val="single" w:color="auto" w:sz="4" w:space="0"/>
              <w:left w:val="single" w:color="auto" w:sz="4" w:space="0"/>
              <w:bottom w:val="single" w:color="auto" w:sz="4" w:space="0"/>
              <w:right w:val="single" w:color="auto" w:sz="4" w:space="0"/>
            </w:tcBorders>
            <w:tcMar/>
          </w:tcPr>
          <w:p w:rsidR="00C12B76" w:rsidP="00472875" w:rsidRDefault="00C12B76" w14:paraId="7E94C2B5" w14:textId="77777777">
            <w:pPr>
              <w:pStyle w:val="Tablesmalltext"/>
            </w:pPr>
            <w:r>
              <w:t>For human health receptors, see notes for Litter above.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2BFE8940" w14:textId="77777777">
            <w:pPr>
              <w:pStyle w:val="Tablesmalltext"/>
            </w:pPr>
            <w:r>
              <w:t>The facility handles wet wastes which do not result in dusts</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5EE41A84"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6FDA119E" w14:textId="77777777">
            <w:pPr>
              <w:pStyle w:val="Tablesmalltext"/>
            </w:pPr>
            <w:r>
              <w:t>N/A</w:t>
            </w:r>
          </w:p>
        </w:tc>
      </w:tr>
      <w:tr w:rsidR="00C12B76" w:rsidTr="28BC772E" w14:paraId="760637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6625F781" w14:textId="77777777">
            <w:pPr>
              <w:pStyle w:val="Tablesmalltext"/>
            </w:pPr>
            <w:r>
              <w:t>Point source emissions to air</w:t>
            </w:r>
          </w:p>
          <w:p w:rsidR="00C12B76" w:rsidP="00472875" w:rsidRDefault="00C12B76" w14:paraId="5995008E" w14:textId="77777777">
            <w:pPr>
              <w:pStyle w:val="Tablesmalltext"/>
            </w:pPr>
            <w:r>
              <w:t>Emissions deposited from air to land</w:t>
            </w:r>
          </w:p>
        </w:tc>
        <w:tc>
          <w:tcPr>
            <w:tcW w:w="1344" w:type="pct"/>
            <w:tcBorders>
              <w:top w:val="single" w:color="auto" w:sz="4" w:space="0"/>
              <w:left w:val="single" w:color="auto" w:sz="4" w:space="0"/>
              <w:bottom w:val="single" w:color="auto" w:sz="4" w:space="0"/>
              <w:right w:val="single" w:color="auto" w:sz="4" w:space="0"/>
            </w:tcBorders>
            <w:tcMar/>
          </w:tcPr>
          <w:p w:rsidR="00C12B76" w:rsidP="00472875" w:rsidRDefault="00C12B76" w14:paraId="4443289E" w14:textId="77777777">
            <w:pPr>
              <w:pStyle w:val="Tablesmalltext"/>
            </w:pPr>
            <w:r>
              <w:t>For human health receptors, see notes for Litter above.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5F7A17DA" w14:textId="77777777">
            <w:pPr>
              <w:pStyle w:val="Tablesmalltext"/>
            </w:pPr>
            <w:r>
              <w:t>There are no point source emissions to air from these activities</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69F1F9F5"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030F1E33" w14:textId="77777777">
            <w:pPr>
              <w:pStyle w:val="Tablesmalltext"/>
            </w:pPr>
            <w:r>
              <w:t>N/A</w:t>
            </w:r>
          </w:p>
        </w:tc>
      </w:tr>
      <w:tr w:rsidR="00C12B76" w:rsidTr="28BC772E" w14:paraId="4AB709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677D09EF" w14:textId="77777777">
            <w:pPr>
              <w:pStyle w:val="Tablesmalltext"/>
            </w:pPr>
            <w:r>
              <w:t>Point source and fugitive emissions to water</w:t>
            </w:r>
          </w:p>
        </w:tc>
        <w:tc>
          <w:tcPr>
            <w:tcW w:w="1344" w:type="pct"/>
            <w:tcBorders>
              <w:top w:val="single" w:color="auto" w:sz="4" w:space="0"/>
              <w:left w:val="single" w:color="auto" w:sz="4" w:space="0"/>
              <w:bottom w:val="single" w:color="auto" w:sz="4" w:space="0"/>
              <w:right w:val="single" w:color="auto" w:sz="4" w:space="0"/>
            </w:tcBorders>
            <w:tcMar/>
          </w:tcPr>
          <w:p w:rsidR="00C12B76" w:rsidP="00472875" w:rsidRDefault="00C12B76" w14:paraId="42F301CC" w14:textId="77777777">
            <w:pPr>
              <w:pStyle w:val="Tablesmalltext"/>
            </w:pPr>
            <w:r w:rsidR="00C12B76">
              <w:rPr/>
              <w:t xml:space="preserve">The </w:t>
            </w:r>
            <w:proofErr w:type="gramStart"/>
            <w:r w:rsidR="00C12B76">
              <w:rPr/>
              <w:t>south eastern</w:t>
            </w:r>
            <w:proofErr w:type="gramEnd"/>
            <w:r w:rsidR="00C12B76">
              <w:rPr/>
              <w:t xml:space="preserve">, eastern and northern sides of the site are straddled by the </w:t>
            </w:r>
            <w:proofErr w:type="gramStart"/>
            <w:r w:rsidR="00C12B76">
              <w:rPr/>
              <w:t>River</w:t>
            </w:r>
            <w:proofErr w:type="gramEnd"/>
            <w:r w:rsidR="00C12B76">
              <w:rPr/>
              <w:t xml:space="preserve"> Colne (&lt;10 m to the south and east of the site at its closest). The west side </w:t>
            </w:r>
            <w:r w:rsidR="00C12B76">
              <w:rPr/>
              <w:t xml:space="preserve">of the site is straddled by the Huddersfield Broad Canal (~16 m to the west of the site at its closest), with the canal and river coming within 65m of each other to bottleneck the site to the North. ~240 m to the </w:t>
            </w:r>
            <w:proofErr w:type="gramStart"/>
            <w:r w:rsidR="00C12B76">
              <w:rPr/>
              <w:t>south west</w:t>
            </w:r>
            <w:proofErr w:type="gramEnd"/>
            <w:r w:rsidR="00C12B76">
              <w:rPr/>
              <w:t xml:space="preserve"> is an </w:t>
            </w:r>
            <w:r w:rsidR="00C12B76">
              <w:rPr/>
              <w:t>unnamed pool.</w:t>
            </w:r>
          </w:p>
          <w:p w:rsidR="00C12B76" w:rsidP="00472875" w:rsidRDefault="00C12B76" w14:paraId="7F98BF21" w14:textId="77777777">
            <w:pPr>
              <w:pStyle w:val="Tablesmalltext"/>
            </w:pPr>
            <w:r w:rsidR="00C12B76">
              <w:rPr/>
              <w:t>The wider site drainage is returned to the head of the site for treatment.</w:t>
            </w:r>
          </w:p>
          <w:p w:rsidR="00C12B76" w:rsidP="00472875" w:rsidRDefault="00C12B76" w14:paraId="21E954E5" w14:textId="7520E9F4">
            <w:pPr>
              <w:pStyle w:val="Tablesmalltext"/>
            </w:pPr>
            <w:r w:rsidR="00C12B76">
              <w:rPr/>
              <w:t xml:space="preserve">The permitted area of the site sits within Flood </w:t>
            </w:r>
            <w:r w:rsidR="00C12B76">
              <w:rPr/>
              <w:t>Zone</w:t>
            </w:r>
            <w:r w:rsidR="00C12B76">
              <w:rPr/>
              <w:t xml:space="preserve"> 3</w:t>
            </w:r>
            <w:r w:rsidR="701CC0D0">
              <w:rPr/>
              <w:t>. It</w:t>
            </w:r>
            <w:r w:rsidR="00C12B76">
              <w:rPr/>
              <w:t xml:space="preserve"> benefits from flood </w:t>
            </w:r>
            <w:r w:rsidR="00C12B76">
              <w:rPr/>
              <w:t>defences</w:t>
            </w:r>
            <w:r w:rsidR="701CC0D0">
              <w:rPr/>
              <w:t>.</w:t>
            </w:r>
            <w:r w:rsidR="528090FB">
              <w:t>,.</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0F6A8B11" w14:textId="77777777">
            <w:pPr>
              <w:pStyle w:val="Tablesmalltext"/>
            </w:pPr>
            <w:r>
              <w:lastRenderedPageBreak/>
              <w:t xml:space="preserve">There are no point source or fugitive emissions to water associated with the permitted activities. </w:t>
            </w:r>
          </w:p>
          <w:p w:rsidR="00C12B76" w:rsidP="00472875" w:rsidRDefault="00C12B76" w14:paraId="0565D5A9" w14:textId="77777777">
            <w:pPr>
              <w:pStyle w:val="Tablesmalltext"/>
            </w:pPr>
            <w:r>
              <w:lastRenderedPageBreak/>
              <w:t>Drainage within the works is directed to the ‘head of the works’</w:t>
            </w:r>
          </w:p>
          <w:p w:rsidR="00C12B76" w:rsidP="00472875" w:rsidRDefault="00C12B76" w14:paraId="2EC256A3" w14:textId="77777777">
            <w:pPr>
              <w:pStyle w:val="Tablesmalltext"/>
            </w:pPr>
            <w:r>
              <w:t>Discharges of treated effluent from the WwTW are not covered under the Waste Framework Directive and are not included in the works associated with this permit application.</w:t>
            </w:r>
          </w:p>
          <w:p w:rsidR="00C12B76" w:rsidP="00472875" w:rsidRDefault="00C12B76" w14:paraId="246935C0" w14:textId="77777777">
            <w:pPr>
              <w:pStyle w:val="Tablesmalltext"/>
            </w:pPr>
            <w:r>
              <w:t>There is a risk to processes on site in the event that inappropriate effluent streams are introduced to the works causing inhibition of treatment processes</w:t>
            </w:r>
            <w:r w:rsidR="00F95CF8">
              <w:t>.</w:t>
            </w:r>
          </w:p>
          <w:p w:rsidR="00F95CF8" w:rsidP="00472875" w:rsidRDefault="00F95CF8" w14:paraId="7082856D" w14:textId="79D9679F">
            <w:pPr>
              <w:pStyle w:val="Tablesmalltext"/>
            </w:pP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5A459B1C" w14:textId="77777777">
            <w:pPr>
              <w:pStyle w:val="Tablesmalltext"/>
            </w:pPr>
            <w:r>
              <w:lastRenderedPageBreak/>
              <w:t>No</w:t>
            </w:r>
          </w:p>
        </w:tc>
        <w:tc>
          <w:tcPr>
            <w:tcW w:w="786" w:type="pct"/>
            <w:tcBorders>
              <w:top w:val="single" w:color="auto" w:sz="4" w:space="0"/>
              <w:left w:val="single" w:color="auto" w:sz="4" w:space="0"/>
              <w:bottom w:val="single" w:color="auto" w:sz="4" w:space="0"/>
              <w:right w:val="single" w:color="auto" w:sz="4" w:space="0"/>
            </w:tcBorders>
            <w:tcMar/>
          </w:tcPr>
          <w:p w:rsidRPr="006D658E" w:rsidR="00C12B76" w:rsidP="00472875" w:rsidRDefault="00C12B76" w14:paraId="3B5C6C65" w14:textId="77777777">
            <w:pPr>
              <w:pStyle w:val="Tablesmalltext"/>
            </w:pPr>
            <w:r w:rsidRPr="006D658E">
              <w:t xml:space="preserve">Waste pre-acceptance and acceptance checks for all incoming wastes to minimise </w:t>
            </w:r>
            <w:r w:rsidRPr="006D658E">
              <w:lastRenderedPageBreak/>
              <w:t xml:space="preserve">the risk of unacceptable loads being delivered, impacting on the treatment processes on site </w:t>
            </w:r>
          </w:p>
          <w:p w:rsidR="00C12B76" w:rsidP="00472875" w:rsidRDefault="00C12B76" w14:paraId="63B735C2" w14:textId="77777777">
            <w:pPr>
              <w:pStyle w:val="Tablesmalltext"/>
            </w:pPr>
          </w:p>
          <w:p w:rsidRPr="006D658E" w:rsidR="00C12B76" w:rsidP="00472875" w:rsidRDefault="00C12B76" w14:paraId="06962FDE" w14:textId="77777777">
            <w:pPr>
              <w:ind w:firstLine="425"/>
            </w:pPr>
          </w:p>
        </w:tc>
      </w:tr>
      <w:tr w:rsidR="00C12B76" w:rsidTr="28BC772E" w14:paraId="5C933B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6AFBFEC0" w14:textId="77777777">
            <w:pPr>
              <w:pStyle w:val="Tablesmalltext"/>
            </w:pPr>
            <w:r>
              <w:lastRenderedPageBreak/>
              <w:t>Odour</w:t>
            </w:r>
          </w:p>
        </w:tc>
        <w:tc>
          <w:tcPr>
            <w:tcW w:w="1344" w:type="pct"/>
            <w:tcBorders>
              <w:top w:val="single" w:color="auto" w:sz="4" w:space="0"/>
              <w:left w:val="single" w:color="auto" w:sz="4" w:space="0"/>
              <w:bottom w:val="single" w:color="auto" w:sz="4" w:space="0"/>
              <w:right w:val="single" w:color="auto" w:sz="4" w:space="0"/>
            </w:tcBorders>
            <w:tcMar/>
          </w:tcPr>
          <w:p w:rsidRPr="00F27EA6" w:rsidR="00C12B76" w:rsidP="00472875" w:rsidRDefault="00C12B76" w14:paraId="60690D13" w14:textId="77777777">
            <w:pPr>
              <w:pStyle w:val="Tablesmalltext"/>
            </w:pPr>
            <w:r w:rsidRPr="00F27EA6">
              <w:t>Onsite workers and contractors.</w:t>
            </w:r>
          </w:p>
          <w:p w:rsidR="00C12B76" w:rsidP="00472875" w:rsidRDefault="00C12B76" w14:paraId="39277F86" w14:textId="77777777">
            <w:pPr>
              <w:pStyle w:val="Tablesmalltext"/>
            </w:pPr>
            <w:r w:rsidRPr="00F27EA6">
              <w:t>For human health and ecological receptors, see notes for Litter above.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3B54078E" w14:textId="77777777">
            <w:pPr>
              <w:pStyle w:val="Tablesmalltext"/>
            </w:pPr>
            <w:r w:rsidRPr="00F27EA6">
              <w:t>There is the potential for odorous effluent to be accepted</w:t>
            </w:r>
            <w:r>
              <w:t xml:space="preserve"> </w:t>
            </w:r>
            <w:r w:rsidRPr="00F27EA6">
              <w:t>at the site via tanker, controls are</w:t>
            </w:r>
            <w:r>
              <w:t xml:space="preserve"> </w:t>
            </w:r>
            <w:r w:rsidRPr="00F27EA6">
              <w:t>summarised in the site</w:t>
            </w:r>
            <w:r>
              <w:t xml:space="preserve"> </w:t>
            </w:r>
            <w:r w:rsidRPr="00F27EA6">
              <w:t>odour management plan.</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21B29E31" w14:textId="77777777">
            <w:pPr>
              <w:pStyle w:val="Tablesmalltext"/>
            </w:pPr>
            <w:r>
              <w:t>Yes</w:t>
            </w:r>
          </w:p>
        </w:tc>
        <w:tc>
          <w:tcPr>
            <w:tcW w:w="786" w:type="pct"/>
            <w:tcBorders>
              <w:top w:val="single" w:color="auto" w:sz="4" w:space="0"/>
              <w:left w:val="single" w:color="auto" w:sz="4" w:space="0"/>
              <w:bottom w:val="single" w:color="auto" w:sz="4" w:space="0"/>
              <w:right w:val="single" w:color="auto" w:sz="4" w:space="0"/>
            </w:tcBorders>
            <w:tcMar/>
          </w:tcPr>
          <w:p w:rsidRPr="006D658E" w:rsidR="00C12B76" w:rsidP="00472875" w:rsidRDefault="00C12B76" w14:paraId="5C6B7BD7" w14:textId="77777777">
            <w:pPr>
              <w:pStyle w:val="Tablesmalltext"/>
            </w:pPr>
            <w:r w:rsidRPr="006D658E">
              <w:t xml:space="preserve">Mitigations are summarised in the odour risk assessment (Table 5-5) </w:t>
            </w:r>
          </w:p>
          <w:p w:rsidR="00C12B76" w:rsidP="00472875" w:rsidRDefault="00C12B76" w14:paraId="227AD03B" w14:textId="77777777">
            <w:pPr>
              <w:pStyle w:val="Tablesmalltext"/>
            </w:pPr>
          </w:p>
        </w:tc>
      </w:tr>
      <w:tr w:rsidR="00C12B76" w:rsidTr="28BC772E" w14:paraId="50BD11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17531694" w14:textId="77777777">
            <w:pPr>
              <w:pStyle w:val="Tablesmalltext"/>
            </w:pPr>
            <w:r>
              <w:t>Noise and Vibration</w:t>
            </w:r>
          </w:p>
        </w:tc>
        <w:tc>
          <w:tcPr>
            <w:tcW w:w="1344" w:type="pct"/>
            <w:tcBorders>
              <w:top w:val="single" w:color="auto" w:sz="4" w:space="0"/>
              <w:left w:val="single" w:color="auto" w:sz="4" w:space="0"/>
              <w:bottom w:val="single" w:color="auto" w:sz="4" w:space="0"/>
              <w:right w:val="single" w:color="auto" w:sz="4" w:space="0"/>
            </w:tcBorders>
            <w:tcMar/>
          </w:tcPr>
          <w:p w:rsidRPr="00F27EA6" w:rsidR="00C12B76" w:rsidP="00472875" w:rsidRDefault="00C12B76" w14:paraId="6995F9B0" w14:textId="77777777">
            <w:pPr>
              <w:pStyle w:val="Tablesmalltext"/>
            </w:pPr>
            <w:r w:rsidRPr="00F27EA6">
              <w:t>Onsite workers and contractors.</w:t>
            </w:r>
          </w:p>
          <w:p w:rsidR="00C12B76" w:rsidP="00472875" w:rsidRDefault="00C12B76" w14:paraId="3998D18B" w14:textId="77777777">
            <w:pPr>
              <w:pStyle w:val="Tablesmalltext"/>
            </w:pPr>
            <w:r w:rsidRPr="00F27EA6">
              <w:t>For human health and ecological receptors, see notes for Litter above.</w:t>
            </w:r>
          </w:p>
        </w:tc>
        <w:tc>
          <w:tcPr>
            <w:tcW w:w="1189" w:type="pct"/>
            <w:tcBorders>
              <w:top w:val="single" w:color="auto" w:sz="4" w:space="0"/>
              <w:left w:val="single" w:color="auto" w:sz="4" w:space="0"/>
              <w:bottom w:val="single" w:color="auto" w:sz="4" w:space="0"/>
              <w:right w:val="single" w:color="auto" w:sz="4" w:space="0"/>
            </w:tcBorders>
            <w:tcMar/>
          </w:tcPr>
          <w:p w:rsidRPr="00F27EA6" w:rsidR="00C12B76" w:rsidP="00472875" w:rsidRDefault="00C12B76" w14:paraId="36AB9DF5" w14:textId="77777777">
            <w:pPr>
              <w:pStyle w:val="Tablesmalltext"/>
            </w:pPr>
            <w:r w:rsidRPr="00F27EA6">
              <w:t>The primary source of noise at the site is vehicular. All</w:t>
            </w:r>
            <w:r>
              <w:t xml:space="preserve"> </w:t>
            </w:r>
            <w:r w:rsidRPr="00F27EA6">
              <w:t>plant has been chosen to be low noise and white noise</w:t>
            </w:r>
            <w:r>
              <w:t xml:space="preserve"> </w:t>
            </w:r>
            <w:r w:rsidRPr="00F27EA6">
              <w:t>squawkers have been used in preference to beepers.</w:t>
            </w:r>
          </w:p>
          <w:p w:rsidR="00C12B76" w:rsidP="00472875" w:rsidRDefault="00C12B76" w14:paraId="70D79F63" w14:textId="77777777">
            <w:pPr>
              <w:pStyle w:val="Tablesmalltext"/>
            </w:pPr>
            <w:r w:rsidRPr="00F27EA6">
              <w:t>There is no history of noise related complaints at the site.</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1B0A7B93"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Pr="006D658E" w:rsidR="00C12B76" w:rsidP="00472875" w:rsidRDefault="00C12B76" w14:paraId="7C336B60" w14:textId="77777777">
            <w:pPr>
              <w:pStyle w:val="Default"/>
              <w:rPr>
                <w:rFonts w:ascii="Jacobs Chronos" w:hAnsi="Jacobs Chronos" w:cs="Jacobs Chronos"/>
                <w:color w:val="auto"/>
                <w:sz w:val="16"/>
              </w:rPr>
            </w:pPr>
            <w:r w:rsidRPr="006D658E">
              <w:rPr>
                <w:rFonts w:ascii="Jacobs Chronos" w:hAnsi="Jacobs Chronos" w:cs="Jacobs Chronos"/>
                <w:color w:val="auto"/>
                <w:sz w:val="16"/>
              </w:rPr>
              <w:t xml:space="preserve">Wider works covered by odour management plan </w:t>
            </w:r>
          </w:p>
          <w:p w:rsidR="00C12B76" w:rsidP="00472875" w:rsidRDefault="00C12B76" w14:paraId="5BAB2BD2" w14:textId="77777777">
            <w:pPr>
              <w:pStyle w:val="Tablesmalltext"/>
            </w:pPr>
          </w:p>
        </w:tc>
      </w:tr>
      <w:tr w:rsidR="00C12B76" w:rsidTr="28BC772E" w14:paraId="2751E5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005518CC" w14:textId="77777777">
            <w:pPr>
              <w:pStyle w:val="Tablesmalltext"/>
            </w:pPr>
            <w:r>
              <w:t>Accidents</w:t>
            </w:r>
          </w:p>
        </w:tc>
        <w:tc>
          <w:tcPr>
            <w:tcW w:w="1344" w:type="pct"/>
            <w:tcBorders>
              <w:top w:val="single" w:color="auto" w:sz="4" w:space="0"/>
              <w:left w:val="single" w:color="auto" w:sz="4" w:space="0"/>
              <w:bottom w:val="single" w:color="auto" w:sz="4" w:space="0"/>
              <w:right w:val="single" w:color="auto" w:sz="4" w:space="0"/>
            </w:tcBorders>
            <w:tcMar/>
          </w:tcPr>
          <w:p w:rsidRPr="00F27EA6" w:rsidR="00C12B76" w:rsidP="00472875" w:rsidRDefault="00C12B76" w14:paraId="5BA4ED8D" w14:textId="77777777">
            <w:pPr>
              <w:pStyle w:val="Tablesmalltext"/>
            </w:pPr>
            <w:r w:rsidRPr="00F27EA6">
              <w:t>Onsite workers and contractors.</w:t>
            </w:r>
          </w:p>
          <w:p w:rsidR="00C12B76" w:rsidP="00472875" w:rsidRDefault="00C12B76" w14:paraId="613A10D7" w14:textId="77777777">
            <w:pPr>
              <w:pStyle w:val="Tablesmalltext"/>
            </w:pPr>
            <w:r w:rsidRPr="00F27EA6">
              <w:t>For human health and ecological receptors, see notes for Litter above.</w:t>
            </w:r>
          </w:p>
          <w:p w:rsidR="00C12B76" w:rsidP="00472875" w:rsidRDefault="00C12B76" w14:paraId="0BA4EF6F" w14:textId="77777777">
            <w:pPr>
              <w:pStyle w:val="Tablesmalltext"/>
            </w:pPr>
            <w:r w:rsidRPr="004D53C1">
              <w:t>The bedrock and superficial aquifers are Secondary A.</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0C2A1234" w14:textId="3766EC0F">
            <w:pPr>
              <w:pStyle w:val="Tablesmalltext"/>
            </w:pPr>
            <w:r>
              <w:t xml:space="preserve">There is potential for release of unauthorised waste or wastes of unknown composition into the treatment system, which could potentially lead to the treatment system not working correctly or requiring maintenance, as well as implications for sludge produced. </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450919D3" w14:textId="77777777">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00C12B76" w:rsidP="00472875" w:rsidRDefault="00C12B76" w14:paraId="093091B1" w14:textId="77777777">
            <w:pPr>
              <w:pStyle w:val="Tablesmalltext"/>
            </w:pPr>
            <w:r>
              <w:t>N/A</w:t>
            </w:r>
          </w:p>
        </w:tc>
      </w:tr>
      <w:tr w:rsidR="00C12B76" w:rsidTr="28BC772E" w14:paraId="414A1D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00C12B76" w:rsidP="00472875" w:rsidRDefault="00C12B76" w14:paraId="0BD2D4AF" w14:textId="77777777">
            <w:pPr>
              <w:pStyle w:val="Tablesmalltext"/>
            </w:pPr>
            <w:r>
              <w:lastRenderedPageBreak/>
              <w:t>Waste Compatibility</w:t>
            </w:r>
          </w:p>
        </w:tc>
        <w:tc>
          <w:tcPr>
            <w:tcW w:w="1344" w:type="pct"/>
            <w:tcBorders>
              <w:top w:val="single" w:color="auto" w:sz="4" w:space="0"/>
              <w:left w:val="single" w:color="auto" w:sz="4" w:space="0"/>
              <w:bottom w:val="single" w:color="auto" w:sz="4" w:space="0"/>
              <w:right w:val="single" w:color="auto" w:sz="4" w:space="0"/>
            </w:tcBorders>
            <w:tcMar/>
          </w:tcPr>
          <w:p w:rsidRPr="00180C69" w:rsidR="00C12B76" w:rsidP="00472875" w:rsidRDefault="00C12B76" w14:paraId="3235FA6B" w14:textId="77777777">
            <w:pPr>
              <w:pStyle w:val="Tablesmalltext"/>
            </w:pPr>
            <w:r w:rsidRPr="00180C69">
              <w:t xml:space="preserve">UWWTD derived flow within the works, the biological, chemical and physical processes within the WwTW and output quality (sludges and final effluent) </w:t>
            </w:r>
          </w:p>
          <w:p w:rsidRPr="00F27EA6" w:rsidR="00C12B76" w:rsidP="00472875" w:rsidRDefault="00C12B76" w14:paraId="5BD4A13A" w14:textId="77777777">
            <w:pPr>
              <w:pStyle w:val="Tablesmalltext"/>
            </w:pP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073A1D6B" w14:textId="09723144">
            <w:pPr>
              <w:pStyle w:val="Tablesmalltext"/>
            </w:pPr>
            <w:r>
              <w:t>Yorkshire Water has a robust waste pre-acceptance and acceptance procedure, which is linked to both site access for tankers and also offloading point operation by means of key fob</w:t>
            </w:r>
            <w:r w:rsidR="49A690CD">
              <w:t>-</w:t>
            </w:r>
            <w:r>
              <w:t>controlled loggers.</w:t>
            </w:r>
          </w:p>
          <w:p w:rsidR="00C12B76" w:rsidP="00472875" w:rsidRDefault="00C12B76" w14:paraId="5B874233" w14:textId="77777777">
            <w:pPr>
              <w:pStyle w:val="Tablesmalltext"/>
            </w:pPr>
            <w:r>
              <w:t>All potential tankered effluents are subject to an assessment before permission to deposit is granted, with more detailed assessments being carried out on more complex or variable effluents.</w:t>
            </w:r>
          </w:p>
          <w:p w:rsidR="00C12B76" w:rsidP="00472875" w:rsidRDefault="00C12B76" w14:paraId="6F037E6F" w14:textId="77777777">
            <w:pPr>
              <w:pStyle w:val="Tablesmalltext"/>
            </w:pPr>
            <w:r>
              <w:t>Incoming loads are subject to monitoring, including periodic random sampling and testing to check for compliance.</w:t>
            </w:r>
          </w:p>
          <w:p w:rsidRPr="00F27EA6" w:rsidR="00C12B76" w:rsidP="00472875" w:rsidRDefault="00C12B76" w14:paraId="74165558" w14:textId="77777777">
            <w:pPr>
              <w:pStyle w:val="Tablesmalltext"/>
            </w:pPr>
            <w:r>
              <w:t>All offloading points are equipped with appropriate hoses and coupling to reduce the risk of misconnections and spillages.</w:t>
            </w:r>
          </w:p>
        </w:tc>
        <w:tc>
          <w:tcPr>
            <w:tcW w:w="786" w:type="pct"/>
            <w:tcBorders>
              <w:top w:val="single" w:color="auto" w:sz="4" w:space="0"/>
              <w:left w:val="single" w:color="auto" w:sz="4" w:space="0"/>
              <w:bottom w:val="single" w:color="auto" w:sz="4" w:space="0"/>
              <w:right w:val="single" w:color="auto" w:sz="4" w:space="0"/>
            </w:tcBorders>
            <w:tcMar/>
          </w:tcPr>
          <w:p w:rsidRPr="00180C69" w:rsidR="00C12B76" w:rsidP="00472875" w:rsidRDefault="00C12B76" w14:paraId="17D4F5E6" w14:textId="77777777">
            <w:pPr>
              <w:pStyle w:val="Tablesmalltext"/>
            </w:pPr>
            <w:r w:rsidRPr="00180C69">
              <w:t xml:space="preserve">Waste compatibility </w:t>
            </w:r>
          </w:p>
          <w:p w:rsidR="00C12B76" w:rsidP="00472875" w:rsidRDefault="00C12B76" w14:paraId="5FEA45CE" w14:textId="77777777">
            <w:pPr>
              <w:pStyle w:val="Tablesmalltext"/>
            </w:pPr>
          </w:p>
        </w:tc>
        <w:tc>
          <w:tcPr>
            <w:tcW w:w="786" w:type="pct"/>
            <w:tcBorders>
              <w:top w:val="single" w:color="auto" w:sz="4" w:space="0"/>
              <w:left w:val="single" w:color="auto" w:sz="4" w:space="0"/>
              <w:bottom w:val="single" w:color="auto" w:sz="4" w:space="0"/>
              <w:right w:val="single" w:color="auto" w:sz="4" w:space="0"/>
            </w:tcBorders>
            <w:tcMar/>
          </w:tcPr>
          <w:p w:rsidRPr="00180C69" w:rsidR="00C12B76" w:rsidP="00472875" w:rsidRDefault="00C12B76" w14:paraId="3984D417" w14:textId="77777777">
            <w:pPr>
              <w:pStyle w:val="Tablesmalltext"/>
            </w:pPr>
            <w:r w:rsidRPr="00180C69">
              <w:t xml:space="preserve">Waste pre-acceptance and acceptance checks for all incoming wastes to minimise the risk of unacceptable loads being delivered, impacting on the treatment processes on site </w:t>
            </w:r>
          </w:p>
          <w:p w:rsidR="00C12B76" w:rsidP="00472875" w:rsidRDefault="00C12B76" w14:paraId="37C9518B" w14:textId="77777777">
            <w:pPr>
              <w:pStyle w:val="Tablesmalltext"/>
            </w:pPr>
          </w:p>
        </w:tc>
      </w:tr>
      <w:tr w:rsidR="00C12B76" w:rsidTr="28BC772E" w14:paraId="053A8C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Pr="00D7376B" w:rsidR="00C12B76" w:rsidP="00472875" w:rsidRDefault="00F95CF8" w14:paraId="535AE02A" w14:textId="59419BD3">
            <w:pPr>
              <w:pStyle w:val="Tablesmalltext"/>
            </w:pPr>
            <w:r>
              <w:t>Protected Species</w:t>
            </w:r>
          </w:p>
        </w:tc>
        <w:tc>
          <w:tcPr>
            <w:tcW w:w="1344" w:type="pct"/>
            <w:tcBorders>
              <w:top w:val="single" w:color="auto" w:sz="4" w:space="0"/>
              <w:left w:val="single" w:color="auto" w:sz="4" w:space="0"/>
              <w:bottom w:val="single" w:color="auto" w:sz="4" w:space="0"/>
              <w:right w:val="single" w:color="auto" w:sz="4" w:space="0"/>
            </w:tcBorders>
            <w:tcMar/>
          </w:tcPr>
          <w:p w:rsidRPr="00D7376B" w:rsidR="00C12B76" w:rsidP="00472875" w:rsidRDefault="00C12B76" w14:paraId="6056803A" w14:textId="6785B8A3">
            <w:pPr>
              <w:pStyle w:val="Tablesmalltext"/>
            </w:pPr>
            <w:r w:rsidRPr="00D7376B">
              <w:t xml:space="preserve">There </w:t>
            </w:r>
            <w:r>
              <w:t>are no designated habitat sites within the screening distance</w:t>
            </w:r>
            <w:r w:rsidRPr="00D7376B">
              <w:t>.</w:t>
            </w:r>
            <w:r>
              <w:t xml:space="preserve"> There are protected species within the River Colne.</w:t>
            </w:r>
          </w:p>
        </w:tc>
        <w:tc>
          <w:tcPr>
            <w:tcW w:w="1189" w:type="pct"/>
            <w:tcBorders>
              <w:top w:val="single" w:color="auto" w:sz="4" w:space="0"/>
              <w:left w:val="single" w:color="auto" w:sz="4" w:space="0"/>
              <w:bottom w:val="single" w:color="auto" w:sz="4" w:space="0"/>
              <w:right w:val="single" w:color="auto" w:sz="4" w:space="0"/>
            </w:tcBorders>
            <w:tcMar/>
          </w:tcPr>
          <w:p w:rsidR="00C12B76" w:rsidP="00472875" w:rsidRDefault="00C12B76" w14:paraId="1E1E9C4F" w14:textId="114DDC21">
            <w:pPr>
              <w:pStyle w:val="Tablesmalltext"/>
            </w:pPr>
            <w:r w:rsidRPr="00D7376B">
              <w:t>There are no direct discharges to the River Colne</w:t>
            </w:r>
            <w:r>
              <w:t xml:space="preserve"> or Sir John Ramsden Canal </w:t>
            </w:r>
            <w:r w:rsidRPr="00D7376B">
              <w:t xml:space="preserve">from the permitted </w:t>
            </w:r>
            <w:r>
              <w:t>activity</w:t>
            </w:r>
            <w:r w:rsidRPr="00D7376B">
              <w:t>. All import</w:t>
            </w:r>
            <w:r>
              <w:t xml:space="preserve">ed wastes </w:t>
            </w:r>
            <w:r w:rsidRPr="00D7376B">
              <w:t xml:space="preserve">are treated within the </w:t>
            </w:r>
            <w:r>
              <w:t>WwTW</w:t>
            </w:r>
            <w:r w:rsidRPr="00D7376B">
              <w:t xml:space="preserve"> in accordance with its discharge permit.</w:t>
            </w:r>
          </w:p>
          <w:p w:rsidRPr="00D7376B" w:rsidR="00F95CF8" w:rsidP="00472875" w:rsidRDefault="00F95CF8" w14:paraId="71820A28" w14:textId="56A1F41B">
            <w:pPr>
              <w:pStyle w:val="Tablesmalltext"/>
            </w:pPr>
          </w:p>
        </w:tc>
        <w:tc>
          <w:tcPr>
            <w:tcW w:w="786" w:type="pct"/>
            <w:tcBorders>
              <w:top w:val="single" w:color="auto" w:sz="4" w:space="0"/>
              <w:left w:val="single" w:color="auto" w:sz="4" w:space="0"/>
              <w:bottom w:val="single" w:color="auto" w:sz="4" w:space="0"/>
              <w:right w:val="single" w:color="auto" w:sz="4" w:space="0"/>
            </w:tcBorders>
            <w:tcMar/>
          </w:tcPr>
          <w:p w:rsidRPr="00D7376B" w:rsidR="00C12B76" w:rsidP="00472875" w:rsidRDefault="00C12B76" w14:paraId="24CC9F9D" w14:textId="77777777">
            <w:pPr>
              <w:pStyle w:val="Tablesmalltext"/>
            </w:pPr>
            <w:r w:rsidRPr="00D7376B">
              <w:t>No</w:t>
            </w:r>
          </w:p>
        </w:tc>
        <w:tc>
          <w:tcPr>
            <w:tcW w:w="786" w:type="pct"/>
            <w:tcBorders>
              <w:top w:val="single" w:color="auto" w:sz="4" w:space="0"/>
              <w:left w:val="single" w:color="auto" w:sz="4" w:space="0"/>
              <w:bottom w:val="single" w:color="auto" w:sz="4" w:space="0"/>
              <w:right w:val="single" w:color="auto" w:sz="4" w:space="0"/>
            </w:tcBorders>
            <w:tcMar/>
          </w:tcPr>
          <w:p w:rsidRPr="00180C69" w:rsidR="00C12B76" w:rsidP="00472875" w:rsidRDefault="00C12B76" w14:paraId="5913FFE8" w14:textId="77777777">
            <w:pPr>
              <w:pStyle w:val="Tablesmalltext"/>
            </w:pPr>
            <w:r w:rsidRPr="00D7376B">
              <w:t>The site has emergency plans and protocols within its EMS to reduce and minimise risk.</w:t>
            </w:r>
            <w:r w:rsidRPr="00180C69">
              <w:t xml:space="preserve"> </w:t>
            </w:r>
          </w:p>
          <w:p w:rsidR="00C12B76" w:rsidP="00472875" w:rsidRDefault="00C12B76" w14:paraId="6F4D581F" w14:textId="77777777">
            <w:pPr>
              <w:pStyle w:val="Tablesmalltext"/>
            </w:pPr>
          </w:p>
        </w:tc>
      </w:tr>
      <w:tr w:rsidR="00F95CF8" w:rsidTr="28BC772E" w14:paraId="64DD8C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65E50AA7" w14:textId="4C7C3FD3">
            <w:pPr>
              <w:pStyle w:val="Tablesmalltext"/>
            </w:pPr>
            <w:r>
              <w:t>Flooding</w:t>
            </w:r>
          </w:p>
        </w:tc>
        <w:tc>
          <w:tcPr>
            <w:tcW w:w="1344" w:type="pct"/>
            <w:tcBorders>
              <w:top w:val="single" w:color="auto" w:sz="4" w:space="0"/>
              <w:left w:val="single" w:color="auto" w:sz="4" w:space="0"/>
              <w:bottom w:val="single" w:color="auto" w:sz="4" w:space="0"/>
              <w:right w:val="single" w:color="auto" w:sz="4" w:space="0"/>
            </w:tcBorders>
            <w:tcMar/>
          </w:tcPr>
          <w:p w:rsidRPr="00D7376B" w:rsidR="00F95CF8" w:rsidP="00472875" w:rsidRDefault="006577CD" w14:paraId="1ED6A26E" w14:textId="4557D751">
            <w:pPr>
              <w:pStyle w:val="Tablesmalltext"/>
            </w:pPr>
            <w:r w:rsidRPr="006577CD">
              <w:t>The far north and far west sides of the site lie within Flood Zone 2 with a medium probability of flooding from rivers (1:100 – 1:1000 annual probability of flooding). The rest of the site lies within Flood Zone 3 with a high probability of flooding from rivers (&gt;1:100 annual probability of flooding).</w:t>
            </w:r>
          </w:p>
        </w:tc>
        <w:tc>
          <w:tcPr>
            <w:tcW w:w="1189" w:type="pct"/>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2B220FCF" w14:textId="4C33DC6F">
            <w:pPr>
              <w:pStyle w:val="Tablesmalltext"/>
            </w:pPr>
            <w:r w:rsidRPr="00A66973">
              <w:t>The site has registered for flood warnings and in the event of a major flood being forecast, tankered trade imports deliveries to the inlet will be diverted to alternative YW sites.</w:t>
            </w:r>
          </w:p>
        </w:tc>
        <w:tc>
          <w:tcPr>
            <w:tcW w:w="786" w:type="pct"/>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54C5345E" w14:textId="35A12B9C">
            <w:pPr>
              <w:pStyle w:val="Tablesmalltext"/>
            </w:pPr>
            <w:r>
              <w:t>No</w:t>
            </w:r>
          </w:p>
        </w:tc>
        <w:tc>
          <w:tcPr>
            <w:tcW w:w="786" w:type="pct"/>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2C76CE85" w14:textId="03E79702">
            <w:pPr>
              <w:pStyle w:val="Tablesmalltext"/>
            </w:pPr>
            <w:r>
              <w:t>No</w:t>
            </w:r>
          </w:p>
        </w:tc>
      </w:tr>
      <w:tr w:rsidR="00F95CF8" w:rsidTr="28BC772E" w14:paraId="4AB9C8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5" w:type="pct"/>
            <w:gridSpan w:val="2"/>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472254C6" w14:textId="4D4D9939">
            <w:pPr>
              <w:pStyle w:val="Tablesmalltext"/>
            </w:pPr>
            <w:r>
              <w:t>Bioaerosols</w:t>
            </w:r>
          </w:p>
        </w:tc>
        <w:tc>
          <w:tcPr>
            <w:tcW w:w="1344" w:type="pct"/>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0B1B074D" w14:textId="3CF57F09">
            <w:pPr>
              <w:pStyle w:val="Tablesmalltext"/>
            </w:pPr>
            <w:r>
              <w:t>Humans</w:t>
            </w:r>
          </w:p>
        </w:tc>
        <w:tc>
          <w:tcPr>
            <w:tcW w:w="1189" w:type="pct"/>
            <w:tcBorders>
              <w:top w:val="single" w:color="auto" w:sz="4" w:space="0"/>
              <w:left w:val="single" w:color="auto" w:sz="4" w:space="0"/>
              <w:bottom w:val="single" w:color="auto" w:sz="4" w:space="0"/>
              <w:right w:val="single" w:color="auto" w:sz="4" w:space="0"/>
            </w:tcBorders>
            <w:tcMar/>
          </w:tcPr>
          <w:p w:rsidR="00F95CF8" w:rsidP="00472875" w:rsidRDefault="00F95CF8" w14:paraId="54C4F680" w14:textId="77777777">
            <w:pPr>
              <w:pStyle w:val="Tablesmalltext"/>
            </w:pPr>
            <w:r w:rsidRPr="00F95CF8">
              <w:t>In line with document reference ‘</w:t>
            </w:r>
            <w:r>
              <w:t>Deighton WwTW</w:t>
            </w:r>
            <w:r w:rsidRPr="00F95CF8">
              <w:t xml:space="preserve"> Tankered Waste Imports – Bioaerosol Risk Assessment’ there are no bioaerosols released from the acceptance of waste. For the </w:t>
            </w:r>
            <w:r w:rsidRPr="00F95CF8">
              <w:lastRenderedPageBreak/>
              <w:t>reception and offloading of waste there is no release point, offloading through sealed pipe and connector.</w:t>
            </w:r>
          </w:p>
          <w:p w:rsidR="00F95CF8" w:rsidP="00472875" w:rsidRDefault="00F95CF8" w14:paraId="235863F7" w14:textId="77777777">
            <w:pPr>
              <w:pStyle w:val="Tablesmalltext"/>
            </w:pPr>
          </w:p>
          <w:p w:rsidRPr="00D7376B" w:rsidR="00F95CF8" w:rsidP="00472875" w:rsidRDefault="00F95CF8" w14:paraId="26F3C082" w14:textId="10FFC54A">
            <w:pPr>
              <w:pStyle w:val="Tablesmalltext"/>
            </w:pPr>
            <w:r w:rsidRPr="00A66973">
              <w:t>Only liquid wastes accepted with limited potential to generate bioaerosols. For the discharge of effluent to WwTW, there is no release point - discharge into wastewater inlet is below liquid level. Only liquid wastes accepted with limited potential to generate bioaerosols.</w:t>
            </w:r>
          </w:p>
        </w:tc>
        <w:tc>
          <w:tcPr>
            <w:tcW w:w="786" w:type="pct"/>
            <w:tcBorders>
              <w:top w:val="single" w:color="auto" w:sz="4" w:space="0"/>
              <w:left w:val="single" w:color="auto" w:sz="4" w:space="0"/>
              <w:bottom w:val="single" w:color="auto" w:sz="4" w:space="0"/>
              <w:right w:val="single" w:color="auto" w:sz="4" w:space="0"/>
            </w:tcBorders>
            <w:tcMar/>
          </w:tcPr>
          <w:p w:rsidRPr="00D7376B" w:rsidR="00F95CF8" w:rsidP="00472875" w:rsidRDefault="00F95CF8" w14:paraId="702D0328" w14:textId="32CBF89F">
            <w:pPr>
              <w:pStyle w:val="Tablesmalltext"/>
            </w:pPr>
            <w:r>
              <w:lastRenderedPageBreak/>
              <w:t>No</w:t>
            </w:r>
          </w:p>
        </w:tc>
        <w:tc>
          <w:tcPr>
            <w:tcW w:w="786" w:type="pct"/>
            <w:tcBorders>
              <w:top w:val="single" w:color="auto" w:sz="4" w:space="0"/>
              <w:left w:val="single" w:color="auto" w:sz="4" w:space="0"/>
              <w:bottom w:val="single" w:color="auto" w:sz="4" w:space="0"/>
              <w:right w:val="single" w:color="auto" w:sz="4" w:space="0"/>
            </w:tcBorders>
            <w:tcMar/>
          </w:tcPr>
          <w:p w:rsidRPr="00A66973" w:rsidR="00F95CF8" w:rsidP="00F95CF8" w:rsidRDefault="00F95CF8" w14:paraId="667FB659" w14:textId="77777777">
            <w:pPr>
              <w:pStyle w:val="Tablesmalltext"/>
            </w:pPr>
            <w:r w:rsidRPr="00A66973">
              <w:t>All pipes and connectors checked for integrity any damaged equipment removed from service and replaced.</w:t>
            </w:r>
          </w:p>
          <w:p w:rsidRPr="00A66973" w:rsidR="00F95CF8" w:rsidP="00F95CF8" w:rsidRDefault="00F95CF8" w14:paraId="4C83665F" w14:textId="77777777">
            <w:pPr>
              <w:pStyle w:val="Tablesmalltext"/>
            </w:pPr>
            <w:r w:rsidRPr="00A66973">
              <w:lastRenderedPageBreak/>
              <w:t>Waste pre-acceptance procedure.</w:t>
            </w:r>
          </w:p>
          <w:p w:rsidRPr="00D7376B" w:rsidR="00F95CF8" w:rsidP="00F95CF8" w:rsidRDefault="00F95CF8" w14:paraId="09DEFDC3" w14:textId="67FB35E2">
            <w:pPr>
              <w:pStyle w:val="Tablesmalltext"/>
            </w:pPr>
            <w:r w:rsidRPr="00A66973">
              <w:t>Waste acceptance procedure.</w:t>
            </w:r>
          </w:p>
        </w:tc>
      </w:tr>
    </w:tbl>
    <w:p w:rsidR="00472875" w:rsidRDefault="00472875" w14:paraId="2BEFDB50" w14:textId="77777777"/>
    <w:sectPr w:rsidR="00472875" w:rsidSect="00080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875" w:rsidP="00881D31" w:rsidRDefault="00472875" w14:paraId="0A5CB7B7" w14:textId="77777777">
      <w:pPr>
        <w:spacing w:after="0" w:line="240" w:lineRule="auto"/>
      </w:pPr>
      <w:r>
        <w:separator/>
      </w:r>
    </w:p>
  </w:endnote>
  <w:endnote w:type="continuationSeparator" w:id="0">
    <w:p w:rsidR="00472875" w:rsidP="00881D31" w:rsidRDefault="00472875" w14:paraId="0F47D805" w14:textId="77777777">
      <w:pPr>
        <w:spacing w:after="0" w:line="240" w:lineRule="auto"/>
      </w:pPr>
      <w:r>
        <w:continuationSeparator/>
      </w:r>
    </w:p>
  </w:endnote>
  <w:endnote w:type="continuationNotice" w:id="1">
    <w:p w:rsidR="00AC1C4B" w:rsidRDefault="00AC1C4B" w14:paraId="2112A0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cobs Chronos">
    <w:altName w:val="Calibri"/>
    <w:charset w:val="00"/>
    <w:family w:val="swiss"/>
    <w:pitch w:val="variable"/>
    <w:sig w:usb0="A00000EF" w:usb1="0000E0EB" w:usb2="00000008"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875" w:rsidP="00881D31" w:rsidRDefault="00472875" w14:paraId="63E740DB" w14:textId="77777777">
      <w:pPr>
        <w:spacing w:after="0" w:line="240" w:lineRule="auto"/>
      </w:pPr>
      <w:r>
        <w:separator/>
      </w:r>
    </w:p>
  </w:footnote>
  <w:footnote w:type="continuationSeparator" w:id="0">
    <w:p w:rsidR="00472875" w:rsidP="00881D31" w:rsidRDefault="00472875" w14:paraId="32447BE9" w14:textId="77777777">
      <w:pPr>
        <w:spacing w:after="0" w:line="240" w:lineRule="auto"/>
      </w:pPr>
      <w:r>
        <w:continuationSeparator/>
      </w:r>
    </w:p>
  </w:footnote>
  <w:footnote w:type="continuationNotice" w:id="1">
    <w:p w:rsidR="00AC1C4B" w:rsidRDefault="00AC1C4B" w14:paraId="5C14458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30"/>
    <w:rsid w:val="00080D30"/>
    <w:rsid w:val="00422C6F"/>
    <w:rsid w:val="00472875"/>
    <w:rsid w:val="005D4790"/>
    <w:rsid w:val="005F7E77"/>
    <w:rsid w:val="00604635"/>
    <w:rsid w:val="006577CD"/>
    <w:rsid w:val="00693BA2"/>
    <w:rsid w:val="008172F5"/>
    <w:rsid w:val="00881D31"/>
    <w:rsid w:val="009C4FDA"/>
    <w:rsid w:val="00AC1C4B"/>
    <w:rsid w:val="00C12B76"/>
    <w:rsid w:val="00D53797"/>
    <w:rsid w:val="00DD32EF"/>
    <w:rsid w:val="00EB33D9"/>
    <w:rsid w:val="00F95CF8"/>
    <w:rsid w:val="0E14E8D9"/>
    <w:rsid w:val="15755C9F"/>
    <w:rsid w:val="1B8A3E78"/>
    <w:rsid w:val="23483A12"/>
    <w:rsid w:val="262449D3"/>
    <w:rsid w:val="28BC772E"/>
    <w:rsid w:val="2F8D27FC"/>
    <w:rsid w:val="3166FEE0"/>
    <w:rsid w:val="3AFBA935"/>
    <w:rsid w:val="3DD8EA4C"/>
    <w:rsid w:val="4770BCCA"/>
    <w:rsid w:val="49476B85"/>
    <w:rsid w:val="49A690CD"/>
    <w:rsid w:val="528090FB"/>
    <w:rsid w:val="55D1505E"/>
    <w:rsid w:val="5E8F4D88"/>
    <w:rsid w:val="69EC6620"/>
    <w:rsid w:val="701CC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ACABA"/>
  <w15:chartTrackingRefBased/>
  <w15:docId w15:val="{D7CDA3A1-EE6A-417B-B40F-0C76256A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80D30"/>
    <w:pPr>
      <w:spacing w:after="220" w:line="240" w:lineRule="atLeast"/>
    </w:pPr>
    <w:rPr>
      <w:rFonts w:ascii="Jacobs Chronos" w:hAnsi="Jacobs Chronos" w:cs="Jacobs Chronos" w:eastAsiaTheme="minorEastAsia"/>
      <w:sz w:val="20"/>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80D30"/>
    <w:pPr>
      <w:spacing w:after="0" w:line="240" w:lineRule="auto"/>
    </w:pPr>
    <w:rPr>
      <w:rFonts w:eastAsiaTheme="minorEastAsia"/>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smalltext" w:customStyle="1">
    <w:name w:val="Table small text"/>
    <w:basedOn w:val="Normal"/>
    <w:uiPriority w:val="15"/>
    <w:qFormat/>
    <w:rsid w:val="00080D30"/>
    <w:pPr>
      <w:spacing w:before="40" w:after="40"/>
    </w:pPr>
    <w:rPr>
      <w:sz w:val="16"/>
    </w:rPr>
  </w:style>
  <w:style w:type="paragraph" w:styleId="Tablesmallheading" w:customStyle="1">
    <w:name w:val="Table small heading"/>
    <w:basedOn w:val="Normal"/>
    <w:uiPriority w:val="15"/>
    <w:qFormat/>
    <w:rsid w:val="00080D30"/>
    <w:pPr>
      <w:keepNext/>
      <w:spacing w:before="60" w:after="60"/>
    </w:pPr>
    <w:rPr>
      <w:b/>
    </w:rPr>
  </w:style>
  <w:style w:type="paragraph" w:styleId="Default" w:customStyle="1">
    <w:name w:val="Default"/>
    <w:rsid w:val="00080D30"/>
    <w:pPr>
      <w:autoSpaceDE w:val="0"/>
      <w:autoSpaceDN w:val="0"/>
      <w:adjustRightInd w:val="0"/>
      <w:spacing w:after="0" w:line="240" w:lineRule="auto"/>
    </w:pPr>
    <w:rPr>
      <w:rFonts w:ascii="Arial" w:hAnsi="Arial" w:cs="Arial" w:eastAsiaTheme="minorEastAsia"/>
      <w:color w:val="000000"/>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rFonts w:ascii="Jacobs Chronos" w:hAnsi="Jacobs Chronos" w:cs="Jacobs Chronos" w:eastAsiaTheme="minorEastAsia"/>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5CF8"/>
    <w:rPr>
      <w:b/>
      <w:bCs/>
    </w:rPr>
  </w:style>
  <w:style w:type="character" w:styleId="CommentSubjectChar" w:customStyle="1">
    <w:name w:val="Comment Subject Char"/>
    <w:basedOn w:val="CommentTextChar"/>
    <w:link w:val="CommentSubject"/>
    <w:uiPriority w:val="99"/>
    <w:semiHidden/>
    <w:rsid w:val="00F95CF8"/>
    <w:rPr>
      <w:rFonts w:ascii="Jacobs Chronos" w:hAnsi="Jacobs Chronos" w:cs="Jacobs Chronos" w:eastAsiaTheme="minorEastAsia"/>
      <w:b/>
      <w:bCs/>
      <w:sz w:val="20"/>
      <w:szCs w:val="20"/>
      <w:lang w:eastAsia="en-US"/>
    </w:rPr>
  </w:style>
  <w:style w:type="character" w:styleId="UnresolvedMention">
    <w:name w:val="Unresolved Mention"/>
    <w:basedOn w:val="DefaultParagraphFont"/>
    <w:uiPriority w:val="99"/>
    <w:unhideWhenUsed/>
    <w:rsid w:val="00F95CF8"/>
    <w:rPr>
      <w:color w:val="605E5C"/>
      <w:shd w:val="clear" w:color="auto" w:fill="E1DFDD"/>
    </w:rPr>
  </w:style>
  <w:style w:type="paragraph" w:styleId="Header">
    <w:name w:val="header"/>
    <w:basedOn w:val="Normal"/>
    <w:link w:val="HeaderChar"/>
    <w:uiPriority w:val="99"/>
    <w:semiHidden/>
    <w:unhideWhenUsed/>
    <w:rsid w:val="009C4FD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AC1C4B"/>
    <w:rPr>
      <w:rFonts w:ascii="Jacobs Chronos" w:hAnsi="Jacobs Chronos" w:cs="Jacobs Chronos" w:eastAsiaTheme="minorEastAsia"/>
      <w:sz w:val="20"/>
      <w:szCs w:val="24"/>
      <w:lang w:eastAsia="en-US"/>
    </w:rPr>
  </w:style>
  <w:style w:type="paragraph" w:styleId="Footer">
    <w:name w:val="footer"/>
    <w:basedOn w:val="Normal"/>
    <w:link w:val="FooterChar"/>
    <w:uiPriority w:val="99"/>
    <w:semiHidden/>
    <w:unhideWhenUsed/>
    <w:rsid w:val="009C4FD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AC1C4B"/>
    <w:rPr>
      <w:rFonts w:ascii="Jacobs Chronos" w:hAnsi="Jacobs Chronos" w:cs="Jacobs Chronos" w:eastAsiaTheme="minorEastAsia"/>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ImageCreateDate xmlns="http://schemas.microsoft.com/sharepoint/v3/fields"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Waste work in progress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wic_System_Copyright xmlns="http://schemas.microsoft.com/sharepoint/v3/fields" xsi:nil="true"/>
    <Team xmlns="662745e8-e224-48e8-a2e3-254862b8c2f5">NPS Waste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Image" ma:contentTypeID="0x0101009148F5A04DDD49CBA7127AADA5FB792B00AADE34325A8B49CDA8BB4DB53328F214003B02ABCC6D8F434E9CAFE017FAD4D7F700F136A23D47A757448C079B40CBE51A35" ma:contentTypeVersion="2" ma:contentTypeDescription="Upload an image." ma:contentTypeScope="" ma:versionID="f6b3110cbc6664848a927ff87c0fa648">
  <xsd:schema xmlns:xsd="http://www.w3.org/2001/XMLSchema" xmlns:xs="http://www.w3.org/2001/XMLSchema" xmlns:p="http://schemas.microsoft.com/office/2006/metadata/properties" xmlns:ns1="http://schemas.microsoft.com/sharepoint/v3" xmlns:ns2="http://schemas.microsoft.com/sharepoint/v3/fields" xmlns:ns3="662745e8-e224-48e8-a2e3-254862b8c2f5" targetNamespace="http://schemas.microsoft.com/office/2006/metadata/properties" ma:root="true" ma:fieldsID="b85eae9f010f0e377546ac87203ac4a3" ns1:_="" ns2:_="" ns3:_="">
    <xsd:import namespace="http://schemas.microsoft.com/sharepoint/v3"/>
    <xsd:import namespace="http://schemas.microsoft.com/sharepoint/v3/fields"/>
    <xsd:import namespace="662745e8-e224-48e8-a2e3-254862b8c2f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2:wic_System_Copyright" minOccurs="0"/>
                <xsd:element ref="ns3:lae2bfa7b6474897ab4a53f76ea236c7" minOccurs="0"/>
                <xsd:element ref="ns3:TaxCatchAll" minOccurs="0"/>
                <xsd:element ref="ns3:TaxCatchAllLabel" minOccurs="0"/>
                <xsd:element ref="ns3:cf401361b24e474cb011be6eb76c0e76" minOccurs="0"/>
                <xsd:element ref="ns3:n7493b4506bf40e28c373b1e51a33445" minOccurs="0"/>
                <xsd:element ref="ns3:HOMigrated" minOccurs="0"/>
                <xsd:element ref="ns3:k85d23755b3a46b5a51451cf336b2e9b" minOccurs="0"/>
                <xsd:element ref="ns3:Team" minOccurs="0"/>
                <xsd:element ref="ns3:Topic" minOccurs="0"/>
                <xsd:element ref="ns3:ddeb1fd0a9ad4436a96525d34737dc44" minOccurs="0"/>
                <xsd:element ref="ns3: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2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813e1063-0b6b-4dca-a59b-39f8dfd0319b}" ma:internalName="TaxCatchAll" ma:showField="CatchAllData"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13e1063-0b6b-4dca-a59b-39f8dfd0319b}" ma:internalName="TaxCatchAllLabel" ma:readOnly="true" ma:showField="CatchAllDataLabel"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31"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33"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35" nillable="true" ma:displayName="Migrated" ma:default="0" ma:internalName="HOMigrated">
      <xsd:simpleType>
        <xsd:restriction base="dms:Boolean"/>
      </xsd:simpleType>
    </xsd:element>
    <xsd:element name="k85d23755b3a46b5a51451cf336b2e9b" ma:index="36"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38" nillable="true" ma:displayName="Team" ma:default="NPS Waste Regime" ma:internalName="Team">
      <xsd:simpleType>
        <xsd:restriction base="dms:Text"/>
      </xsd:simpleType>
    </xsd:element>
    <xsd:element name="Topic" ma:index="39" nillable="true" ma:displayName="Topic" ma:default="Waste work in progress" ma:internalName="Topic">
      <xsd:simpleType>
        <xsd:restriction base="dms:Text"/>
      </xsd:simpleType>
    </xsd:element>
    <xsd:element name="ddeb1fd0a9ad4436a96525d34737dc44" ma:index="40"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42"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9148F5A04DDD49CBA7127AADA5FB792B00AADE34325A8B49CDA8BB4DB53328F214003B02ABCC6D8F434E9CAFE017FAD4D7F7" PreviousValue="false" LastSyncTimeStamp="2018-07-26T16:31:42.4Z"/>
</file>

<file path=customXml/itemProps1.xml><?xml version="1.0" encoding="utf-8"?>
<ds:datastoreItem xmlns:ds="http://schemas.openxmlformats.org/officeDocument/2006/customXml" ds:itemID="{54624900-5DED-4605-B3CD-0757C78551C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dddc719-072c-42b8-8ce4-554d9a99e7c2"/>
    <ds:schemaRef ds:uri="http://purl.org/dc/dcmitype/"/>
    <ds:schemaRef ds:uri="http://schemas.openxmlformats.org/package/2006/metadata/core-properties"/>
    <ds:schemaRef ds:uri="0f7f962f-e918-4499-811c-fd8eb42c38da"/>
    <ds:schemaRef ds:uri="http://www.w3.org/XML/1998/namespace"/>
  </ds:schemaRefs>
</ds:datastoreItem>
</file>

<file path=customXml/itemProps2.xml><?xml version="1.0" encoding="utf-8"?>
<ds:datastoreItem xmlns:ds="http://schemas.openxmlformats.org/officeDocument/2006/customXml" ds:itemID="{3266F96F-8EF9-4A7D-B88B-2A9B391D0843}">
  <ds:schemaRefs>
    <ds:schemaRef ds:uri="http://schemas.microsoft.com/sharepoint/v3/contenttype/forms"/>
  </ds:schemaRefs>
</ds:datastoreItem>
</file>

<file path=customXml/itemProps3.xml><?xml version="1.0" encoding="utf-8"?>
<ds:datastoreItem xmlns:ds="http://schemas.openxmlformats.org/officeDocument/2006/customXml" ds:itemID="{C69EAA4E-5C13-46D7-8D7E-5C0EF9BE4A26}"/>
</file>

<file path=customXml/itemProps4.xml><?xml version="1.0" encoding="utf-8"?>
<ds:datastoreItem xmlns:ds="http://schemas.openxmlformats.org/officeDocument/2006/customXml" ds:itemID="{FD4CFF30-39D9-4114-A82C-289D18F589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Jowsey1</dc:creator>
  <keywords/>
  <dc:description/>
  <lastModifiedBy>Adele Burns</lastModifiedBy>
  <revision>7</revision>
  <dcterms:created xsi:type="dcterms:W3CDTF">2022-12-21T09:57:00.0000000Z</dcterms:created>
  <dcterms:modified xsi:type="dcterms:W3CDTF">2023-01-16T16:23:56.7047383Z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2022-12-21T09:57:29Z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20f40de7-8c0e-48bc-aead-d4c23a8a3d17</vt:lpwstr>
  </property>
  <property fmtid="{D5CDD505-2E9C-101B-9397-08002B2CF9AE}" pid="8" name="MSIP_Label_d04dfc70-0289-4bbf-a1df-2e48919102f8_ContentBits">
    <vt:lpwstr>0</vt:lpwstr>
  </property>
  <property fmtid="{D5CDD505-2E9C-101B-9397-08002B2CF9AE}" pid="9" name="ContentTypeId">
    <vt:lpwstr>0x01010093C6CCCEFCB7344D92A8C106B1E0AF10</vt:lpwstr>
  </property>
  <property fmtid="{D5CDD505-2E9C-101B-9397-08002B2CF9AE}" pid="10" name="MediaServiceImageTags">
    <vt:lpwstr/>
  </property>
</Properties>
</file>