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04A66" w14:textId="0F4D4FD8" w:rsidR="00163735" w:rsidRPr="00E970D9" w:rsidRDefault="00E970D9" w:rsidP="00E970D9">
      <w:pPr>
        <w:jc w:val="center"/>
        <w:rPr>
          <w:b/>
          <w:bCs/>
          <w:sz w:val="36"/>
          <w:szCs w:val="36"/>
          <w:lang w:val="en-GB"/>
        </w:rPr>
      </w:pPr>
      <w:proofErr w:type="spellStart"/>
      <w:r w:rsidRPr="00E970D9">
        <w:rPr>
          <w:rFonts w:ascii="Calibri" w:hAnsi="Calibri" w:cs="Calibri"/>
          <w:b/>
          <w:bCs/>
          <w:sz w:val="36"/>
          <w:szCs w:val="36"/>
        </w:rPr>
        <w:t>Secondary</w:t>
      </w:r>
      <w:proofErr w:type="spellEnd"/>
      <w:r w:rsidRPr="00E970D9">
        <w:rPr>
          <w:rFonts w:ascii="Calibri" w:hAnsi="Calibri" w:cs="Calibri"/>
          <w:b/>
          <w:bCs/>
          <w:sz w:val="36"/>
          <w:szCs w:val="36"/>
        </w:rPr>
        <w:t xml:space="preserve"> &amp; </w:t>
      </w:r>
      <w:proofErr w:type="spellStart"/>
      <w:r w:rsidRPr="00E970D9">
        <w:rPr>
          <w:rFonts w:ascii="Calibri" w:hAnsi="Calibri" w:cs="Calibri"/>
          <w:b/>
          <w:bCs/>
          <w:sz w:val="36"/>
          <w:szCs w:val="36"/>
        </w:rPr>
        <w:t>Tertiary</w:t>
      </w:r>
      <w:proofErr w:type="spellEnd"/>
      <w:r w:rsidRPr="00E970D9">
        <w:rPr>
          <w:rFonts w:ascii="Calibri" w:hAnsi="Calibri" w:cs="Calibri"/>
          <w:b/>
          <w:bCs/>
          <w:sz w:val="36"/>
          <w:szCs w:val="36"/>
        </w:rPr>
        <w:t xml:space="preserve"> Containment</w:t>
      </w:r>
    </w:p>
    <w:p w14:paraId="0CE78CB4" w14:textId="391A4FAD" w:rsidR="00163735" w:rsidRPr="00163735" w:rsidRDefault="00163735" w:rsidP="00163735">
      <w:pPr>
        <w:spacing w:line="480" w:lineRule="auto"/>
        <w:jc w:val="both"/>
        <w:rPr>
          <w:sz w:val="24"/>
          <w:lang w:val="en-GB"/>
        </w:rPr>
      </w:pPr>
      <w:r w:rsidRPr="00163735">
        <w:rPr>
          <w:sz w:val="24"/>
          <w:lang w:val="en-GB"/>
        </w:rPr>
        <w:t xml:space="preserve">Below is </w:t>
      </w:r>
      <w:r>
        <w:rPr>
          <w:sz w:val="24"/>
          <w:lang w:val="en-GB"/>
        </w:rPr>
        <w:t xml:space="preserve">the </w:t>
      </w:r>
      <w:r w:rsidRPr="00163735">
        <w:rPr>
          <w:sz w:val="24"/>
          <w:lang w:val="en-GB"/>
        </w:rPr>
        <w:t>information regarding secondary/tertiary containment</w:t>
      </w:r>
      <w:r>
        <w:rPr>
          <w:sz w:val="24"/>
          <w:lang w:val="en-GB"/>
        </w:rPr>
        <w:t xml:space="preserve"> at the biological ETP</w:t>
      </w:r>
      <w:r w:rsidRPr="00163735">
        <w:rPr>
          <w:sz w:val="24"/>
          <w:lang w:val="en-GB"/>
        </w:rPr>
        <w:t xml:space="preserve">. </w:t>
      </w:r>
    </w:p>
    <w:p w14:paraId="2A0D9CF3" w14:textId="233F7D35" w:rsidR="00163735" w:rsidRPr="00163735" w:rsidRDefault="00163735" w:rsidP="00163735">
      <w:pPr>
        <w:spacing w:line="480" w:lineRule="auto"/>
        <w:jc w:val="both"/>
        <w:rPr>
          <w:sz w:val="24"/>
          <w:lang w:val="en-GB"/>
        </w:rPr>
      </w:pPr>
      <w:r w:rsidRPr="00163735">
        <w:rPr>
          <w:sz w:val="24"/>
          <w:lang w:val="en-GB"/>
        </w:rPr>
        <w:t xml:space="preserve">The </w:t>
      </w:r>
      <w:r>
        <w:rPr>
          <w:sz w:val="24"/>
          <w:lang w:val="en-GB"/>
        </w:rPr>
        <w:t>main objective of the biological</w:t>
      </w:r>
      <w:r w:rsidRPr="00163735">
        <w:rPr>
          <w:sz w:val="24"/>
          <w:lang w:val="en-GB"/>
        </w:rPr>
        <w:t xml:space="preserve"> </w:t>
      </w:r>
      <w:r>
        <w:rPr>
          <w:sz w:val="24"/>
          <w:lang w:val="en-GB"/>
        </w:rPr>
        <w:t>ETP</w:t>
      </w:r>
      <w:r w:rsidRPr="00163735">
        <w:rPr>
          <w:sz w:val="24"/>
          <w:lang w:val="en-GB"/>
        </w:rPr>
        <w:t xml:space="preserve"> facility is processing and improving the quality of the </w:t>
      </w:r>
      <w:r>
        <w:rPr>
          <w:sz w:val="24"/>
          <w:lang w:val="en-GB"/>
        </w:rPr>
        <w:t xml:space="preserve">lyocell </w:t>
      </w:r>
      <w:r w:rsidRPr="00163735">
        <w:rPr>
          <w:sz w:val="24"/>
          <w:lang w:val="en-GB"/>
        </w:rPr>
        <w:t>effluent</w:t>
      </w:r>
      <w:r>
        <w:rPr>
          <w:sz w:val="24"/>
          <w:lang w:val="en-GB"/>
        </w:rPr>
        <w:t xml:space="preserve"> </w:t>
      </w:r>
      <w:r w:rsidRPr="00163735">
        <w:rPr>
          <w:sz w:val="24"/>
          <w:lang w:val="en-GB"/>
        </w:rPr>
        <w:t xml:space="preserve">that Lenzing currently discharges directly to the Humber </w:t>
      </w:r>
      <w:r>
        <w:rPr>
          <w:sz w:val="24"/>
          <w:lang w:val="en-GB"/>
        </w:rPr>
        <w:t xml:space="preserve">River - </w:t>
      </w:r>
      <w:r w:rsidRPr="00163735">
        <w:rPr>
          <w:sz w:val="24"/>
          <w:lang w:val="en-GB"/>
        </w:rPr>
        <w:t xml:space="preserve">to the environment. Over and above the effluent we have systems that have been installed to aid with COD reduction. </w:t>
      </w:r>
    </w:p>
    <w:p w14:paraId="62AF9894" w14:textId="77777777" w:rsidR="00163735" w:rsidRDefault="00163735" w:rsidP="00163735">
      <w:pPr>
        <w:spacing w:line="480" w:lineRule="auto"/>
        <w:jc w:val="both"/>
        <w:rPr>
          <w:b/>
          <w:bCs/>
          <w:sz w:val="24"/>
          <w:lang w:val="en-GB"/>
        </w:rPr>
      </w:pPr>
    </w:p>
    <w:p w14:paraId="58441593" w14:textId="46FC9366" w:rsidR="00163735" w:rsidRDefault="00163735" w:rsidP="00163735">
      <w:pPr>
        <w:spacing w:line="480" w:lineRule="auto"/>
        <w:jc w:val="both"/>
        <w:rPr>
          <w:b/>
          <w:bCs/>
          <w:sz w:val="24"/>
          <w:lang w:val="en-GB"/>
        </w:rPr>
      </w:pPr>
      <w:r w:rsidRPr="00163735">
        <w:rPr>
          <w:b/>
          <w:bCs/>
          <w:sz w:val="24"/>
          <w:lang w:val="en-GB"/>
        </w:rPr>
        <w:t xml:space="preserve">Chemicals </w:t>
      </w:r>
      <w:r>
        <w:rPr>
          <w:b/>
          <w:bCs/>
          <w:sz w:val="24"/>
          <w:lang w:val="en-GB"/>
        </w:rPr>
        <w:t>Storage</w:t>
      </w:r>
    </w:p>
    <w:p w14:paraId="3DD9C3E0" w14:textId="0FC03D6C" w:rsidR="00163735" w:rsidRPr="00163735" w:rsidRDefault="00163735" w:rsidP="00163735">
      <w:pPr>
        <w:spacing w:line="480" w:lineRule="auto"/>
        <w:jc w:val="both"/>
        <w:rPr>
          <w:b/>
          <w:bCs/>
          <w:sz w:val="24"/>
          <w:lang w:val="en-GB"/>
        </w:rPr>
      </w:pPr>
      <w:r w:rsidRPr="00163735">
        <w:rPr>
          <w:sz w:val="24"/>
          <w:lang w:val="en-GB"/>
        </w:rPr>
        <w:t xml:space="preserve">The storage of all chemicals is in </w:t>
      </w:r>
      <w:r w:rsidR="009E088C">
        <w:rPr>
          <w:sz w:val="24"/>
          <w:lang w:val="en-GB"/>
        </w:rPr>
        <w:t>double skinned t</w:t>
      </w:r>
      <w:r w:rsidRPr="00163735">
        <w:rPr>
          <w:sz w:val="24"/>
          <w:lang w:val="en-GB"/>
        </w:rPr>
        <w:t xml:space="preserve">anks </w:t>
      </w:r>
      <w:r w:rsidR="009E088C">
        <w:rPr>
          <w:sz w:val="24"/>
          <w:lang w:val="en-GB"/>
        </w:rPr>
        <w:t>and</w:t>
      </w:r>
      <w:r w:rsidRPr="00163735">
        <w:rPr>
          <w:sz w:val="24"/>
          <w:lang w:val="en-GB"/>
        </w:rPr>
        <w:t xml:space="preserve"> bunds that cover 110% capacity of the chemical being used when full. This covers a failure of the primary vessel as to not allow escape into the drainage systems and back into the dyke. The bunds are level alarmed. </w:t>
      </w:r>
    </w:p>
    <w:p w14:paraId="663C4E47" w14:textId="77777777" w:rsidR="00163735" w:rsidRPr="00163735" w:rsidRDefault="00163735" w:rsidP="00163735">
      <w:pPr>
        <w:spacing w:line="480" w:lineRule="auto"/>
        <w:jc w:val="both"/>
        <w:rPr>
          <w:sz w:val="24"/>
          <w:lang w:val="en-GB"/>
        </w:rPr>
      </w:pPr>
      <w:r w:rsidRPr="00163735">
        <w:rPr>
          <w:sz w:val="24"/>
          <w:lang w:val="en-GB"/>
        </w:rPr>
        <w:t xml:space="preserve">All pipework systems linked to these are dual contained hose that feed back to the dosing cabinet which have level alarms for leak detection. </w:t>
      </w:r>
    </w:p>
    <w:p w14:paraId="3293D4D5" w14:textId="77777777" w:rsidR="00163735" w:rsidRPr="00163735" w:rsidRDefault="00163735" w:rsidP="00163735">
      <w:pPr>
        <w:spacing w:line="480" w:lineRule="auto"/>
        <w:jc w:val="both"/>
        <w:rPr>
          <w:sz w:val="24"/>
          <w:lang w:val="en-GB"/>
        </w:rPr>
      </w:pPr>
      <w:r w:rsidRPr="00163735">
        <w:rPr>
          <w:sz w:val="24"/>
          <w:lang w:val="en-GB"/>
        </w:rPr>
        <w:t xml:space="preserve">The delivery area has an interceptor tank in the event of chemical spill at delivery so we can stop the discharge, though this area goes back to process drainage system and not surface water. </w:t>
      </w:r>
    </w:p>
    <w:p w14:paraId="6C58BD74" w14:textId="7B7BD88A" w:rsidR="00163735" w:rsidRPr="00163735" w:rsidRDefault="00163735" w:rsidP="00163735">
      <w:pPr>
        <w:spacing w:line="480" w:lineRule="auto"/>
        <w:jc w:val="both"/>
        <w:rPr>
          <w:sz w:val="24"/>
          <w:lang w:val="en-GB"/>
        </w:rPr>
      </w:pPr>
      <w:r w:rsidRPr="00163735">
        <w:rPr>
          <w:sz w:val="24"/>
          <w:lang w:val="en-GB"/>
        </w:rPr>
        <w:t xml:space="preserve">The only chemical that is </w:t>
      </w:r>
      <w:r w:rsidR="003B7A5E">
        <w:rPr>
          <w:sz w:val="24"/>
          <w:lang w:val="en-GB"/>
        </w:rPr>
        <w:t>self-bunded is</w:t>
      </w:r>
      <w:r w:rsidRPr="00163735">
        <w:rPr>
          <w:sz w:val="24"/>
          <w:lang w:val="en-GB"/>
        </w:rPr>
        <w:t xml:space="preserve"> the polyelectrolyte </w:t>
      </w:r>
      <w:r w:rsidR="00DB0245">
        <w:rPr>
          <w:sz w:val="24"/>
          <w:lang w:val="en-GB"/>
        </w:rPr>
        <w:t xml:space="preserve">on </w:t>
      </w:r>
      <w:r w:rsidRPr="00163735">
        <w:rPr>
          <w:sz w:val="24"/>
          <w:lang w:val="en-GB"/>
        </w:rPr>
        <w:t>IBC</w:t>
      </w:r>
      <w:r w:rsidR="00DB0245">
        <w:rPr>
          <w:sz w:val="24"/>
          <w:lang w:val="en-GB"/>
        </w:rPr>
        <w:t>’s</w:t>
      </w:r>
      <w:r w:rsidRPr="00163735">
        <w:rPr>
          <w:sz w:val="24"/>
          <w:lang w:val="en-GB"/>
        </w:rPr>
        <w:t xml:space="preserve">. The storage and mixing systems prior to application are contained within bunds at 110% (This is more H&amp;S regards slips trips and falls on slippery fluid), as it’s an inert chemical. </w:t>
      </w:r>
    </w:p>
    <w:p w14:paraId="467C8922" w14:textId="77777777" w:rsidR="009E088C" w:rsidRDefault="009E088C" w:rsidP="00163735">
      <w:pPr>
        <w:spacing w:line="480" w:lineRule="auto"/>
        <w:jc w:val="both"/>
        <w:rPr>
          <w:b/>
          <w:bCs/>
          <w:sz w:val="24"/>
          <w:lang w:val="en-GB"/>
        </w:rPr>
      </w:pPr>
    </w:p>
    <w:p w14:paraId="53A66145" w14:textId="30EE7147" w:rsidR="009E088C" w:rsidRDefault="00163735" w:rsidP="00163735">
      <w:pPr>
        <w:spacing w:line="480" w:lineRule="auto"/>
        <w:jc w:val="both"/>
        <w:rPr>
          <w:b/>
          <w:bCs/>
          <w:sz w:val="24"/>
          <w:lang w:val="en-GB"/>
        </w:rPr>
      </w:pPr>
      <w:r w:rsidRPr="00163735">
        <w:rPr>
          <w:b/>
          <w:bCs/>
          <w:sz w:val="24"/>
          <w:lang w:val="en-GB"/>
        </w:rPr>
        <w:t xml:space="preserve">Transformer </w:t>
      </w:r>
    </w:p>
    <w:p w14:paraId="2368EF52" w14:textId="4A380BDF" w:rsidR="00163735" w:rsidRPr="00163735" w:rsidRDefault="00163735" w:rsidP="00163735">
      <w:pPr>
        <w:spacing w:line="480" w:lineRule="auto"/>
        <w:jc w:val="both"/>
        <w:rPr>
          <w:sz w:val="24"/>
          <w:lang w:val="en-GB"/>
        </w:rPr>
      </w:pPr>
      <w:r w:rsidRPr="00163735">
        <w:rPr>
          <w:sz w:val="24"/>
          <w:lang w:val="en-GB"/>
        </w:rPr>
        <w:t>This is MIDAL filled, not mineral oil and is also within a self-bunded area</w:t>
      </w:r>
      <w:r w:rsidR="009E088C">
        <w:rPr>
          <w:sz w:val="24"/>
          <w:lang w:val="en-GB"/>
        </w:rPr>
        <w:t xml:space="preserve"> of about 110% to contain any spill.</w:t>
      </w:r>
      <w:r w:rsidRPr="00163735">
        <w:rPr>
          <w:sz w:val="24"/>
          <w:lang w:val="en-GB"/>
        </w:rPr>
        <w:t xml:space="preserve"> </w:t>
      </w:r>
    </w:p>
    <w:p w14:paraId="6A24995C" w14:textId="77777777" w:rsidR="009E088C" w:rsidRDefault="009E088C" w:rsidP="00163735">
      <w:pPr>
        <w:spacing w:line="480" w:lineRule="auto"/>
        <w:jc w:val="both"/>
        <w:rPr>
          <w:b/>
          <w:bCs/>
          <w:sz w:val="24"/>
          <w:lang w:val="en-GB"/>
        </w:rPr>
      </w:pPr>
    </w:p>
    <w:p w14:paraId="42B5D24F" w14:textId="545208B3" w:rsidR="009E088C" w:rsidRDefault="00163735" w:rsidP="00163735">
      <w:pPr>
        <w:spacing w:line="480" w:lineRule="auto"/>
        <w:jc w:val="both"/>
        <w:rPr>
          <w:b/>
          <w:bCs/>
          <w:sz w:val="24"/>
          <w:lang w:val="en-GB"/>
        </w:rPr>
      </w:pPr>
      <w:r w:rsidRPr="00163735">
        <w:rPr>
          <w:b/>
          <w:bCs/>
          <w:sz w:val="24"/>
          <w:lang w:val="en-GB"/>
        </w:rPr>
        <w:t>Non-Chemical Tanks</w:t>
      </w:r>
    </w:p>
    <w:p w14:paraId="0BB1F116" w14:textId="0B7FD909" w:rsidR="00163735" w:rsidRPr="00163735" w:rsidRDefault="00163735" w:rsidP="00163735">
      <w:pPr>
        <w:spacing w:line="480" w:lineRule="auto"/>
        <w:jc w:val="both"/>
        <w:rPr>
          <w:b/>
          <w:bCs/>
          <w:sz w:val="24"/>
          <w:lang w:val="en-GB"/>
        </w:rPr>
      </w:pPr>
      <w:r w:rsidRPr="00163735">
        <w:rPr>
          <w:sz w:val="24"/>
          <w:lang w:val="en-GB"/>
        </w:rPr>
        <w:t xml:space="preserve">The overflows on all external tanks are linked back to the process drainage system, which is fed back into the process plant at the front end for reprocessing. </w:t>
      </w:r>
    </w:p>
    <w:p w14:paraId="183C1724" w14:textId="447A99BB" w:rsidR="002A383C" w:rsidRPr="00163735" w:rsidRDefault="00163735" w:rsidP="00163735">
      <w:pPr>
        <w:spacing w:line="480" w:lineRule="auto"/>
        <w:jc w:val="both"/>
        <w:rPr>
          <w:sz w:val="24"/>
          <w:lang w:val="en-GB"/>
        </w:rPr>
      </w:pPr>
      <w:r w:rsidRPr="00163735">
        <w:rPr>
          <w:sz w:val="24"/>
          <w:lang w:val="en-GB"/>
        </w:rPr>
        <w:t>The drains are capped, local to the overflow locations and it would be expected that any drainage would be via hose to process drain or tanker removal.</w:t>
      </w:r>
    </w:p>
    <w:sectPr w:rsidR="002A383C" w:rsidRPr="00163735" w:rsidSect="00163735">
      <w:headerReference w:type="default" r:id="rId6"/>
      <w:footerReference w:type="default" r:id="rId7"/>
      <w:pgSz w:w="11906" w:h="16838" w:code="9"/>
      <w:pgMar w:top="3175" w:right="1038" w:bottom="765" w:left="1038" w:header="680"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39F45" w14:textId="77777777" w:rsidR="00163735" w:rsidRDefault="00163735" w:rsidP="00163735">
      <w:pPr>
        <w:spacing w:line="240" w:lineRule="auto"/>
      </w:pPr>
      <w:r>
        <w:separator/>
      </w:r>
    </w:p>
  </w:endnote>
  <w:endnote w:type="continuationSeparator" w:id="0">
    <w:p w14:paraId="361CCC38" w14:textId="77777777" w:rsidR="00163735" w:rsidRDefault="00163735" w:rsidP="001637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D2AA1" w14:textId="77A08CE9" w:rsidR="00E970D9" w:rsidRPr="00163735" w:rsidRDefault="00163735" w:rsidP="00AE2452">
    <w:pPr>
      <w:pStyle w:val="Footer"/>
    </w:pPr>
    <w:r>
      <w:t>Secondary Containment</w:t>
    </w:r>
    <w:r w:rsidR="00E970D9" w:rsidRPr="0009687B">
      <w:tab/>
    </w:r>
    <w:r w:rsidR="00E970D9" w:rsidRPr="0009687B">
      <w:rPr>
        <w:snapToGrid w:val="0"/>
      </w:rPr>
      <w:t xml:space="preserve">Page </w:t>
    </w:r>
    <w:r w:rsidR="00E970D9" w:rsidRPr="0009687B">
      <w:rPr>
        <w:snapToGrid w:val="0"/>
      </w:rPr>
      <w:fldChar w:fldCharType="begin"/>
    </w:r>
    <w:r w:rsidR="00E970D9" w:rsidRPr="0009687B">
      <w:rPr>
        <w:snapToGrid w:val="0"/>
      </w:rPr>
      <w:instrText xml:space="preserve"> PAGE </w:instrText>
    </w:r>
    <w:r w:rsidR="00E970D9" w:rsidRPr="0009687B">
      <w:rPr>
        <w:snapToGrid w:val="0"/>
      </w:rPr>
      <w:fldChar w:fldCharType="separate"/>
    </w:r>
    <w:r w:rsidR="00E970D9">
      <w:rPr>
        <w:snapToGrid w:val="0"/>
      </w:rPr>
      <w:t>1</w:t>
    </w:r>
    <w:r w:rsidR="00E970D9" w:rsidRPr="0009687B">
      <w:rPr>
        <w:snapToGrid w:val="0"/>
      </w:rPr>
      <w:fldChar w:fldCharType="end"/>
    </w:r>
    <w:r w:rsidR="00E970D9" w:rsidRPr="0009687B">
      <w:rPr>
        <w:snapToGrid w:val="0"/>
      </w:rPr>
      <w:t xml:space="preserve"> of </w:t>
    </w:r>
    <w:r w:rsidR="00E970D9" w:rsidRPr="0009687B">
      <w:rPr>
        <w:snapToGrid w:val="0"/>
      </w:rPr>
      <w:fldChar w:fldCharType="begin"/>
    </w:r>
    <w:r w:rsidR="00E970D9" w:rsidRPr="0009687B">
      <w:rPr>
        <w:snapToGrid w:val="0"/>
      </w:rPr>
      <w:instrText xml:space="preserve"> NUMPAGES </w:instrText>
    </w:r>
    <w:r w:rsidR="00E970D9" w:rsidRPr="0009687B">
      <w:rPr>
        <w:snapToGrid w:val="0"/>
      </w:rPr>
      <w:fldChar w:fldCharType="separate"/>
    </w:r>
    <w:r w:rsidR="00E970D9">
      <w:rPr>
        <w:snapToGrid w:val="0"/>
      </w:rPr>
      <w:t>5</w:t>
    </w:r>
    <w:r w:rsidR="00E970D9" w:rsidRPr="0009687B">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45641" w14:textId="77777777" w:rsidR="00163735" w:rsidRDefault="00163735" w:rsidP="00163735">
      <w:pPr>
        <w:spacing w:line="240" w:lineRule="auto"/>
      </w:pPr>
      <w:r>
        <w:separator/>
      </w:r>
    </w:p>
  </w:footnote>
  <w:footnote w:type="continuationSeparator" w:id="0">
    <w:p w14:paraId="0870CD19" w14:textId="77777777" w:rsidR="00163735" w:rsidRDefault="00163735" w:rsidP="001637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69CA4" w14:textId="77777777" w:rsidR="00E970D9" w:rsidRPr="00CA1941" w:rsidRDefault="00E970D9" w:rsidP="00AE2452">
    <w:r>
      <w:rPr>
        <w:noProof/>
        <w:lang w:val="en-US" w:eastAsia="en-US"/>
      </w:rPr>
      <w:drawing>
        <wp:anchor distT="0" distB="0" distL="114300" distR="114300" simplePos="0" relativeHeight="251659264" behindDoc="1" locked="0" layoutInCell="1" allowOverlap="1" wp14:anchorId="5C723A65" wp14:editId="25371414">
          <wp:simplePos x="0" y="0"/>
          <wp:positionH relativeFrom="page">
            <wp:posOffset>659130</wp:posOffset>
          </wp:positionH>
          <wp:positionV relativeFrom="page">
            <wp:posOffset>659130</wp:posOffset>
          </wp:positionV>
          <wp:extent cx="1386000" cy="615600"/>
          <wp:effectExtent l="0" t="0" r="5080" b="0"/>
          <wp:wrapNone/>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AG_Logo_Lead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86000" cy="61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35"/>
    <w:rsid w:val="00081A20"/>
    <w:rsid w:val="001063D6"/>
    <w:rsid w:val="00110F56"/>
    <w:rsid w:val="001156A3"/>
    <w:rsid w:val="0012270D"/>
    <w:rsid w:val="001573DE"/>
    <w:rsid w:val="00163735"/>
    <w:rsid w:val="00176ABA"/>
    <w:rsid w:val="0018182D"/>
    <w:rsid w:val="00193EB2"/>
    <w:rsid w:val="001A50B0"/>
    <w:rsid w:val="001A5423"/>
    <w:rsid w:val="001C6DEA"/>
    <w:rsid w:val="001F13EE"/>
    <w:rsid w:val="00223CCC"/>
    <w:rsid w:val="002A2FAB"/>
    <w:rsid w:val="002A383C"/>
    <w:rsid w:val="002B5404"/>
    <w:rsid w:val="002D033B"/>
    <w:rsid w:val="002E4328"/>
    <w:rsid w:val="002E5878"/>
    <w:rsid w:val="002F0D4C"/>
    <w:rsid w:val="00311713"/>
    <w:rsid w:val="003527FB"/>
    <w:rsid w:val="00367081"/>
    <w:rsid w:val="00367F47"/>
    <w:rsid w:val="00367FB2"/>
    <w:rsid w:val="003A7342"/>
    <w:rsid w:val="003B0CFF"/>
    <w:rsid w:val="003B4977"/>
    <w:rsid w:val="003B7A5E"/>
    <w:rsid w:val="003D677D"/>
    <w:rsid w:val="004127B9"/>
    <w:rsid w:val="00412F88"/>
    <w:rsid w:val="00440C73"/>
    <w:rsid w:val="004947EC"/>
    <w:rsid w:val="004D6D47"/>
    <w:rsid w:val="004E06B7"/>
    <w:rsid w:val="00502523"/>
    <w:rsid w:val="0051073F"/>
    <w:rsid w:val="00513375"/>
    <w:rsid w:val="00532D1C"/>
    <w:rsid w:val="005413F0"/>
    <w:rsid w:val="00562C43"/>
    <w:rsid w:val="00572542"/>
    <w:rsid w:val="005C2CB7"/>
    <w:rsid w:val="005E3309"/>
    <w:rsid w:val="00632D85"/>
    <w:rsid w:val="00677994"/>
    <w:rsid w:val="00691D46"/>
    <w:rsid w:val="00692C46"/>
    <w:rsid w:val="00694720"/>
    <w:rsid w:val="006B07D5"/>
    <w:rsid w:val="006B6D61"/>
    <w:rsid w:val="006C1FC3"/>
    <w:rsid w:val="00706EDE"/>
    <w:rsid w:val="00715C58"/>
    <w:rsid w:val="00724E1F"/>
    <w:rsid w:val="007330B2"/>
    <w:rsid w:val="00744BDC"/>
    <w:rsid w:val="007454D0"/>
    <w:rsid w:val="00761855"/>
    <w:rsid w:val="0079142C"/>
    <w:rsid w:val="0087652C"/>
    <w:rsid w:val="00884F75"/>
    <w:rsid w:val="008900A4"/>
    <w:rsid w:val="00903AD6"/>
    <w:rsid w:val="00903C3A"/>
    <w:rsid w:val="00904B7F"/>
    <w:rsid w:val="009901D1"/>
    <w:rsid w:val="009A62E4"/>
    <w:rsid w:val="009A7280"/>
    <w:rsid w:val="009E088C"/>
    <w:rsid w:val="009E1DB4"/>
    <w:rsid w:val="00A33B8A"/>
    <w:rsid w:val="00A33FBB"/>
    <w:rsid w:val="00A445BC"/>
    <w:rsid w:val="00A51486"/>
    <w:rsid w:val="00A76D5F"/>
    <w:rsid w:val="00A77C44"/>
    <w:rsid w:val="00A87AC1"/>
    <w:rsid w:val="00B21735"/>
    <w:rsid w:val="00B30D8A"/>
    <w:rsid w:val="00B318DD"/>
    <w:rsid w:val="00B45C19"/>
    <w:rsid w:val="00B629E0"/>
    <w:rsid w:val="00B80B91"/>
    <w:rsid w:val="00B80F58"/>
    <w:rsid w:val="00B871A7"/>
    <w:rsid w:val="00B935B7"/>
    <w:rsid w:val="00B962FD"/>
    <w:rsid w:val="00BA01C0"/>
    <w:rsid w:val="00BB676A"/>
    <w:rsid w:val="00BC2EFC"/>
    <w:rsid w:val="00BD6B1A"/>
    <w:rsid w:val="00CB3B75"/>
    <w:rsid w:val="00CC78EA"/>
    <w:rsid w:val="00CF75E2"/>
    <w:rsid w:val="00DB0245"/>
    <w:rsid w:val="00DB6116"/>
    <w:rsid w:val="00DC125A"/>
    <w:rsid w:val="00DC495F"/>
    <w:rsid w:val="00DE5361"/>
    <w:rsid w:val="00E040CF"/>
    <w:rsid w:val="00E12B48"/>
    <w:rsid w:val="00E50FA2"/>
    <w:rsid w:val="00E62D0C"/>
    <w:rsid w:val="00E739EC"/>
    <w:rsid w:val="00E74B4C"/>
    <w:rsid w:val="00E970D9"/>
    <w:rsid w:val="00EA4B26"/>
    <w:rsid w:val="00F0118A"/>
    <w:rsid w:val="00F62616"/>
    <w:rsid w:val="00F7132E"/>
    <w:rsid w:val="00FA47B8"/>
    <w:rsid w:val="00FD09C5"/>
    <w:rsid w:val="00FD31CB"/>
    <w:rsid w:val="00FE1DCD"/>
    <w:rsid w:val="00FE2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43BC"/>
  <w15:chartTrackingRefBased/>
  <w15:docId w15:val="{BB6E8474-0BE1-4D44-BCA7-67936031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35"/>
    <w:pPr>
      <w:spacing w:after="0" w:line="300" w:lineRule="auto"/>
    </w:pPr>
    <w:rPr>
      <w:rFonts w:ascii="Arial" w:eastAsia="Times New Roman" w:hAnsi="Arial" w:cs="Times New Roman"/>
      <w:kern w:val="0"/>
      <w:sz w:val="20"/>
      <w:lang w:val="de-DE" w:eastAsia="de-DE"/>
      <w14:ligatures w14:val="none"/>
    </w:rPr>
  </w:style>
  <w:style w:type="paragraph" w:styleId="Heading1">
    <w:name w:val="heading 1"/>
    <w:basedOn w:val="Normal"/>
    <w:next w:val="Normal"/>
    <w:link w:val="Heading1Char"/>
    <w:uiPriority w:val="9"/>
    <w:qFormat/>
    <w:rsid w:val="00163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7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7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7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7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735"/>
    <w:rPr>
      <w:rFonts w:eastAsiaTheme="majorEastAsia" w:cstheme="majorBidi"/>
      <w:color w:val="272727" w:themeColor="text1" w:themeTint="D8"/>
    </w:rPr>
  </w:style>
  <w:style w:type="paragraph" w:styleId="Title">
    <w:name w:val="Title"/>
    <w:basedOn w:val="Normal"/>
    <w:next w:val="Normal"/>
    <w:link w:val="TitleChar"/>
    <w:uiPriority w:val="10"/>
    <w:qFormat/>
    <w:rsid w:val="00163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7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735"/>
    <w:pPr>
      <w:spacing w:before="160"/>
      <w:jc w:val="center"/>
    </w:pPr>
    <w:rPr>
      <w:i/>
      <w:iCs/>
      <w:color w:val="404040" w:themeColor="text1" w:themeTint="BF"/>
    </w:rPr>
  </w:style>
  <w:style w:type="character" w:customStyle="1" w:styleId="QuoteChar">
    <w:name w:val="Quote Char"/>
    <w:basedOn w:val="DefaultParagraphFont"/>
    <w:link w:val="Quote"/>
    <w:uiPriority w:val="29"/>
    <w:rsid w:val="00163735"/>
    <w:rPr>
      <w:i/>
      <w:iCs/>
      <w:color w:val="404040" w:themeColor="text1" w:themeTint="BF"/>
    </w:rPr>
  </w:style>
  <w:style w:type="paragraph" w:styleId="ListParagraph">
    <w:name w:val="List Paragraph"/>
    <w:basedOn w:val="Normal"/>
    <w:uiPriority w:val="34"/>
    <w:qFormat/>
    <w:rsid w:val="00163735"/>
    <w:pPr>
      <w:ind w:left="720"/>
      <w:contextualSpacing/>
    </w:pPr>
  </w:style>
  <w:style w:type="character" w:styleId="IntenseEmphasis">
    <w:name w:val="Intense Emphasis"/>
    <w:basedOn w:val="DefaultParagraphFont"/>
    <w:uiPriority w:val="21"/>
    <w:qFormat/>
    <w:rsid w:val="00163735"/>
    <w:rPr>
      <w:i/>
      <w:iCs/>
      <w:color w:val="0F4761" w:themeColor="accent1" w:themeShade="BF"/>
    </w:rPr>
  </w:style>
  <w:style w:type="paragraph" w:styleId="IntenseQuote">
    <w:name w:val="Intense Quote"/>
    <w:basedOn w:val="Normal"/>
    <w:next w:val="Normal"/>
    <w:link w:val="IntenseQuoteChar"/>
    <w:uiPriority w:val="30"/>
    <w:qFormat/>
    <w:rsid w:val="00163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735"/>
    <w:rPr>
      <w:i/>
      <w:iCs/>
      <w:color w:val="0F4761" w:themeColor="accent1" w:themeShade="BF"/>
    </w:rPr>
  </w:style>
  <w:style w:type="character" w:styleId="IntenseReference">
    <w:name w:val="Intense Reference"/>
    <w:basedOn w:val="DefaultParagraphFont"/>
    <w:uiPriority w:val="32"/>
    <w:qFormat/>
    <w:rsid w:val="00163735"/>
    <w:rPr>
      <w:b/>
      <w:bCs/>
      <w:smallCaps/>
      <w:color w:val="0F4761" w:themeColor="accent1" w:themeShade="BF"/>
      <w:spacing w:val="5"/>
    </w:rPr>
  </w:style>
  <w:style w:type="paragraph" w:styleId="Footer">
    <w:name w:val="footer"/>
    <w:basedOn w:val="Normal"/>
    <w:link w:val="FooterChar"/>
    <w:rsid w:val="00163735"/>
    <w:pPr>
      <w:tabs>
        <w:tab w:val="right" w:pos="9790"/>
      </w:tabs>
    </w:pPr>
    <w:rPr>
      <w:rFonts w:cs="Arial"/>
      <w:noProof/>
      <w:sz w:val="16"/>
      <w:szCs w:val="16"/>
      <w:lang w:val="en-US"/>
    </w:rPr>
  </w:style>
  <w:style w:type="character" w:customStyle="1" w:styleId="FooterChar">
    <w:name w:val="Footer Char"/>
    <w:basedOn w:val="DefaultParagraphFont"/>
    <w:link w:val="Footer"/>
    <w:rsid w:val="00163735"/>
    <w:rPr>
      <w:rFonts w:ascii="Arial" w:eastAsia="Times New Roman" w:hAnsi="Arial" w:cs="Arial"/>
      <w:noProof/>
      <w:kern w:val="0"/>
      <w:sz w:val="16"/>
      <w:szCs w:val="16"/>
      <w:lang w:eastAsia="de-DE"/>
      <w14:ligatures w14:val="none"/>
    </w:rPr>
  </w:style>
  <w:style w:type="table" w:styleId="TableGrid">
    <w:name w:val="Table Grid"/>
    <w:basedOn w:val="TableNormal"/>
    <w:uiPriority w:val="39"/>
    <w:rsid w:val="00163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3735"/>
    <w:pPr>
      <w:tabs>
        <w:tab w:val="center" w:pos="4680"/>
        <w:tab w:val="right" w:pos="9360"/>
      </w:tabs>
      <w:spacing w:line="240" w:lineRule="auto"/>
    </w:pPr>
  </w:style>
  <w:style w:type="character" w:customStyle="1" w:styleId="HeaderChar">
    <w:name w:val="Header Char"/>
    <w:basedOn w:val="DefaultParagraphFont"/>
    <w:link w:val="Header"/>
    <w:uiPriority w:val="99"/>
    <w:rsid w:val="00163735"/>
    <w:rPr>
      <w:rFonts w:ascii="Arial" w:eastAsia="Times New Roman" w:hAnsi="Arial" w:cs="Times New Roman"/>
      <w:kern w:val="0"/>
      <w:sz w:val="2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A4CEBB1D6A641A4E837F1E441D55020D" ma:contentTypeVersion="47" ma:contentTypeDescription="Create a new document." ma:contentTypeScope="" ma:versionID="f1a5c2e548d0f7971020dd635ad37d6d">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3c3dd66-95f8-469c-aefa-160cfe61df31" targetNamespace="http://schemas.microsoft.com/office/2006/metadata/properties" ma:root="true" ma:fieldsID="c145bbd2fb3bfc8d682b04b5fc73b047" ns2:_="" ns3:_="" ns4:_="" ns5:_="" ns6:_="">
    <xsd:import namespace="8595a0ec-c146-4eeb-925a-270f4bc4be63"/>
    <xsd:import namespace="662745e8-e224-48e8-a2e3-254862b8c2f5"/>
    <xsd:import namespace="eebef177-55b5-4448-a5fb-28ea454417ee"/>
    <xsd:import namespace="5ffd8e36-f429-4edc-ab50-c5be84842779"/>
    <xsd:import namespace="13c3dd66-95f8-469c-aefa-160cfe61df3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3dd66-95f8-469c-aefa-160cfe61df3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2024-10-14T23:00:00+00:00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epr-sp3936he</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SP3936HE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Lenzing Fibres Grimsby Ltd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2024-10-14T23:00:00+00:00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EPR/SP3936HE/V003</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DN31 2ZT</FacilityAddressPostcode>
    <TaxCatchAll xmlns="662745e8-e224-48e8-a2e3-254862b8c2f5">
      <Value>181</Value>
      <Value>12</Value>
      <Value>10</Value>
      <Value>9</Value>
      <Value>38</Value>
    </TaxCatchAll>
    <ExternalAuthor xmlns="eebef177-55b5-4448-a5fb-28ea454417ee">Applicant</ExternalAuthor>
    <SiteName xmlns="eebef177-55b5-4448-a5fb-28ea454417ee">Grimsby Lyocell fibres factory EA_EPR_SP3936HE_T001</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lcf76f155ced4ddcb4097134ff3c332f xmlns="13c3dd66-95f8-469c-aefa-160cfe61df31">
      <Terms xmlns="http://schemas.microsoft.com/office/infopath/2007/PartnerControls"/>
    </lcf76f155ced4ddcb4097134ff3c332f>
    <ga477587807b4e8dbd9d142e03c014fa xmlns="8595a0ec-c146-4eeb-925a-270f4bc4be63">
      <Terms xmlns="http://schemas.microsoft.com/office/infopath/2007/PartnerControls"/>
    </ga477587807b4e8dbd9d142e03c014fa>
    <FacilityAddress xmlns="eebef177-55b5-4448-a5fb-28ea454417ee">PO Box 462 1 Moody Lane Great Coates DN31 2ZT</FacilityAddress>
  </documentManagement>
</p:properties>
</file>

<file path=customXml/itemProps1.xml><?xml version="1.0" encoding="utf-8"?>
<ds:datastoreItem xmlns:ds="http://schemas.openxmlformats.org/officeDocument/2006/customXml" ds:itemID="{CFE7E5EE-B698-43F9-9CB7-1F0378B81A64}"/>
</file>

<file path=customXml/itemProps2.xml><?xml version="1.0" encoding="utf-8"?>
<ds:datastoreItem xmlns:ds="http://schemas.openxmlformats.org/officeDocument/2006/customXml" ds:itemID="{ADB68D38-E0DE-434F-93F4-A532D8044910}"/>
</file>

<file path=customXml/itemProps3.xml><?xml version="1.0" encoding="utf-8"?>
<ds:datastoreItem xmlns:ds="http://schemas.openxmlformats.org/officeDocument/2006/customXml" ds:itemID="{EDF65696-AB78-41DB-9440-8AB692E5692D}"/>
</file>

<file path=docProps/app.xml><?xml version="1.0" encoding="utf-8"?>
<Properties xmlns="http://schemas.openxmlformats.org/officeDocument/2006/extended-properties" xmlns:vt="http://schemas.openxmlformats.org/officeDocument/2006/docPropsVTypes">
  <Template>Normal.dotm</Template>
  <TotalTime>22</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Lenzing AG</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Akande Elias</dc:creator>
  <cp:keywords/>
  <dc:description/>
  <cp:lastModifiedBy>Akande Elias</cp:lastModifiedBy>
  <cp:revision>4</cp:revision>
  <dcterms:created xsi:type="dcterms:W3CDTF">2024-10-09T09:48:00Z</dcterms:created>
  <dcterms:modified xsi:type="dcterms:W3CDTF">2024-10-09T10:12:00Z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0x0101000E9AD557692E154F9D2697C8C6432F7600A4CEBB1D6A641A4E837F1E441D55020D</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181;#Public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Class">
    <vt:lpwstr/>
  </property>
</Properties>
</file>