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officedocument/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Cs/>
          <w:sz w:val="20"/>
          <w:szCs w:val="20"/>
        </w:rPr>
      </w:pPr>
      <w:r>
        <w:rPr>
          <w:rFonts w:ascii="Arial" w:hAnsi="Arial"/>
          <w:b/>
          <w:bCs/>
          <w:sz w:val="20"/>
          <w:szCs w:val="20"/>
        </w:rPr>
        <w:t>Non- Technical Summary</w:t>
      </w:r>
    </w:p>
    <w:p>
      <w:pPr>
        <w:pStyle w:val="Normal"/>
        <w:bidi w:val="0"/>
        <w:jc w:val="start"/>
        <w:rPr>
          <w:rFonts w:ascii="Arial" w:hAnsi="Arial"/>
          <w:b/>
          <w:bCs/>
          <w:sz w:val="20"/>
          <w:szCs w:val="20"/>
        </w:rPr>
      </w:pPr>
      <w:r>
        <w:rPr>
          <w:rFonts w:ascii="Arial" w:hAnsi="Arial"/>
          <w:b/>
          <w:bCs/>
          <w:sz w:val="20"/>
          <w:szCs w:val="20"/>
        </w:rPr>
      </w:r>
    </w:p>
    <w:p>
      <w:pPr>
        <w:pStyle w:val="Normal"/>
        <w:bidi w:val="0"/>
        <w:jc w:val="start"/>
        <w:rPr>
          <w:b/>
          <w:bCs/>
        </w:rPr>
      </w:pPr>
      <w:r>
        <w:rPr>
          <w:rFonts w:ascii="Arial" w:hAnsi="Arial"/>
          <w:b/>
          <w:bCs/>
          <w:i w:val="false"/>
          <w:strike w:val="false"/>
          <w:dstrike w:val="false"/>
          <w:outline w:val="false"/>
          <w:shadow w:val="false"/>
          <w:color w:val="000000"/>
          <w:sz w:val="20"/>
          <w:u w:val="none"/>
          <w:em w:val="none"/>
        </w:rPr>
        <w:t>EPR/SP3821SZ/A00</w:t>
      </w:r>
    </w:p>
    <w:p>
      <w:pPr>
        <w:pStyle w:val="Normal"/>
        <w:bidi w:val="0"/>
        <w:jc w:val="start"/>
        <w:rPr>
          <w:rFonts w:ascii="Arial" w:hAnsi="Arial"/>
          <w:b/>
          <w:bCs/>
          <w:sz w:val="20"/>
          <w:szCs w:val="20"/>
        </w:rPr>
      </w:pPr>
      <w:r>
        <w:rPr>
          <w:rFonts w:ascii="Arial" w:hAnsi="Arial"/>
          <w:b/>
          <w:bCs/>
          <w:sz w:val="20"/>
          <w:szCs w:val="20"/>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bCs/>
          <w:i w:val="false"/>
          <w:strike w:val="false"/>
          <w:dstrike w:val="false"/>
          <w:outline w:val="false"/>
          <w:shadow w:val="false"/>
          <w:color w:val="000000"/>
          <w:sz w:val="20"/>
          <w:u w:val="none"/>
          <w:em w:val="none"/>
        </w:rPr>
        <w:t>G. R Herbert and Sons</w:t>
      </w:r>
      <w:r>
        <w:rPr>
          <w:rFonts w:ascii="Arial" w:hAnsi="Arial"/>
          <w:b/>
          <w:bCs/>
          <w:i w:val="false"/>
          <w:strike w:val="false"/>
          <w:dstrike w:val="false"/>
          <w:outline w:val="false"/>
          <w:shadow w:val="false"/>
          <w:color w:val="000000"/>
          <w:sz w:val="20"/>
          <w:u w:val="none"/>
          <w:em w:val="none"/>
        </w:rPr>
        <w:t>, West Shaws Piggery</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 xml:space="preserve">West Shaws Piggery is owned and operated by G.R. Herbert and Sons.  West Shaws currently has places for </w:t>
      </w:r>
      <w:r>
        <w:rPr>
          <w:rFonts w:ascii="Arial" w:hAnsi="Arial"/>
          <w:b w:val="false"/>
          <w:i w:val="false"/>
          <w:strike w:val="false"/>
          <w:dstrike w:val="false"/>
          <w:outline w:val="false"/>
          <w:shadow w:val="false"/>
          <w:color w:val="000000"/>
          <w:sz w:val="20"/>
          <w:u w:val="none"/>
          <w:em w:val="none"/>
        </w:rPr>
        <w:t>1800 finishier pigs 30-110kg.  The proposal is the increase the number of finisher pigs in the 30-110kg category through provision of a new building to house 1500 pigs. This taking the total capacity of the site to 3300 30-110kg pigs.</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color w:val="000000"/>
          <w:sz w:val="20"/>
          <w:u w:val="none"/>
          <w:em w:val="none"/>
        </w:rPr>
        <w:t>The site operates an all-in-all-out batch system with 4 batches per year. There are 12 weeks downtime per annum (23%).</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color w:val="000000"/>
          <w:sz w:val="20"/>
          <w:u w:val="none"/>
          <w:em w:val="none"/>
        </w:rPr>
        <w:t>The proposed new building (1500 places) will have high speed roof fan ventilation and the existing building (1800 places) currently has roof inlets and side fans variable speed to maintain environmental conditions.  The roof fans on the proposed building run at a velocity of 11m/s and the emission point is 6 m above ground level. Ventilation is computer controlled</w:t>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color w:val="000000"/>
          <w:sz w:val="20"/>
          <w:u w:val="none"/>
          <w:em w:val="none"/>
        </w:rPr>
        <w:t xml:space="preserve">Water for the sheds is provided by mains, Power is also mains and there is no back-up generator on site – should one be needed portable provision will be sought. There is no fuel or oil storage on the site. </w:t>
      </w:r>
      <w:r>
        <w:rPr>
          <w:rFonts w:ascii="Arial" w:hAnsi="Arial"/>
          <w:b w:val="false"/>
          <w:i w:val="false"/>
          <w:strike w:val="false"/>
          <w:dstrike w:val="false"/>
          <w:outline w:val="false"/>
          <w:shadow w:val="false"/>
          <w:color w:val="000000"/>
          <w:sz w:val="20"/>
          <w:u w:val="none"/>
          <w:em w:val="none"/>
        </w:rPr>
        <w:t>Water is provided to livestock by nipple drinkers to minimise wastage and spillage.</w:t>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color w:val="000000"/>
          <w:sz w:val="20"/>
          <w:u w:val="none"/>
          <w:em w:val="none"/>
        </w:rPr>
        <w:t>Feed rations are dry and delivered in, with diets formulated to match the growth stage of the pigs and fed ad lib.</w:t>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color w:val="000000"/>
          <w:sz w:val="20"/>
          <w:u w:val="none"/>
          <w:em w:val="none"/>
        </w:rPr>
        <w:t>No agrochemicals, rodenticides, pesticides or veterinary medicines are stored on the installation.</w:t>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color w:val="000000"/>
          <w:sz w:val="20"/>
          <w:u w:val="none"/>
          <w:em w:val="none"/>
        </w:rPr>
        <w:t xml:space="preserve">Carcasses are stored in dedicated lockable bins before removal by a licenced deadstock collector </w:t>
      </w:r>
      <w:r>
        <w:rPr>
          <w:rFonts w:ascii="Arial" w:hAnsi="Arial"/>
          <w:b w:val="false"/>
          <w:i w:val="false"/>
          <w:strike w:val="false"/>
          <w:dstrike w:val="false"/>
          <w:outline w:val="false"/>
          <w:shadow w:val="false"/>
          <w:color w:val="000000"/>
          <w:sz w:val="20"/>
          <w:u w:val="none"/>
          <w:em w:val="none"/>
        </w:rPr>
        <w:t>as required.</w:t>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b w:val="false"/>
          <w:i w:val="false"/>
          <w:strike w:val="false"/>
          <w:dstrike w:val="false"/>
          <w:outline w:val="false"/>
          <w:shadow w:val="false"/>
          <w:color w:val="000000"/>
          <w:sz w:val="20"/>
          <w:u w:val="none"/>
          <w:em w:val="none"/>
        </w:rPr>
        <w:t xml:space="preserve">No farmyard manure is produced on site. </w:t>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t xml:space="preserve">Slurry is stored on site beneath slatted floors and within underground reception tanks linked to each building. Slurry is spread on operator-controlled land. Slurry is removed by sealed system from the reception tanks to tanker.  Slurry is applied to land owned and managed by the operator, using methods which reduce creation of bioaerosols. A Management Plan is in place and is in line with best practice and regulations. </w:t>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t>There is a proposed slurry lagoon, positioned to North of the pig unit (located at grid reference NZ 08347 17207). This is approximately 1400 metres from the pig buildings and with a public road crossing the distance between the sites. There is no pipe linking the lagoon to the pig unit. This will enable the under slat pits to be managed according to BAT requirements as shallow pit, with removal of slurry at least every 10 weeks and slurry depth not exceeding 800mm.</w:t>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t>The site surfacing is a mixture of stone and concrete. Drainage emissions from the installation are to an adjacent open ditch to the north of the installation. Drainage emissions include uncontaminated water from roof areas (via gutters and downpipes) and yard areas when clean (via drain inlets and pipework).</w:t>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t xml:space="preserve">Production of wash water is minimised through best practice in cleaning and disinfecting procedures (e.g. pre-soaking, foam detergent, hot water). There is reduced wastage of water by use of nipples over a trough as opposed to river drinkers and through optimising crude protein levels in feed. </w:t>
      </w:r>
    </w:p>
    <w:p>
      <w:pPr>
        <w:pStyle w:val="Normal"/>
        <w:bidi w:val="0"/>
        <w:rPr>
          <w:rFonts w:ascii="Arial" w:hAnsi="Arial"/>
          <w:b w:val="false"/>
          <w:i w:val="false"/>
          <w:i w:val="false"/>
          <w:strike w:val="false"/>
          <w:dstrike w:val="false"/>
          <w:outline w:val="false"/>
          <w:shadow w:val="false"/>
          <w:sz w:val="20"/>
          <w:u w:val="none"/>
          <w:em w:val="none"/>
        </w:rPr>
      </w:pPr>
      <w:r>
        <w:rPr>
          <w:rFonts w:ascii="Arial" w:hAnsi="Arial"/>
          <w:sz w:val="20"/>
          <w:szCs w:val="20"/>
        </w:rPr>
        <w:t>All contaminated water, including wash water from the loading area and spent footbath water containing disinfectant, is directed to the under-slat stores.</w:t>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Site Locatio</w:t>
      </w:r>
      <w:r>
        <w:rPr>
          <w:rFonts w:ascii="Arial" w:hAnsi="Arial"/>
          <w:b w:val="false"/>
          <w:i w:val="false"/>
          <w:strike w:val="false"/>
          <w:dstrike w:val="false"/>
          <w:outline w:val="false"/>
          <w:shadow w:val="false"/>
          <w:color w:val="000000"/>
          <w:sz w:val="20"/>
          <w:u w:val="none"/>
          <w:em w:val="none"/>
        </w:rPr>
        <w:t>n</w:t>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 xml:space="preserve">The site is located at </w:t>
      </w:r>
      <w:r>
        <w:rPr>
          <w:rFonts w:ascii="Arial" w:hAnsi="Arial"/>
          <w:b w:val="false"/>
          <w:i w:val="false"/>
          <w:strike w:val="false"/>
          <w:dstrike w:val="false"/>
          <w:outline w:val="false"/>
          <w:shadow w:val="false"/>
          <w:color w:val="000000"/>
          <w:sz w:val="20"/>
          <w:u w:val="none"/>
          <w:em w:val="none"/>
        </w:rPr>
        <w:t>NZ 08183 15824. West Shaws is located in a rural setting approximately 2.2 km to the South East of the town of Barnard Castle.  The land is undulating leading to higher ground in the north.  The site is surrounded by arable farmland and wooded areas.  There are no sensitive residential receptors within 400m of the installation. There is a residential receptor within 100m of the installation this is owned and occupied by the operator therefore do not qualify as relevant receptors.</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The installation benefits from existing farm access roads from the public highway. The site can be accessed only via the existing farmyard and there are site security measures in place. There is no public right of way through or adjacent to the installation.</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 xml:space="preserve">The nearest settlement is Westwick at approximately 620m to the NNW. There are no sensitive residential receptors within 400m with the exception of West Shaws Farm Residence which is owned and resided in by the operators of the site. </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There have been no previous issues relating to odour, noise or flies in relation to the farm.</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 xml:space="preserve">A pre-application ammonia screening report from the EA (Appendix 1), concluded that detailed modelling (Appendix 1a) was required for the Ancient Woodland site, Sally Gills Plantation, located within 500m to the West of the installation. </w:t>
      </w:r>
    </w:p>
    <w:p>
      <w:pPr>
        <w:pStyle w:val="Normal"/>
        <w:bidi w:val="0"/>
        <w:rPr>
          <w:rFonts w:ascii="Arial" w:hAnsi="Arial"/>
          <w:b w:val="false"/>
          <w:i w:val="false"/>
          <w:i w:val="false"/>
          <w:strike w:val="false"/>
          <w:dstrike w:val="false"/>
          <w:outline w:val="false"/>
          <w:shadow w:val="false"/>
          <w:color w:val="000000"/>
          <w:sz w:val="20"/>
          <w:u w:val="none"/>
          <w:em w:val="none"/>
        </w:rPr>
      </w:pPr>
      <w:r>
        <w:rPr/>
      </w:r>
    </w:p>
    <w:p>
      <w:pPr>
        <w:pStyle w:val="Normal"/>
        <w:bidi w:val="0"/>
        <w:rPr>
          <w:rFonts w:ascii="Arial" w:hAnsi="Arial"/>
          <w:b w:val="false"/>
          <w:i w:val="false"/>
          <w:i w:val="false"/>
          <w:strike w:val="false"/>
          <w:dstrike w:val="false"/>
          <w:outline w:val="false"/>
          <w:shadow w:val="false"/>
          <w:color w:val="000000"/>
          <w:sz w:val="20"/>
          <w:u w:val="none"/>
          <w:em w:val="none"/>
        </w:rPr>
      </w:pPr>
      <w:r>
        <w:rPr>
          <w:rFonts w:ascii="Arial" w:hAnsi="Arial"/>
          <w:b w:val="false"/>
          <w:i w:val="false"/>
          <w:strike w:val="false"/>
          <w:dstrike w:val="false"/>
          <w:outline w:val="false"/>
          <w:shadow w:val="false"/>
          <w:color w:val="000000"/>
          <w:sz w:val="20"/>
          <w:u w:val="none"/>
          <w:em w:val="none"/>
        </w:rPr>
        <w:t>Other protected sites are Brignall Banks 3km South of the installation and Kilmond Scar 5.9km SW of the installation. There are no Ramsar, SAC or SPA designations within 5km.</w:t>
      </w:r>
    </w:p>
    <w:p>
      <w:pPr>
        <w:pStyle w:val="Normal"/>
        <w:bidi w:val="0"/>
        <w:rPr>
          <w:rFonts w:ascii="Arial" w:hAnsi="Arial"/>
          <w:b w:val="false"/>
          <w:i w:val="false"/>
          <w:i w:val="false"/>
          <w:strike w:val="false"/>
          <w:dstrike w:val="false"/>
          <w:outline w:val="false"/>
          <w:shadow w:val="false"/>
          <w:color w:val="000000"/>
          <w:sz w:val="20"/>
          <w:u w:val="none"/>
          <w:em w:val="none"/>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1"/>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4F39980E6E4466409E7A15C1D514AAA0" ma:contentTypeVersion="43" ma:contentTypeDescription="Create a new document." ma:contentTypeScope="" ma:versionID="65a52fa17513ed0d2a5f92b91e7d4e96">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b8fba03f-b465-42d4-a04d-5eac66a5065f" targetNamespace="http://schemas.microsoft.com/office/2006/metadata/properties" ma:root="true" ma:fieldsID="5a0f95c4815b7b15bc89e7fa9e151192" ns2:_="" ns3:_="" ns4:_="" ns5:_="" ns6:_="">
    <xsd:import namespace="dbe221e7-66db-4bdb-a92c-aa517c005f15"/>
    <xsd:import namespace="662745e8-e224-48e8-a2e3-254862b8c2f5"/>
    <xsd:import namespace="eebef177-55b5-4448-a5fb-28ea454417ee"/>
    <xsd:import namespace="5ffd8e36-f429-4edc-ab50-c5be84842779"/>
    <xsd:import namespace="b8fba03f-b465-42d4-a04d-5eac66a5065f"/>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SearchProperties" minOccurs="0"/>
                <xsd:element ref="ns6:MediaLengthInSecond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ba03f-b465-42d4-a04d-5eac66a5065f"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element name="MediaLengthInSeconds" ma:index="59" nillable="true" ma:displayName="MediaLengthInSeconds" ma:hidden="true" ma:internalName="MediaLengthInSeconds" ma:readOnly="true">
      <xsd:simpleType>
        <xsd:restriction base="dms:Unknown"/>
      </xsd:simpleType>
    </xsd:element>
    <xsd:element name="_Flow_SignoffStatus" ma:index="6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2025-06-03T23:00:00+00:00</EAReceivedDate>
    <ga477587807b4e8dbd9d142e03c014fa xmlns="dbe221e7-66db-4bdb-a92c-aa517c005f15">
      <Terms xmlns="http://schemas.microsoft.com/office/infopath/2007/PartnerControls"/>
    </ga477587807b4e8dbd9d142e03c014fa>
    <PermitNumber xmlns="eebef177-55b5-4448-a5fb-28ea454417ee">EPR-SP3821SZ</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G R Herbert and Sons</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2025-06-03T23:00:00+00:00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b8fba03f-b465-42d4-a04d-5eac66a5065f">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SP3821SZ</EPRNumber>
    <FacilityAddressPostcode xmlns="eebef177-55b5-4448-a5fb-28ea454417ee">DL12 8UT</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556</Value>
      <Value>14</Value>
    </TaxCatchAll>
    <ExternalAuthor xmlns="eebef177-55b5-4448-a5fb-28ea454417ee">G R Herbert and Sons</ExternalAuthor>
    <SiteName xmlns="eebef177-55b5-4448-a5fb-28ea454417ee">West Shaws</SiteName>
    <_Flow_SignoffStatus xmlns="b8fba03f-b465-42d4-a04d-5eac66a5065f" xsi:nil="tru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West Shaws, Barnard Castle, Durham DL12 8UT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DF142737-3406-45AA-8B2F-82842EA92A40}"/>
</file>

<file path=customXml/itemProps2.xml><?xml version="1.0" encoding="utf-8"?>
<ds:datastoreItem xmlns:ds="http://schemas.openxmlformats.org/officeDocument/2006/customXml" ds:itemID="{89BB7102-05D7-493D-B223-121F4BBBE799}"/>
</file>

<file path=customXml/itemProps3.xml><?xml version="1.0" encoding="utf-8"?>
<ds:datastoreItem xmlns:ds="http://schemas.openxmlformats.org/officeDocument/2006/customXml" ds:itemID="{C28C863C-6369-4331-A836-426737B56869}"/>
</file>

<file path=docProps/app.xml><?xml version="1.0" encoding="utf-8"?>
<Properties xmlns="http://schemas.openxmlformats.org/officeDocument/2006/extended-properties" xmlns:vt="http://schemas.openxmlformats.org/officeDocument/2006/docPropsVTypes">
  <Template/>
  <TotalTime>126</TotalTime>
  <Application>LibreOffice/24.2.6.2$Windows_X86_64 LibreOffice_project/ef66aa7e36a1bb8e65bfbc63aba53045a14d0871</Application>
  <AppVersion>15.0000</AppVersion>
  <Pages>2</Pages>
  <Words>777</Words>
  <Characters>3955</Characters>
  <CharactersWithSpaces>4722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2025-05-14T11:39:49Z</dcterms:created>
  <dc:creator/>
  <dc:description/>
  <dc:language>en-GB</dc:language>
  <cp:lastModifiedBy/>
  <dcterms:modified xsi:type="dcterms:W3CDTF">2025-05-14T14:43:40Z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0x0101000E9AD557692E154F9D2697C8C6432F76004F39980E6E4466409E7A15C1D514AAA0</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