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D25F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190748AD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223A" w14:paraId="26936D49" w14:textId="77777777" w:rsidTr="00B3157B">
        <w:tc>
          <w:tcPr>
            <w:tcW w:w="4788" w:type="dxa"/>
          </w:tcPr>
          <w:p w14:paraId="477BD73C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74FCF016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74F96039" w14:textId="77777777" w:rsidTr="00B3157B">
        <w:tc>
          <w:tcPr>
            <w:tcW w:w="4788" w:type="dxa"/>
          </w:tcPr>
          <w:p w14:paraId="00D45593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6CE3A9E3" w14:textId="1A8F80AD" w:rsidR="0089223A" w:rsidRDefault="00C918E0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W 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Suddes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&amp; Sons</w:t>
            </w:r>
          </w:p>
        </w:tc>
      </w:tr>
      <w:tr w:rsidR="0089223A" w14:paraId="3AA06751" w14:textId="77777777" w:rsidTr="00B3157B">
        <w:tc>
          <w:tcPr>
            <w:tcW w:w="4788" w:type="dxa"/>
          </w:tcPr>
          <w:p w14:paraId="1DED72B4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4324A054" w14:textId="5FDE97B3" w:rsidR="00D475F5" w:rsidRDefault="00C918E0" w:rsidP="00D475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South</w:t>
            </w:r>
            <w:r w:rsidR="00412D1A">
              <w:rPr>
                <w:sz w:val="23"/>
                <w:szCs w:val="23"/>
              </w:rPr>
              <w:t xml:space="preserve"> Farm</w:t>
            </w:r>
          </w:p>
          <w:p w14:paraId="6F278DE1" w14:textId="3F1211D3" w:rsidR="00D475F5" w:rsidRDefault="00C918E0" w:rsidP="00D475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Front Street</w:t>
            </w:r>
          </w:p>
          <w:p w14:paraId="5B7AE8FF" w14:textId="60265CAA" w:rsidR="00D475F5" w:rsidRDefault="00C918E0" w:rsidP="00D475F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Cornsea</w:t>
            </w:r>
            <w:proofErr w:type="spellEnd"/>
          </w:p>
          <w:p w14:paraId="6A6FD403" w14:textId="75D268C8" w:rsidR="00412D1A" w:rsidRDefault="00C918E0" w:rsidP="00D475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Lanchester</w:t>
            </w:r>
          </w:p>
          <w:p w14:paraId="15496D02" w14:textId="1BD9BAF1" w:rsidR="00D475F5" w:rsidRDefault="00C918E0" w:rsidP="00D475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Durham</w:t>
            </w:r>
          </w:p>
          <w:p w14:paraId="395630F1" w14:textId="6124D1AE" w:rsidR="0089223A" w:rsidRDefault="00C918E0" w:rsidP="00D475F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3"/>
                <w:szCs w:val="23"/>
              </w:rPr>
              <w:t>DH7 9RU</w:t>
            </w:r>
          </w:p>
        </w:tc>
      </w:tr>
      <w:tr w:rsidR="0089223A" w14:paraId="3035105A" w14:textId="77777777" w:rsidTr="00B3157B">
        <w:tc>
          <w:tcPr>
            <w:tcW w:w="4788" w:type="dxa"/>
          </w:tcPr>
          <w:p w14:paraId="36A8592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7370247F" w14:textId="4A5F44DC" w:rsidR="0089223A" w:rsidRDefault="00C918E0" w:rsidP="00FE4AB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918E0">
              <w:rPr>
                <w:rFonts w:ascii="Arial" w:hAnsi="Arial" w:cs="Arial"/>
                <w:sz w:val="24"/>
                <w:szCs w:val="24"/>
                <w:lang w:val="en-GB"/>
              </w:rPr>
              <w:t>415852,544121</w:t>
            </w:r>
          </w:p>
        </w:tc>
      </w:tr>
      <w:tr w:rsidR="0089223A" w14:paraId="13A40AE6" w14:textId="77777777" w:rsidTr="00B3157B">
        <w:tc>
          <w:tcPr>
            <w:tcW w:w="4788" w:type="dxa"/>
          </w:tcPr>
          <w:p w14:paraId="7EC11C0A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515DB98C" w14:textId="04A63EB0" w:rsidR="0089223A" w:rsidRDefault="00C918E0" w:rsidP="005A776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  <w:r w:rsidRPr="00C918E0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February 2026</w:t>
            </w:r>
          </w:p>
        </w:tc>
      </w:tr>
      <w:tr w:rsidR="00B3157B" w14:paraId="77434756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1742E7A2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7CBCEFAA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3E074D25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6B14B4BC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1466924D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39274E9F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33FFFCDC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77"/>
        <w:gridCol w:w="4671"/>
      </w:tblGrid>
      <w:tr w:rsidR="00B3157B" w14:paraId="64176B6F" w14:textId="77777777" w:rsidTr="00B163F1">
        <w:tc>
          <w:tcPr>
            <w:tcW w:w="4677" w:type="dxa"/>
          </w:tcPr>
          <w:p w14:paraId="7E944841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19A4D8A2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143DA494" w14:textId="77777777" w:rsidTr="00B163F1">
        <w:tc>
          <w:tcPr>
            <w:tcW w:w="4677" w:type="dxa"/>
          </w:tcPr>
          <w:p w14:paraId="71815E15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0B0346E4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C344AA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392DEB33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31A4DB45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1C7CB472" w14:textId="0F27A284" w:rsidR="00677C40" w:rsidRPr="00677C40" w:rsidRDefault="00FD1784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77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>The free</w:t>
            </w:r>
            <w:r w:rsidR="00CB0CBB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>range poultry unit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lie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on level ground to the </w:t>
            </w:r>
            <w:r w:rsidR="00C918E0">
              <w:rPr>
                <w:rFonts w:ascii="Arial" w:hAnsi="Arial" w:cs="Arial"/>
                <w:sz w:val="24"/>
                <w:szCs w:val="24"/>
                <w:lang w:val="en-GB"/>
              </w:rPr>
              <w:t xml:space="preserve">west of </w:t>
            </w:r>
            <w:proofErr w:type="spellStart"/>
            <w:r w:rsidR="00C918E0">
              <w:rPr>
                <w:rFonts w:ascii="Arial" w:hAnsi="Arial" w:cs="Arial"/>
                <w:sz w:val="24"/>
                <w:szCs w:val="24"/>
                <w:lang w:val="en-GB"/>
              </w:rPr>
              <w:t>Cornsay</w:t>
            </w:r>
            <w:proofErr w:type="spellEnd"/>
            <w:r w:rsidR="002F5768">
              <w:rPr>
                <w:rFonts w:ascii="Arial" w:hAnsi="Arial" w:cs="Arial"/>
                <w:sz w:val="24"/>
                <w:szCs w:val="24"/>
                <w:lang w:val="en-GB"/>
              </w:rPr>
              <w:t xml:space="preserve">, with the surrounding area being </w:t>
            </w:r>
            <w:r w:rsidR="00AF23FE">
              <w:rPr>
                <w:rFonts w:ascii="Arial" w:hAnsi="Arial" w:cs="Arial"/>
                <w:sz w:val="24"/>
                <w:szCs w:val="24"/>
                <w:lang w:val="en-GB"/>
              </w:rPr>
              <w:t>flat</w:t>
            </w:r>
            <w:r w:rsidR="002F576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Predominant land use is </w:t>
            </w:r>
            <w:r w:rsidR="00AF23FE">
              <w:rPr>
                <w:rFonts w:ascii="Arial" w:hAnsi="Arial" w:cs="Arial"/>
                <w:sz w:val="24"/>
                <w:szCs w:val="24"/>
                <w:lang w:val="en-GB"/>
              </w:rPr>
              <w:t>arable and grazing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Field pattern is semi </w:t>
            </w:r>
            <w:r w:rsidR="00AF23FE">
              <w:rPr>
                <w:rFonts w:ascii="Arial" w:hAnsi="Arial" w:cs="Arial"/>
                <w:sz w:val="24"/>
                <w:szCs w:val="24"/>
                <w:lang w:val="en-GB"/>
              </w:rPr>
              <w:t>large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scale with a medium pattern of field boundar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>ie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>s. The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>re are</w:t>
            </w:r>
            <w:r w:rsidR="00AF23F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 xml:space="preserve">nearby 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>residence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>within 400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metre</w:t>
            </w:r>
            <w:r w:rsidR="008660F1">
              <w:rPr>
                <w:rFonts w:ascii="Arial" w:hAnsi="Arial" w:cs="Arial"/>
                <w:sz w:val="24"/>
                <w:szCs w:val="24"/>
                <w:lang w:val="en-GB"/>
              </w:rPr>
              <w:t>s from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 xml:space="preserve"> the poultry range area</w:t>
            </w:r>
            <w:r w:rsidR="00EB68B2">
              <w:rPr>
                <w:rFonts w:ascii="Arial" w:hAnsi="Arial" w:cs="Arial"/>
                <w:sz w:val="24"/>
                <w:szCs w:val="24"/>
                <w:lang w:val="en-GB"/>
              </w:rPr>
              <w:t>, the nearest being 133m to the east of the installation boundary</w:t>
            </w:r>
            <w:r w:rsidR="004E268F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7232CB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7838C3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6E264C1B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E429BA6" w14:textId="44206D25" w:rsidR="00677C40" w:rsidRPr="00677C40" w:rsidRDefault="00C918E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South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 xml:space="preserve"> Farm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operations lie on a </w:t>
            </w:r>
            <w:r w:rsidR="002F5768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area 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 xml:space="preserve">to the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west of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Cornsay</w:t>
            </w:r>
            <w:proofErr w:type="spellEnd"/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, draining to </w:t>
            </w:r>
            <w:r w:rsidR="00912014">
              <w:rPr>
                <w:rFonts w:ascii="Arial" w:hAnsi="Arial" w:cs="Arial"/>
                <w:sz w:val="24"/>
                <w:szCs w:val="24"/>
                <w:lang w:val="en-GB"/>
              </w:rPr>
              <w:t>French drains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 xml:space="preserve">, leading to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two soakaways</w:t>
            </w:r>
            <w:r w:rsidR="00C25D8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The poultry house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B4630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are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between</w:t>
            </w:r>
            <w:r w:rsidR="00FE4C6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240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and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250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3C3894">
              <w:rPr>
                <w:rFonts w:ascii="Arial" w:hAnsi="Arial" w:cs="Arial"/>
                <w:sz w:val="24"/>
                <w:szCs w:val="24"/>
                <w:lang w:val="en-GB"/>
              </w:rPr>
              <w:t xml:space="preserve">Careful choice of approved building material colours </w:t>
            </w:r>
            <w:proofErr w:type="gramStart"/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>help</w:t>
            </w:r>
            <w:proofErr w:type="gramEnd"/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to minimise the visual intrusion normally associated with poultry units.</w:t>
            </w:r>
          </w:p>
          <w:p w14:paraId="6C5A023F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4152E03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4B92FE22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2C3E68" w14:textId="7A1D6AE8" w:rsidR="00624F60" w:rsidRPr="009A41E4" w:rsidRDefault="00624F60" w:rsidP="00262FD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A41E4">
              <w:rPr>
                <w:rFonts w:ascii="Arial" w:hAnsi="Arial" w:cs="Arial"/>
                <w:sz w:val="24"/>
                <w:szCs w:val="24"/>
                <w:lang w:val="en-GB"/>
              </w:rPr>
              <w:t xml:space="preserve">The British Geological Survey shows the solid geology beneath the site to </w:t>
            </w:r>
            <w:r w:rsidR="008C74C4">
              <w:rPr>
                <w:rFonts w:ascii="Arial" w:hAnsi="Arial" w:cs="Arial"/>
                <w:sz w:val="24"/>
                <w:szCs w:val="24"/>
                <w:lang w:val="en-GB"/>
              </w:rPr>
              <w:t xml:space="preserve">be of the </w:t>
            </w:r>
            <w:r w:rsidR="00E3101E">
              <w:rPr>
                <w:rFonts w:ascii="Arial" w:hAnsi="Arial" w:cs="Arial"/>
                <w:sz w:val="24"/>
                <w:szCs w:val="24"/>
                <w:lang w:val="en-GB"/>
              </w:rPr>
              <w:t>Carboniferous period, comprising Pennine Middle Coal Measures - Sandstone</w:t>
            </w:r>
          </w:p>
          <w:p w14:paraId="796316BC" w14:textId="77777777" w:rsidR="00334B51" w:rsidRPr="00FD1784" w:rsidRDefault="00334B51" w:rsidP="00DA6E5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96C2D45" w14:textId="014008AE" w:rsidR="00624F60" w:rsidRDefault="00E66C9B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Searches indicate the site is</w:t>
            </w:r>
            <w:r w:rsidR="00515857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116E0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located in a Ground Water Protection Zone</w:t>
            </w:r>
            <w:r w:rsidR="009A422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6119D62" w14:textId="1305AF1E" w:rsidR="00E66C9B" w:rsidRDefault="00E66C9B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Site is located over a Bedrock Aquifer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EB68B2">
              <w:rPr>
                <w:rFonts w:ascii="Arial" w:hAnsi="Arial" w:cs="Arial"/>
                <w:sz w:val="24"/>
                <w:szCs w:val="24"/>
                <w:lang w:val="en-GB"/>
              </w:rPr>
              <w:t>Secondary 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1CCFB955" w14:textId="7FE97FE1" w:rsidR="00E66C9B" w:rsidRDefault="00E66C9B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Ground water vulnerability – </w:t>
            </w:r>
            <w:r w:rsidR="005116E0">
              <w:rPr>
                <w:rFonts w:ascii="Arial" w:hAnsi="Arial" w:cs="Arial"/>
                <w:sz w:val="24"/>
                <w:szCs w:val="24"/>
                <w:lang w:val="en-GB"/>
              </w:rPr>
              <w:t>Medium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5AFFF270" w14:textId="1099AA32" w:rsidR="00DB46E6" w:rsidRDefault="00E66C9B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site is situated in a Surface NVZ area</w:t>
            </w:r>
            <w:r w:rsidR="00DB46E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805A7C0" w14:textId="6390A070" w:rsidR="00E66C9B" w:rsidRPr="009A41E4" w:rsidRDefault="00F1549C" w:rsidP="00624F6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is </w:t>
            </w:r>
            <w:r w:rsidR="00D475F5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located in a drinking water</w:t>
            </w:r>
            <w:r w:rsidR="00DB46E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B68B2">
              <w:rPr>
                <w:rFonts w:ascii="Arial" w:hAnsi="Arial" w:cs="Arial"/>
                <w:sz w:val="24"/>
                <w:szCs w:val="24"/>
                <w:lang w:val="en-GB"/>
              </w:rPr>
              <w:t>protected/</w:t>
            </w:r>
            <w:r w:rsidR="00DB46E6">
              <w:rPr>
                <w:rFonts w:ascii="Arial" w:hAnsi="Arial" w:cs="Arial"/>
                <w:sz w:val="24"/>
                <w:szCs w:val="24"/>
                <w:lang w:val="en-GB"/>
              </w:rPr>
              <w:t xml:space="preserve">safeguard zone </w:t>
            </w:r>
          </w:p>
          <w:p w14:paraId="3C016198" w14:textId="77777777" w:rsidR="00334B51" w:rsidRPr="00FD1784" w:rsidRDefault="00334B51" w:rsidP="00DA6E5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09CCD4" w14:textId="756E2487" w:rsidR="00DA6E5F" w:rsidRPr="00FD1784" w:rsidRDefault="00DA6E5F" w:rsidP="00DA6E5F">
            <w:pPr>
              <w:pStyle w:val="BodyText2"/>
              <w:rPr>
                <w:rFonts w:ascii="Arial" w:hAnsi="Arial" w:cs="Arial"/>
              </w:rPr>
            </w:pPr>
            <w:r w:rsidRPr="00FD1784">
              <w:rPr>
                <w:rFonts w:ascii="Arial" w:hAnsi="Arial" w:cs="Arial"/>
              </w:rPr>
              <w:t>The site, and clean water drainage</w:t>
            </w:r>
            <w:r w:rsidR="00334B51">
              <w:rPr>
                <w:rFonts w:ascii="Arial" w:hAnsi="Arial" w:cs="Arial"/>
              </w:rPr>
              <w:t xml:space="preserve"> is directed to </w:t>
            </w:r>
            <w:r w:rsidR="00BC4741">
              <w:rPr>
                <w:rFonts w:ascii="Arial" w:hAnsi="Arial" w:cs="Arial"/>
              </w:rPr>
              <w:t>French drains</w:t>
            </w:r>
            <w:r w:rsidR="00D475F5">
              <w:rPr>
                <w:rFonts w:ascii="Arial" w:hAnsi="Arial" w:cs="Arial"/>
              </w:rPr>
              <w:t xml:space="preserve"> and </w:t>
            </w:r>
            <w:r w:rsidR="00E3101E">
              <w:rPr>
                <w:rFonts w:ascii="Arial" w:hAnsi="Arial" w:cs="Arial"/>
              </w:rPr>
              <w:t>two soakaways</w:t>
            </w:r>
            <w:r w:rsidR="00063872">
              <w:rPr>
                <w:rFonts w:ascii="Arial" w:hAnsi="Arial" w:cs="Arial"/>
              </w:rPr>
              <w:t>.</w:t>
            </w:r>
            <w:r w:rsidRPr="00FD1784">
              <w:rPr>
                <w:rFonts w:ascii="Arial" w:hAnsi="Arial" w:cs="Arial"/>
              </w:rPr>
              <w:t xml:space="preserve"> Average rainfall for this area is 1</w:t>
            </w:r>
            <w:r w:rsidR="00E66C9B">
              <w:rPr>
                <w:rFonts w:ascii="Arial" w:hAnsi="Arial" w:cs="Arial"/>
              </w:rPr>
              <w:t>1</w:t>
            </w:r>
            <w:r w:rsidRPr="00FD1784">
              <w:rPr>
                <w:rFonts w:ascii="Arial" w:hAnsi="Arial" w:cs="Arial"/>
              </w:rPr>
              <w:t>50mm.</w:t>
            </w:r>
          </w:p>
          <w:p w14:paraId="3F0394DE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72D6C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BA73B41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39992313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E37069" w14:textId="5C1BD87B" w:rsidR="00677C40" w:rsidRDefault="00EB68B2" w:rsidP="00677C40">
            <w:pPr>
              <w:rPr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flow is in a southerly direction.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Hedleyhope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Burn is situated 950 to the south of the installation boundary</w:t>
            </w:r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2A5C4430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30B0A953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45C9E5C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033F4A7" w14:textId="77777777" w:rsidR="00485981" w:rsidRDefault="00485981" w:rsidP="001978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1CD427BB" w14:textId="77777777" w:rsidTr="00B163F1">
        <w:tc>
          <w:tcPr>
            <w:tcW w:w="4677" w:type="dxa"/>
          </w:tcPr>
          <w:p w14:paraId="1BDF89A0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69AF7A04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E8E2D1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00522CF8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B93CCAE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20201DF5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2A13B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428FB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91646F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C6CC31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759453C8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65F13A5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8181A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damage to pollution prevention measures</w:t>
            </w:r>
          </w:p>
        </w:tc>
        <w:tc>
          <w:tcPr>
            <w:tcW w:w="4671" w:type="dxa"/>
          </w:tcPr>
          <w:p w14:paraId="3B58906E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A9A9D8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AE5B429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193D69E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4158B8D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99793FD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37151CBD" w14:textId="2649C185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Previous use </w:t>
            </w:r>
            <w:r w:rsidR="0073563F">
              <w:rPr>
                <w:rFonts w:ascii="Arial" w:hAnsi="Arial" w:cs="Arial"/>
                <w:sz w:val="24"/>
                <w:szCs w:val="24"/>
                <w:lang w:val="en-GB"/>
              </w:rPr>
              <w:t>–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>Arable farming.</w:t>
            </w:r>
          </w:p>
          <w:p w14:paraId="3FFC519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DD38412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7E7B6F" w14:textId="77777777" w:rsidR="007D7C3B" w:rsidRDefault="007D7C3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08D9522" w14:textId="77777777" w:rsidR="005116E0" w:rsidRDefault="005116E0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522371" w14:textId="4145DF20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5326A940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D37D831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26D7E68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D9734DF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5871A4D1" w14:textId="77777777" w:rsidTr="00B163F1">
        <w:tc>
          <w:tcPr>
            <w:tcW w:w="4677" w:type="dxa"/>
          </w:tcPr>
          <w:p w14:paraId="1204E6CF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Evidence of historical contamination</w:t>
            </w:r>
          </w:p>
        </w:tc>
        <w:tc>
          <w:tcPr>
            <w:tcW w:w="4671" w:type="dxa"/>
          </w:tcPr>
          <w:p w14:paraId="61175DAD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3DAB55C2" w14:textId="77777777" w:rsidTr="00B163F1">
        <w:tc>
          <w:tcPr>
            <w:tcW w:w="4677" w:type="dxa"/>
          </w:tcPr>
          <w:p w14:paraId="1ACCC024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3.0 Permitted Activities</w:t>
            </w:r>
          </w:p>
        </w:tc>
        <w:tc>
          <w:tcPr>
            <w:tcW w:w="4671" w:type="dxa"/>
          </w:tcPr>
          <w:p w14:paraId="3BF3F33B" w14:textId="6EF04F7B" w:rsidR="00437486" w:rsidRDefault="0008167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Two</w:t>
            </w:r>
            <w:r w:rsidR="007C7EC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>poultry house</w:t>
            </w:r>
            <w:r w:rsidR="0073563F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193A0B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for </w:t>
            </w:r>
            <w:r w:rsidR="00437486">
              <w:rPr>
                <w:rFonts w:ascii="Arial" w:hAnsi="Arial" w:cs="Arial"/>
                <w:sz w:val="24"/>
                <w:szCs w:val="24"/>
                <w:lang w:val="en-GB"/>
              </w:rPr>
              <w:t>free range egg production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This will give a total of</w:t>
            </w:r>
            <w:r w:rsidR="001978B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F2E5E">
              <w:rPr>
                <w:rFonts w:ascii="Arial" w:hAnsi="Arial" w:cs="Arial"/>
                <w:sz w:val="24"/>
                <w:szCs w:val="24"/>
                <w:lang w:val="en-GB"/>
              </w:rPr>
              <w:t>64</w:t>
            </w:r>
            <w:r w:rsidR="001978B6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092FB1">
              <w:rPr>
                <w:rFonts w:ascii="Arial" w:hAnsi="Arial" w:cs="Arial"/>
                <w:sz w:val="24"/>
                <w:szCs w:val="24"/>
                <w:lang w:val="en-GB"/>
              </w:rPr>
              <w:t>000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 The working area where vehicles operate is laid to concrete</w:t>
            </w:r>
            <w:r w:rsidR="00092FB1">
              <w:rPr>
                <w:rFonts w:ascii="Arial" w:hAnsi="Arial" w:cs="Arial"/>
                <w:sz w:val="24"/>
                <w:szCs w:val="24"/>
                <w:lang w:val="en-GB"/>
              </w:rPr>
              <w:t xml:space="preserve"> and hard standing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r w:rsidR="00CB0CBB">
              <w:rPr>
                <w:rFonts w:ascii="Arial" w:hAnsi="Arial" w:cs="Arial"/>
                <w:sz w:val="24"/>
                <w:szCs w:val="24"/>
                <w:lang w:val="en-GB"/>
              </w:rPr>
              <w:t>Free range b</w:t>
            </w:r>
            <w:r w:rsidR="00437486">
              <w:rPr>
                <w:rFonts w:ascii="Arial" w:hAnsi="Arial" w:cs="Arial"/>
                <w:sz w:val="24"/>
                <w:szCs w:val="24"/>
                <w:lang w:val="en-GB"/>
              </w:rPr>
              <w:t>irds are allowed to range by means of pop holes in the sides of the poultry house</w:t>
            </w:r>
            <w:r w:rsidR="0073563F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18C6E338" w14:textId="77777777" w:rsidR="00437486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Feed is delivered in covered lorries and stored on site in vermin proof steel galvanised bins.</w:t>
            </w:r>
          </w:p>
          <w:p w14:paraId="2107AB72" w14:textId="77777777" w:rsidR="00B3157B" w:rsidRDefault="00437486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Manure is removed from houses by a belt system twice weekly.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3E48EE8F" w14:textId="109DCAAC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Immediately following depopulation, litter is removed off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GB"/>
              </w:rPr>
              <w:t>site</w:t>
            </w:r>
            <w:r w:rsidR="00377B79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="00686AFF">
              <w:rPr>
                <w:rFonts w:ascii="Arial" w:hAnsi="Arial" w:cs="Arial"/>
                <w:sz w:val="24"/>
                <w:szCs w:val="24"/>
                <w:lang w:val="en-GB"/>
              </w:rPr>
              <w:t>and</w:t>
            </w:r>
            <w:proofErr w:type="gramEnd"/>
            <w:r w:rsidR="00686AF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 xml:space="preserve">used on </w:t>
            </w:r>
            <w:proofErr w:type="gramStart"/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>operator controlled</w:t>
            </w:r>
            <w:proofErr w:type="gramEnd"/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 xml:space="preserve"> land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8167D">
              <w:rPr>
                <w:rFonts w:ascii="Arial" w:hAnsi="Arial" w:cs="Arial"/>
                <w:sz w:val="24"/>
                <w:szCs w:val="24"/>
                <w:lang w:val="en-GB"/>
              </w:rPr>
              <w:t xml:space="preserve">under a manure management plan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adhering to 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the DEFRA Codes of Good Agricultural Practices and sufficient available spreading acreage.</w:t>
            </w:r>
          </w:p>
          <w:p w14:paraId="0EF4BBFE" w14:textId="7222EF5E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nderground storage tank</w:t>
            </w:r>
            <w:r w:rsidR="005116E0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 xml:space="preserve">will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have been installed to catch all wash waters.</w:t>
            </w:r>
          </w:p>
          <w:p w14:paraId="5DDCC328" w14:textId="5ABD2DBF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</w:t>
            </w:r>
            <w:r w:rsidR="00AC1116">
              <w:rPr>
                <w:rFonts w:ascii="Arial" w:hAnsi="Arial" w:cs="Arial"/>
                <w:sz w:val="24"/>
                <w:szCs w:val="24"/>
                <w:lang w:val="en-GB"/>
              </w:rPr>
              <w:t>freezers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awaiting </w:t>
            </w:r>
            <w:r w:rsidR="00DB4306">
              <w:rPr>
                <w:rFonts w:ascii="Arial" w:hAnsi="Arial" w:cs="Arial"/>
                <w:sz w:val="24"/>
                <w:szCs w:val="24"/>
                <w:lang w:val="en-GB"/>
              </w:rPr>
              <w:t>collection by a licensed</w:t>
            </w:r>
            <w:r w:rsidR="00E43393">
              <w:rPr>
                <w:rFonts w:ascii="Arial" w:hAnsi="Arial" w:cs="Arial"/>
                <w:sz w:val="24"/>
                <w:szCs w:val="24"/>
                <w:lang w:val="en-GB"/>
              </w:rPr>
              <w:t xml:space="preserve"> agent</w:t>
            </w:r>
            <w:r w:rsidR="001978B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937C519" w14:textId="06A89A9F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5869D0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tank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B913BAD" w14:textId="77777777" w:rsidR="004360F4" w:rsidRDefault="004360F4" w:rsidP="00E4339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3E6348DD" w14:textId="77777777" w:rsidTr="00B163F1">
        <w:tc>
          <w:tcPr>
            <w:tcW w:w="4677" w:type="dxa"/>
          </w:tcPr>
          <w:p w14:paraId="7105BB55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 permitted activities undertaken</w:t>
            </w:r>
          </w:p>
        </w:tc>
        <w:tc>
          <w:tcPr>
            <w:tcW w:w="4671" w:type="dxa"/>
          </w:tcPr>
          <w:p w14:paraId="03F08D24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40D2E49E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01EF1544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4C0F700C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074A6BDC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4D1885D4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6C790489" w14:textId="77777777" w:rsidTr="00B163F1">
        <w:tc>
          <w:tcPr>
            <w:tcW w:w="4677" w:type="dxa"/>
          </w:tcPr>
          <w:p w14:paraId="759949A0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14AA833A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  <w:r w:rsidR="00FF05A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FF05AD" w14:paraId="693EDD7B" w14:textId="77777777" w:rsidTr="00B163F1">
        <w:tc>
          <w:tcPr>
            <w:tcW w:w="4677" w:type="dxa"/>
          </w:tcPr>
          <w:p w14:paraId="79AFEC02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6CFE0CD3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004FD44A" w14:textId="77777777" w:rsidTr="00B163F1">
        <w:tc>
          <w:tcPr>
            <w:tcW w:w="4677" w:type="dxa"/>
          </w:tcPr>
          <w:p w14:paraId="2BC3A801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0C10EC8F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47328C5C" w14:textId="77777777" w:rsidTr="00B163F1">
        <w:tc>
          <w:tcPr>
            <w:tcW w:w="4677" w:type="dxa"/>
          </w:tcPr>
          <w:p w14:paraId="118FC00D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52C769CC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49405279" w14:textId="77777777" w:rsidTr="00B163F1">
        <w:tc>
          <w:tcPr>
            <w:tcW w:w="4677" w:type="dxa"/>
          </w:tcPr>
          <w:p w14:paraId="793F7BE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1380A4D6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3A8D6A8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23A"/>
    <w:rsid w:val="0000115B"/>
    <w:rsid w:val="00020B14"/>
    <w:rsid w:val="000216D4"/>
    <w:rsid w:val="00063872"/>
    <w:rsid w:val="00080C24"/>
    <w:rsid w:val="0008167D"/>
    <w:rsid w:val="00092FB1"/>
    <w:rsid w:val="0009548B"/>
    <w:rsid w:val="000D69F6"/>
    <w:rsid w:val="000F2E5E"/>
    <w:rsid w:val="001406A6"/>
    <w:rsid w:val="00143C65"/>
    <w:rsid w:val="0015102C"/>
    <w:rsid w:val="001735E0"/>
    <w:rsid w:val="00186D8B"/>
    <w:rsid w:val="00192B00"/>
    <w:rsid w:val="00192BD6"/>
    <w:rsid w:val="00193A0B"/>
    <w:rsid w:val="001978B6"/>
    <w:rsid w:val="002140A6"/>
    <w:rsid w:val="002240F6"/>
    <w:rsid w:val="002421B6"/>
    <w:rsid w:val="00262FD9"/>
    <w:rsid w:val="00267041"/>
    <w:rsid w:val="00275E52"/>
    <w:rsid w:val="00286817"/>
    <w:rsid w:val="002D4CD4"/>
    <w:rsid w:val="002D7DD5"/>
    <w:rsid w:val="002E50CB"/>
    <w:rsid w:val="002E75F9"/>
    <w:rsid w:val="002F055F"/>
    <w:rsid w:val="002F5768"/>
    <w:rsid w:val="002F7CCD"/>
    <w:rsid w:val="00306E7B"/>
    <w:rsid w:val="00334B51"/>
    <w:rsid w:val="0037105A"/>
    <w:rsid w:val="00377B79"/>
    <w:rsid w:val="003820DC"/>
    <w:rsid w:val="003915A1"/>
    <w:rsid w:val="00392AF0"/>
    <w:rsid w:val="0039631D"/>
    <w:rsid w:val="003C187A"/>
    <w:rsid w:val="003C1B8E"/>
    <w:rsid w:val="003C3894"/>
    <w:rsid w:val="003E4EAF"/>
    <w:rsid w:val="0040263D"/>
    <w:rsid w:val="00412D1A"/>
    <w:rsid w:val="004338AE"/>
    <w:rsid w:val="0043514B"/>
    <w:rsid w:val="004360F4"/>
    <w:rsid w:val="00437486"/>
    <w:rsid w:val="00447CF7"/>
    <w:rsid w:val="00450FE3"/>
    <w:rsid w:val="00474090"/>
    <w:rsid w:val="004827C3"/>
    <w:rsid w:val="00485981"/>
    <w:rsid w:val="004871C1"/>
    <w:rsid w:val="004B04C0"/>
    <w:rsid w:val="004C3148"/>
    <w:rsid w:val="004C63F7"/>
    <w:rsid w:val="004E268F"/>
    <w:rsid w:val="004F16E5"/>
    <w:rsid w:val="005116E0"/>
    <w:rsid w:val="00515857"/>
    <w:rsid w:val="00524A4B"/>
    <w:rsid w:val="00532B37"/>
    <w:rsid w:val="0056509D"/>
    <w:rsid w:val="0057128C"/>
    <w:rsid w:val="005869D0"/>
    <w:rsid w:val="005A1FC1"/>
    <w:rsid w:val="005A776D"/>
    <w:rsid w:val="005C42F9"/>
    <w:rsid w:val="005D1F93"/>
    <w:rsid w:val="005F367C"/>
    <w:rsid w:val="006203E7"/>
    <w:rsid w:val="00624F60"/>
    <w:rsid w:val="006453EA"/>
    <w:rsid w:val="0067044B"/>
    <w:rsid w:val="00677C40"/>
    <w:rsid w:val="00686AFF"/>
    <w:rsid w:val="00687B0D"/>
    <w:rsid w:val="00690E75"/>
    <w:rsid w:val="006A34C1"/>
    <w:rsid w:val="006D755E"/>
    <w:rsid w:val="006E4557"/>
    <w:rsid w:val="006F209D"/>
    <w:rsid w:val="006F4D72"/>
    <w:rsid w:val="00720967"/>
    <w:rsid w:val="00730F90"/>
    <w:rsid w:val="0073563F"/>
    <w:rsid w:val="007759D7"/>
    <w:rsid w:val="00784526"/>
    <w:rsid w:val="0079296F"/>
    <w:rsid w:val="007A0607"/>
    <w:rsid w:val="007C7ECF"/>
    <w:rsid w:val="007D4889"/>
    <w:rsid w:val="007D6088"/>
    <w:rsid w:val="007D7C3B"/>
    <w:rsid w:val="008351E8"/>
    <w:rsid w:val="008357F3"/>
    <w:rsid w:val="008660F1"/>
    <w:rsid w:val="0089223A"/>
    <w:rsid w:val="008C74C4"/>
    <w:rsid w:val="00905699"/>
    <w:rsid w:val="00912014"/>
    <w:rsid w:val="0092670D"/>
    <w:rsid w:val="009476A4"/>
    <w:rsid w:val="00954E81"/>
    <w:rsid w:val="00967A2E"/>
    <w:rsid w:val="009A4228"/>
    <w:rsid w:val="009D1C51"/>
    <w:rsid w:val="009D4D7A"/>
    <w:rsid w:val="009E0D3E"/>
    <w:rsid w:val="009E3004"/>
    <w:rsid w:val="009E421D"/>
    <w:rsid w:val="00A40725"/>
    <w:rsid w:val="00A91045"/>
    <w:rsid w:val="00A96A48"/>
    <w:rsid w:val="00A974B7"/>
    <w:rsid w:val="00A97A7B"/>
    <w:rsid w:val="00AA00F7"/>
    <w:rsid w:val="00AC1116"/>
    <w:rsid w:val="00AF23FE"/>
    <w:rsid w:val="00B163F1"/>
    <w:rsid w:val="00B17A2D"/>
    <w:rsid w:val="00B27728"/>
    <w:rsid w:val="00B3157B"/>
    <w:rsid w:val="00B32438"/>
    <w:rsid w:val="00B46306"/>
    <w:rsid w:val="00B61821"/>
    <w:rsid w:val="00B81DB0"/>
    <w:rsid w:val="00BC4741"/>
    <w:rsid w:val="00BD4797"/>
    <w:rsid w:val="00BE1F98"/>
    <w:rsid w:val="00C05286"/>
    <w:rsid w:val="00C05D89"/>
    <w:rsid w:val="00C12DA6"/>
    <w:rsid w:val="00C25D86"/>
    <w:rsid w:val="00C2660C"/>
    <w:rsid w:val="00C32BA8"/>
    <w:rsid w:val="00C66732"/>
    <w:rsid w:val="00C918E0"/>
    <w:rsid w:val="00C91C33"/>
    <w:rsid w:val="00C94C30"/>
    <w:rsid w:val="00CB0CBB"/>
    <w:rsid w:val="00CE7539"/>
    <w:rsid w:val="00CF4E1D"/>
    <w:rsid w:val="00D408AA"/>
    <w:rsid w:val="00D475F5"/>
    <w:rsid w:val="00D84E6D"/>
    <w:rsid w:val="00DA6E5F"/>
    <w:rsid w:val="00DB4306"/>
    <w:rsid w:val="00DB46E6"/>
    <w:rsid w:val="00E3101E"/>
    <w:rsid w:val="00E43393"/>
    <w:rsid w:val="00E4342A"/>
    <w:rsid w:val="00E66C9B"/>
    <w:rsid w:val="00E80A20"/>
    <w:rsid w:val="00E93CAF"/>
    <w:rsid w:val="00E95CFB"/>
    <w:rsid w:val="00E96048"/>
    <w:rsid w:val="00E977EF"/>
    <w:rsid w:val="00EA6053"/>
    <w:rsid w:val="00EB68B2"/>
    <w:rsid w:val="00EC344D"/>
    <w:rsid w:val="00ED27CB"/>
    <w:rsid w:val="00EE1AC9"/>
    <w:rsid w:val="00EE4334"/>
    <w:rsid w:val="00EF0CE1"/>
    <w:rsid w:val="00EF1A5F"/>
    <w:rsid w:val="00F02FB8"/>
    <w:rsid w:val="00F1549C"/>
    <w:rsid w:val="00F924DA"/>
    <w:rsid w:val="00FB0607"/>
    <w:rsid w:val="00FD1784"/>
    <w:rsid w:val="00FD6369"/>
    <w:rsid w:val="00FE4AB9"/>
    <w:rsid w:val="00FE4C6E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8773"/>
  <w15:docId w15:val="{00EE20D8-0A61-441E-9F7D-8FF665F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D475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EPR-EP3829MT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EPR/EP3829MT</OtherReference>
    <EventLink xmlns="5ffd8e36-f429-4edc-ab50-c5be84842779" xsi:nil="true"/>
    <Customer_x002f_OperatorName xmlns="eebef177-55b5-4448-a5fb-28ea454417ee">W. I. Suddes and Sons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EPR/EP3829MT/A001</EPRNumber>
    <FacilityAddressPostcode xmlns="eebef177-55b5-4448-a5fb-28ea454417ee">DH7 9RU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W. I. Suddes &amp; Sons</ExternalAuthor>
    <SiteName xmlns="eebef177-55b5-4448-a5fb-28ea454417ee">South Farm Free Range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South Farm Free Range Unit, Front Street, Cornsay, Lanchester, DH7 9RU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F01C7F-26E2-4BD3-9AF8-BB50D6EEFEFB}"/>
</file>

<file path=customXml/itemProps2.xml><?xml version="1.0" encoding="utf-8"?>
<ds:datastoreItem xmlns:ds="http://schemas.openxmlformats.org/officeDocument/2006/customXml" ds:itemID="{35F12DB1-F251-4F5E-80A0-53AE69442E54}"/>
</file>

<file path=customXml/itemProps3.xml><?xml version="1.0" encoding="utf-8"?>
<ds:datastoreItem xmlns:ds="http://schemas.openxmlformats.org/officeDocument/2006/customXml" ds:itemID="{AA1D093F-E8E8-41B8-9020-1AA167674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4</Pages>
  <Words>579</Words>
  <Characters>3175</Characters>
  <Application>Microsoft Office Word</Application>
  <DocSecurity>0</DocSecurity>
  <Lines>186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Annette Morton</cp:lastModifiedBy>
  <cp:revision>110</cp:revision>
  <dcterms:created xsi:type="dcterms:W3CDTF">2009-03-23T15:37:00Z</dcterms:created>
  <dcterms:modified xsi:type="dcterms:W3CDTF">2026-02-23T14:08:00Z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