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189" w:rsidRDefault="00502189" w:rsidP="00502189">
      <w:r>
        <w:t xml:space="preserve">Hi Kate, </w:t>
      </w:r>
    </w:p>
    <w:p w:rsidR="00502189" w:rsidRDefault="00502189" w:rsidP="00502189">
      <w:r>
        <w:t> </w:t>
      </w:r>
    </w:p>
    <w:p w:rsidR="00502189" w:rsidRDefault="00502189" w:rsidP="00502189">
      <w:r>
        <w:t>Please see below/attached. As soon as we have invoice I shall forward onto Mr Bunting to pay, as long as we have this today he will be able to have payment across to you by the 13</w:t>
      </w:r>
      <w:r>
        <w:rPr>
          <w:vertAlign w:val="superscript"/>
        </w:rPr>
        <w:t>th</w:t>
      </w:r>
      <w:r>
        <w:t>.</w:t>
      </w:r>
    </w:p>
    <w:p w:rsidR="00502189" w:rsidRDefault="00502189" w:rsidP="00502189">
      <w:r>
        <w:t> </w:t>
      </w:r>
    </w:p>
    <w:p w:rsidR="00502189" w:rsidRDefault="00502189" w:rsidP="00502189">
      <w:r>
        <w:t>Please let me know if you need anything else,</w:t>
      </w:r>
    </w:p>
    <w:p w:rsidR="00502189" w:rsidRDefault="00502189" w:rsidP="00502189">
      <w:r>
        <w:t> </w:t>
      </w:r>
    </w:p>
    <w:p w:rsidR="00502189" w:rsidRDefault="00502189" w:rsidP="00502189">
      <w:r>
        <w:t xml:space="preserve">Thanks </w:t>
      </w:r>
    </w:p>
    <w:p w:rsidR="00502189" w:rsidRDefault="00502189" w:rsidP="00502189">
      <w:r>
        <w:t xml:space="preserve">Ellie </w:t>
      </w:r>
    </w:p>
    <w:p w:rsidR="00502189" w:rsidRDefault="00502189" w:rsidP="00502189">
      <w:r>
        <w:t> </w:t>
      </w:r>
    </w:p>
    <w:p w:rsidR="00502189" w:rsidRDefault="00502189" w:rsidP="00502189">
      <w:pPr>
        <w:rPr>
          <w:rFonts w:ascii="Times New Roman" w:eastAsia="Times New Roman" w:hAnsi="Times New Roman"/>
          <w:sz w:val="24"/>
          <w:szCs w:val="24"/>
          <w:lang w:eastAsia="en-GB"/>
        </w:rPr>
      </w:pPr>
    </w:p>
    <w:tbl>
      <w:tblPr>
        <w:tblW w:w="8200" w:type="dxa"/>
        <w:tblCellMar>
          <w:left w:w="0" w:type="dxa"/>
          <w:right w:w="0" w:type="dxa"/>
        </w:tblCellMar>
        <w:tblLook w:val="04A0" w:firstRow="1" w:lastRow="0" w:firstColumn="1" w:lastColumn="0" w:noHBand="0" w:noVBand="1"/>
      </w:tblPr>
      <w:tblGrid>
        <w:gridCol w:w="1791"/>
        <w:gridCol w:w="3508"/>
        <w:gridCol w:w="273"/>
        <w:gridCol w:w="3454"/>
      </w:tblGrid>
      <w:tr w:rsidR="00502189" w:rsidTr="00502189">
        <w:trPr>
          <w:trHeight w:val="1688"/>
        </w:trPr>
        <w:tc>
          <w:tcPr>
            <w:tcW w:w="1671" w:type="dxa"/>
            <w:tcMar>
              <w:top w:w="0" w:type="dxa"/>
              <w:left w:w="108" w:type="dxa"/>
              <w:bottom w:w="0" w:type="dxa"/>
              <w:right w:w="108" w:type="dxa"/>
            </w:tcMar>
            <w:hideMark/>
          </w:tcPr>
          <w:p w:rsidR="00502189" w:rsidRDefault="00502189">
            <w:pPr>
              <w:rPr>
                <w:rFonts w:ascii="Century Gothic" w:eastAsia="Times New Roman" w:hAnsi="Century Gothic"/>
                <w:sz w:val="18"/>
                <w:szCs w:val="18"/>
                <w:lang w:eastAsia="en-GB"/>
              </w:rPr>
            </w:pPr>
            <w:r>
              <w:rPr>
                <w:rFonts w:ascii="Century Gothic" w:eastAsia="Times New Roman" w:hAnsi="Century Gothic"/>
                <w:sz w:val="18"/>
                <w:szCs w:val="18"/>
                <w:lang w:eastAsia="en-GB"/>
              </w:rPr>
              <w:t> </w:t>
            </w:r>
          </w:p>
          <w:tbl>
            <w:tblPr>
              <w:tblW w:w="0" w:type="auto"/>
              <w:tblCellSpacing w:w="0" w:type="dxa"/>
              <w:tblCellMar>
                <w:left w:w="0" w:type="dxa"/>
                <w:right w:w="0" w:type="dxa"/>
              </w:tblCellMar>
              <w:tblLook w:val="04A0" w:firstRow="1" w:lastRow="0" w:firstColumn="1" w:lastColumn="0" w:noHBand="0" w:noVBand="1"/>
            </w:tblPr>
            <w:tblGrid>
              <w:gridCol w:w="1575"/>
            </w:tblGrid>
            <w:tr w:rsidR="00502189">
              <w:trPr>
                <w:tblCellSpacing w:w="0" w:type="dxa"/>
              </w:trPr>
              <w:tc>
                <w:tcPr>
                  <w:tcW w:w="0" w:type="auto"/>
                  <w:vAlign w:val="center"/>
                  <w:hideMark/>
                </w:tcPr>
                <w:p w:rsidR="00502189" w:rsidRDefault="00502189">
                  <w:pPr>
                    <w:rPr>
                      <w:rFonts w:ascii="Times New Roman" w:eastAsia="Times New Roman" w:hAnsi="Times New Roman"/>
                      <w:sz w:val="24"/>
                      <w:szCs w:val="24"/>
                      <w:lang w:eastAsia="en-GB"/>
                    </w:rPr>
                  </w:pPr>
                  <w:r>
                    <w:rPr>
                      <w:rFonts w:ascii="Times New Roman" w:eastAsia="Times New Roman" w:hAnsi="Times New Roman"/>
                      <w:noProof/>
                      <w:sz w:val="24"/>
                      <w:szCs w:val="24"/>
                      <w:lang w:eastAsia="en-GB"/>
                    </w:rPr>
                    <w:drawing>
                      <wp:inline distT="0" distB="0" distL="0" distR="0">
                        <wp:extent cx="1047750" cy="809625"/>
                        <wp:effectExtent l="0" t="0" r="0" b="9525"/>
                        <wp:docPr id="9" name="Picture 9" descr="Pilgrim's Prid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grim's Pride UK"/>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47750" cy="809625"/>
                                </a:xfrm>
                                <a:prstGeom prst="rect">
                                  <a:avLst/>
                                </a:prstGeom>
                                <a:noFill/>
                                <a:ln>
                                  <a:noFill/>
                                </a:ln>
                              </pic:spPr>
                            </pic:pic>
                          </a:graphicData>
                        </a:graphic>
                      </wp:inline>
                    </w:drawing>
                  </w:r>
                </w:p>
              </w:tc>
            </w:tr>
          </w:tbl>
          <w:p w:rsidR="00502189" w:rsidRDefault="00502189">
            <w:pPr>
              <w:rPr>
                <w:rFonts w:ascii="Times New Roman" w:eastAsia="Times New Roman" w:hAnsi="Times New Roman"/>
                <w:sz w:val="20"/>
                <w:szCs w:val="20"/>
                <w:lang w:eastAsia="en-GB"/>
              </w:rPr>
            </w:pPr>
          </w:p>
        </w:tc>
        <w:tc>
          <w:tcPr>
            <w:tcW w:w="3703" w:type="dxa"/>
            <w:tcMar>
              <w:top w:w="0" w:type="dxa"/>
              <w:left w:w="108" w:type="dxa"/>
              <w:bottom w:w="0" w:type="dxa"/>
              <w:right w:w="108" w:type="dxa"/>
            </w:tcMar>
            <w:hideMark/>
          </w:tcPr>
          <w:p w:rsidR="00502189" w:rsidRDefault="00502189">
            <w:pPr>
              <w:rPr>
                <w:rFonts w:ascii="Century Gothic" w:eastAsia="Times New Roman" w:hAnsi="Century Gothic"/>
                <w:sz w:val="18"/>
                <w:szCs w:val="18"/>
                <w:lang w:eastAsia="en-GB"/>
              </w:rPr>
            </w:pPr>
            <w:r>
              <w:rPr>
                <w:rFonts w:ascii="Century Gothic" w:eastAsia="Times New Roman" w:hAnsi="Century Gothic"/>
                <w:b/>
                <w:bCs/>
                <w:sz w:val="24"/>
                <w:szCs w:val="24"/>
                <w:lang w:eastAsia="en-GB"/>
              </w:rPr>
              <w:t>Eleanor Jackson</w:t>
            </w:r>
          </w:p>
          <w:tbl>
            <w:tblPr>
              <w:tblW w:w="0" w:type="auto"/>
              <w:tblCellSpacing w:w="0" w:type="dxa"/>
              <w:tblCellMar>
                <w:left w:w="0" w:type="dxa"/>
                <w:right w:w="0" w:type="dxa"/>
              </w:tblCellMar>
              <w:tblLook w:val="04A0" w:firstRow="1" w:lastRow="0" w:firstColumn="1" w:lastColumn="0" w:noHBand="0" w:noVBand="1"/>
            </w:tblPr>
            <w:tblGrid>
              <w:gridCol w:w="3292"/>
            </w:tblGrid>
            <w:tr w:rsidR="00502189">
              <w:trPr>
                <w:tblCellSpacing w:w="0" w:type="dxa"/>
              </w:trPr>
              <w:tc>
                <w:tcPr>
                  <w:tcW w:w="0" w:type="auto"/>
                  <w:vAlign w:val="center"/>
                  <w:hideMark/>
                </w:tcPr>
                <w:p w:rsidR="00502189" w:rsidRDefault="00502189">
                  <w:pPr>
                    <w:rPr>
                      <w:rFonts w:ascii="Times New Roman" w:eastAsia="Times New Roman" w:hAnsi="Times New Roman"/>
                      <w:sz w:val="24"/>
                      <w:szCs w:val="24"/>
                      <w:lang w:eastAsia="en-GB"/>
                    </w:rPr>
                  </w:pPr>
                  <w:r>
                    <w:rPr>
                      <w:rFonts w:ascii="Times New Roman" w:eastAsia="Times New Roman" w:hAnsi="Times New Roman"/>
                      <w:noProof/>
                      <w:sz w:val="24"/>
                      <w:szCs w:val="24"/>
                      <w:lang w:eastAsia="en-GB"/>
                    </w:rPr>
                    <w:drawing>
                      <wp:inline distT="0" distB="0" distL="0" distR="0">
                        <wp:extent cx="2181225" cy="19050"/>
                        <wp:effectExtent l="0" t="0" r="9525" b="0"/>
                        <wp:docPr id="8" name="Picture 8" descr="cid:121011115583500519@uk-mta-117.uk.mimecast.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21011115583500519@uk-mta-117.uk.mimecast.la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81225" cy="19050"/>
                                </a:xfrm>
                                <a:prstGeom prst="rect">
                                  <a:avLst/>
                                </a:prstGeom>
                                <a:noFill/>
                                <a:ln>
                                  <a:noFill/>
                                </a:ln>
                              </pic:spPr>
                            </pic:pic>
                          </a:graphicData>
                        </a:graphic>
                      </wp:inline>
                    </w:drawing>
                  </w:r>
                </w:p>
              </w:tc>
            </w:tr>
          </w:tbl>
          <w:p w:rsidR="00502189" w:rsidRDefault="00502189">
            <w:pPr>
              <w:rPr>
                <w:rFonts w:ascii="Times New Roman" w:eastAsia="Times New Roman" w:hAnsi="Times New Roman"/>
                <w:sz w:val="24"/>
                <w:szCs w:val="24"/>
                <w:lang w:eastAsia="en-GB"/>
              </w:rPr>
            </w:pPr>
            <w:r>
              <w:rPr>
                <w:rFonts w:ascii="Century Gothic" w:eastAsia="Times New Roman" w:hAnsi="Century Gothic"/>
                <w:sz w:val="20"/>
                <w:szCs w:val="20"/>
                <w:lang w:eastAsia="en-GB"/>
              </w:rPr>
              <w:t>Supply Chain Development Coordinator</w:t>
            </w:r>
            <w:r>
              <w:rPr>
                <w:rFonts w:ascii="Times New Roman" w:eastAsia="Times New Roman" w:hAnsi="Times New Roman"/>
                <w:sz w:val="24"/>
                <w:szCs w:val="24"/>
                <w:lang w:eastAsia="en-GB"/>
              </w:rPr>
              <w:br/>
            </w:r>
            <w:r>
              <w:rPr>
                <w:rFonts w:ascii="Century Gothic" w:eastAsia="Times New Roman" w:hAnsi="Century Gothic"/>
                <w:sz w:val="20"/>
                <w:szCs w:val="20"/>
                <w:lang w:eastAsia="en-GB"/>
              </w:rPr>
              <w:t>Pilgrim's Pride Ltd.</w:t>
            </w:r>
            <w:r>
              <w:rPr>
                <w:rFonts w:ascii="Times New Roman" w:eastAsia="Times New Roman" w:hAnsi="Times New Roman"/>
                <w:sz w:val="24"/>
                <w:szCs w:val="24"/>
                <w:lang w:eastAsia="en-GB"/>
              </w:rPr>
              <w:br/>
            </w:r>
            <w:hyperlink r:id="rId9" w:history="1">
              <w:r>
                <w:rPr>
                  <w:rStyle w:val="Hyperlink"/>
                  <w:rFonts w:ascii="Century Gothic" w:eastAsia="Times New Roman" w:hAnsi="Century Gothic"/>
                  <w:sz w:val="18"/>
                  <w:szCs w:val="18"/>
                  <w:lang w:eastAsia="en-GB"/>
                </w:rPr>
                <w:t>eleanor.jackson@pilgrimsuk.com</w:t>
              </w:r>
            </w:hyperlink>
          </w:p>
        </w:tc>
        <w:tc>
          <w:tcPr>
            <w:tcW w:w="261" w:type="dxa"/>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57"/>
            </w:tblGrid>
            <w:tr w:rsidR="00502189">
              <w:trPr>
                <w:tblCellSpacing w:w="0" w:type="dxa"/>
              </w:trPr>
              <w:tc>
                <w:tcPr>
                  <w:tcW w:w="0" w:type="auto"/>
                  <w:vAlign w:val="center"/>
                  <w:hideMark/>
                </w:tcPr>
                <w:p w:rsidR="00502189" w:rsidRDefault="00502189">
                  <w:pPr>
                    <w:rPr>
                      <w:rFonts w:ascii="Times New Roman" w:eastAsia="Times New Roman" w:hAnsi="Times New Roman"/>
                      <w:sz w:val="24"/>
                      <w:szCs w:val="24"/>
                      <w:lang w:eastAsia="en-GB"/>
                    </w:rPr>
                  </w:pPr>
                  <w:r>
                    <w:rPr>
                      <w:rFonts w:ascii="Times New Roman" w:eastAsia="Times New Roman" w:hAnsi="Times New Roman"/>
                      <w:noProof/>
                      <w:sz w:val="24"/>
                      <w:szCs w:val="24"/>
                      <w:lang w:eastAsia="en-GB"/>
                    </w:rPr>
                    <w:drawing>
                      <wp:inline distT="0" distB="0" distL="0" distR="0">
                        <wp:extent cx="28575" cy="809625"/>
                        <wp:effectExtent l="0" t="0" r="9525" b="9525"/>
                        <wp:docPr id="7" name="Picture 7" descr="cid:121011115583500319@uk-mta-117.uk.mimecast.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21011115583500319@uk-mta-117.uk.mimecast.la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575" cy="809625"/>
                                </a:xfrm>
                                <a:prstGeom prst="rect">
                                  <a:avLst/>
                                </a:prstGeom>
                                <a:noFill/>
                                <a:ln>
                                  <a:noFill/>
                                </a:ln>
                              </pic:spPr>
                            </pic:pic>
                          </a:graphicData>
                        </a:graphic>
                      </wp:inline>
                    </w:drawing>
                  </w:r>
                </w:p>
              </w:tc>
            </w:tr>
          </w:tbl>
          <w:p w:rsidR="00502189" w:rsidRDefault="00502189">
            <w:pPr>
              <w:rPr>
                <w:rFonts w:ascii="Times New Roman" w:eastAsia="Times New Roman" w:hAnsi="Times New Roman"/>
                <w:sz w:val="20"/>
                <w:szCs w:val="20"/>
                <w:lang w:eastAsia="en-GB"/>
              </w:rPr>
            </w:pPr>
          </w:p>
        </w:tc>
        <w:tc>
          <w:tcPr>
            <w:tcW w:w="5000" w:type="pct"/>
            <w:noWrap/>
            <w:tcMar>
              <w:top w:w="0" w:type="dxa"/>
              <w:left w:w="108" w:type="dxa"/>
              <w:bottom w:w="0" w:type="dxa"/>
              <w:right w:w="108" w:type="dxa"/>
            </w:tcMar>
            <w:hideMark/>
          </w:tcPr>
          <w:p w:rsidR="00502189" w:rsidRDefault="00502189">
            <w:pPr>
              <w:rPr>
                <w:rFonts w:ascii="Times New Roman" w:eastAsia="Times New Roman" w:hAnsi="Times New Roman"/>
                <w:sz w:val="24"/>
                <w:szCs w:val="24"/>
                <w:lang w:eastAsia="en-GB"/>
              </w:rPr>
            </w:pPr>
            <w:r>
              <w:rPr>
                <w:rFonts w:ascii="Times New Roman" w:eastAsia="Times New Roman" w:hAnsi="Times New Roman"/>
                <w:sz w:val="24"/>
                <w:szCs w:val="24"/>
                <w:lang w:eastAsia="en-GB"/>
              </w:rPr>
              <w:br/>
            </w:r>
            <w:r>
              <w:rPr>
                <w:rFonts w:ascii="Times New Roman" w:eastAsia="Times New Roman" w:hAnsi="Times New Roman"/>
                <w:sz w:val="24"/>
                <w:szCs w:val="24"/>
                <w:lang w:eastAsia="en-GB"/>
              </w:rPr>
              <w:br/>
            </w:r>
            <w:hyperlink r:id="rId12" w:tgtFrame="_blank" w:history="1">
              <w:r>
                <w:rPr>
                  <w:rStyle w:val="Hyperlink"/>
                  <w:rFonts w:ascii="Century Gothic" w:eastAsia="Times New Roman" w:hAnsi="Century Gothic"/>
                  <w:sz w:val="18"/>
                  <w:szCs w:val="18"/>
                  <w:lang w:eastAsia="en-GB"/>
                </w:rPr>
                <w:t>www.pilgrimsuk.com</w:t>
              </w:r>
            </w:hyperlink>
            <w:r>
              <w:rPr>
                <w:rFonts w:ascii="Times New Roman" w:eastAsia="Times New Roman" w:hAnsi="Times New Roman"/>
                <w:sz w:val="24"/>
                <w:szCs w:val="24"/>
                <w:lang w:eastAsia="en-GB"/>
              </w:rPr>
              <w:br/>
            </w:r>
            <w:r>
              <w:rPr>
                <w:rFonts w:ascii="Century Gothic" w:eastAsia="Times New Roman" w:hAnsi="Century Gothic"/>
                <w:sz w:val="18"/>
                <w:szCs w:val="18"/>
                <w:lang w:eastAsia="en-GB"/>
              </w:rPr>
              <w:t>Stradbroke Business Centre, New Street</w:t>
            </w:r>
            <w:r>
              <w:rPr>
                <w:rFonts w:ascii="Times New Roman" w:eastAsia="Times New Roman" w:hAnsi="Times New Roman"/>
                <w:sz w:val="24"/>
                <w:szCs w:val="24"/>
                <w:lang w:eastAsia="en-GB"/>
              </w:rPr>
              <w:br/>
            </w:r>
            <w:r>
              <w:rPr>
                <w:rFonts w:ascii="Century Gothic" w:eastAsia="Times New Roman" w:hAnsi="Century Gothic"/>
                <w:sz w:val="18"/>
                <w:szCs w:val="18"/>
                <w:lang w:eastAsia="en-GB"/>
              </w:rPr>
              <w:t>Stradbroke Suffolk  IP21 5JJ</w:t>
            </w:r>
            <w:r>
              <w:rPr>
                <w:rFonts w:ascii="Times New Roman" w:eastAsia="Times New Roman" w:hAnsi="Times New Roman"/>
                <w:sz w:val="24"/>
                <w:szCs w:val="24"/>
                <w:lang w:eastAsia="en-GB"/>
              </w:rPr>
              <w:t xml:space="preserve"> </w:t>
            </w:r>
          </w:p>
        </w:tc>
      </w:tr>
      <w:tr w:rsidR="00502189" w:rsidTr="00502189">
        <w:tc>
          <w:tcPr>
            <w:tcW w:w="7821" w:type="dxa"/>
            <w:gridSpan w:val="4"/>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8700"/>
            </w:tblGrid>
            <w:tr w:rsidR="00502189">
              <w:trPr>
                <w:tblCellSpacing w:w="0" w:type="dxa"/>
              </w:trPr>
              <w:tc>
                <w:tcPr>
                  <w:tcW w:w="0" w:type="auto"/>
                  <w:vAlign w:val="center"/>
                  <w:hideMark/>
                </w:tcPr>
                <w:p w:rsidR="00502189" w:rsidRDefault="00502189">
                  <w:pPr>
                    <w:rPr>
                      <w:rFonts w:ascii="Times New Roman" w:eastAsia="Times New Roman" w:hAnsi="Times New Roman"/>
                      <w:sz w:val="24"/>
                      <w:szCs w:val="24"/>
                      <w:lang w:eastAsia="en-GB"/>
                    </w:rPr>
                  </w:pPr>
                  <w:r>
                    <w:rPr>
                      <w:rFonts w:ascii="Times New Roman" w:eastAsia="Times New Roman" w:hAnsi="Times New Roman"/>
                      <w:noProof/>
                      <w:sz w:val="24"/>
                      <w:szCs w:val="24"/>
                      <w:lang w:eastAsia="en-GB"/>
                    </w:rPr>
                    <w:drawing>
                      <wp:inline distT="0" distB="0" distL="0" distR="0">
                        <wp:extent cx="5524500" cy="371475"/>
                        <wp:effectExtent l="0" t="0" r="0" b="9525"/>
                        <wp:docPr id="6" name="Picture 6" descr="Pilgrim's Pride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lgrim's Pride Value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524500" cy="371475"/>
                                </a:xfrm>
                                <a:prstGeom prst="rect">
                                  <a:avLst/>
                                </a:prstGeom>
                                <a:noFill/>
                                <a:ln>
                                  <a:noFill/>
                                </a:ln>
                              </pic:spPr>
                            </pic:pic>
                          </a:graphicData>
                        </a:graphic>
                      </wp:inline>
                    </w:drawing>
                  </w:r>
                </w:p>
              </w:tc>
            </w:tr>
          </w:tbl>
          <w:p w:rsidR="00502189" w:rsidRDefault="00502189">
            <w:pPr>
              <w:rPr>
                <w:rFonts w:ascii="Times New Roman" w:eastAsia="Times New Roman" w:hAnsi="Times New Roman"/>
                <w:sz w:val="20"/>
                <w:szCs w:val="20"/>
                <w:lang w:eastAsia="en-GB"/>
              </w:rPr>
            </w:pPr>
          </w:p>
        </w:tc>
      </w:tr>
    </w:tbl>
    <w:p w:rsidR="00502189" w:rsidRDefault="00502189" w:rsidP="00502189">
      <w:pPr>
        <w:rPr>
          <w:rFonts w:ascii="Times New Roman" w:eastAsia="Times New Roman" w:hAnsi="Times New Roman"/>
          <w:sz w:val="24"/>
          <w:szCs w:val="24"/>
          <w:lang w:eastAsia="en-GB"/>
        </w:rPr>
      </w:pPr>
    </w:p>
    <w:p w:rsidR="00502189" w:rsidRDefault="00502189" w:rsidP="00502189">
      <w:pPr>
        <w:outlineLvl w:val="0"/>
      </w:pPr>
      <w:r>
        <w:rPr>
          <w:lang w:val="en-US" w:eastAsia="en-GB"/>
        </w:rPr>
        <w:br/>
      </w:r>
      <w:r>
        <w:rPr>
          <w:b/>
          <w:bCs/>
          <w:lang w:val="en-US" w:eastAsia="en-GB"/>
        </w:rPr>
        <w:t>Subject:</w:t>
      </w:r>
      <w:r>
        <w:rPr>
          <w:lang w:val="en-US" w:eastAsia="en-GB"/>
        </w:rPr>
        <w:t xml:space="preserve"> EPR/QP3537JT/A001 Cobbs Farm not duly made request for further information</w:t>
      </w:r>
    </w:p>
    <w:p w:rsidR="00502189" w:rsidRDefault="00502189" w:rsidP="00502189">
      <w:r>
        <w:t> </w:t>
      </w:r>
    </w:p>
    <w:p w:rsidR="00502189" w:rsidRDefault="00502189" w:rsidP="00502189">
      <w:pPr>
        <w:pStyle w:val="NormalWeb"/>
      </w:pPr>
      <w:r>
        <w:rPr>
          <w:rFonts w:ascii="Helvetica" w:hAnsi="Helvetica" w:cs="Helvetica"/>
          <w:b/>
          <w:bCs/>
          <w:color w:val="CE1126"/>
          <w:sz w:val="18"/>
          <w:szCs w:val="18"/>
        </w:rPr>
        <w:t xml:space="preserve">[EXTERNAL EMAIL] </w:t>
      </w:r>
    </w:p>
    <w:p w:rsidR="00502189" w:rsidRDefault="00502189" w:rsidP="00502189">
      <w:r>
        <w:rPr>
          <w:rFonts w:ascii="Helvetica" w:hAnsi="Helvetica" w:cs="Helvetica"/>
          <w:color w:val="000000"/>
          <w:sz w:val="18"/>
          <w:szCs w:val="18"/>
          <w:lang w:eastAsia="en-GB"/>
        </w:rPr>
        <w:t> </w:t>
      </w:r>
    </w:p>
    <w:p w:rsidR="00502189" w:rsidRDefault="00502189" w:rsidP="00502189">
      <w:pPr>
        <w:jc w:val="center"/>
        <w:rPr>
          <w:rFonts w:eastAsia="Times New Roman"/>
          <w:lang w:eastAsia="en-GB"/>
        </w:rPr>
      </w:pPr>
      <w:r>
        <w:rPr>
          <w:rFonts w:eastAsia="Times New Roman"/>
          <w:lang w:eastAsia="en-GB"/>
        </w:rPr>
        <w:pict>
          <v:rect id="_x0000_i1025" style="width:451.3pt;height:.75pt" o:hralign="center" o:hrstd="t" o:hr="t" fillcolor="#a0a0a0" stroked="f"/>
        </w:pict>
      </w:r>
    </w:p>
    <w:p w:rsidR="00502189" w:rsidRDefault="00502189" w:rsidP="00502189">
      <w:r>
        <w:t>Dear Ellie,</w:t>
      </w:r>
    </w:p>
    <w:p w:rsidR="00502189" w:rsidRDefault="00502189" w:rsidP="00502189">
      <w:r>
        <w:t> </w:t>
      </w:r>
    </w:p>
    <w:p w:rsidR="00502189" w:rsidRDefault="00502189" w:rsidP="00502189">
      <w:r>
        <w:t>I have now taken an initial look at the application and supporting documents and require the following information and fees before I can duly make the application:</w:t>
      </w:r>
    </w:p>
    <w:p w:rsidR="00502189" w:rsidRDefault="00502189" w:rsidP="00502189">
      <w:r>
        <w:t> </w:t>
      </w:r>
    </w:p>
    <w:p w:rsidR="00502189" w:rsidRDefault="00502189" w:rsidP="00502189">
      <w:pPr>
        <w:numPr>
          <w:ilvl w:val="0"/>
          <w:numId w:val="1"/>
        </w:numPr>
        <w:spacing w:before="60" w:after="60"/>
        <w:ind w:right="85"/>
        <w:rPr>
          <w:rFonts w:eastAsia="Times New Roman"/>
          <w:color w:val="FF0000"/>
        </w:rPr>
      </w:pPr>
      <w:r>
        <w:rPr>
          <w:rFonts w:ascii="Arial" w:eastAsia="Times New Roman" w:hAnsi="Arial" w:cs="Arial"/>
          <w:b/>
          <w:bCs/>
          <w:sz w:val="20"/>
          <w:szCs w:val="20"/>
        </w:rPr>
        <w:t>Installation boundary</w:t>
      </w:r>
      <w:r>
        <w:rPr>
          <w:rFonts w:ascii="Arial" w:eastAsia="Times New Roman" w:hAnsi="Arial" w:cs="Arial"/>
          <w:sz w:val="20"/>
          <w:szCs w:val="20"/>
        </w:rPr>
        <w:t xml:space="preserve"> – you have provided a plan which shows the installation boundary (drawn in green) around the pig housing. It also shows the location of the diesel fuel store and chemical store to the south of the installation boundary. If these are used mainly for the installation they should be included in the boundary by drawing a green boundary line around each part. I have drafted a revised plan including these as part of the installation. Please confirm this is correct and re-submit as part of your response to this request for further information, or submit a revised plan showing the exact boundaries of these stores. Please also confirm we will have the permission of the owner to reproduce this plan in the permit if granted, as it has copyright protection.</w:t>
      </w:r>
      <w:r>
        <w:rPr>
          <w:rFonts w:eastAsia="Times New Roman"/>
          <w:color w:val="000000"/>
          <w:sz w:val="24"/>
          <w:szCs w:val="24"/>
          <w:lang w:eastAsia="en-GB"/>
        </w:rPr>
        <w:t xml:space="preserve"> </w:t>
      </w:r>
      <w:r>
        <w:rPr>
          <w:rFonts w:ascii="Arial" w:eastAsia="Times New Roman" w:hAnsi="Arial" w:cs="Arial"/>
          <w:color w:val="FF0000"/>
          <w:sz w:val="20"/>
          <w:szCs w:val="20"/>
        </w:rPr>
        <w:t xml:space="preserve">The pig unit would probably account for a maximum of 5% of diesel use and a similar proportion of space in the chemical/ vet meds store, so yes will include in the site plan. The revised plan is correct and yes permission granted from Owner. </w:t>
      </w:r>
    </w:p>
    <w:p w:rsidR="00502189" w:rsidRDefault="00502189" w:rsidP="00502189">
      <w:pPr>
        <w:spacing w:before="60" w:after="60"/>
        <w:ind w:right="85"/>
      </w:pPr>
      <w:r>
        <w:rPr>
          <w:rFonts w:ascii="Arial" w:hAnsi="Arial" w:cs="Arial"/>
          <w:sz w:val="20"/>
          <w:szCs w:val="20"/>
        </w:rPr>
        <w:t> </w:t>
      </w:r>
    </w:p>
    <w:p w:rsidR="00502189" w:rsidRDefault="00502189" w:rsidP="00502189">
      <w:pPr>
        <w:numPr>
          <w:ilvl w:val="0"/>
          <w:numId w:val="1"/>
        </w:numPr>
        <w:spacing w:before="60" w:after="60"/>
        <w:ind w:right="85"/>
        <w:rPr>
          <w:rFonts w:eastAsia="Times New Roman"/>
          <w:color w:val="FF0000"/>
        </w:rPr>
      </w:pPr>
      <w:r>
        <w:rPr>
          <w:rFonts w:eastAsia="Times New Roman"/>
          <w:b/>
          <w:bCs/>
        </w:rPr>
        <w:t xml:space="preserve">Dust and </w:t>
      </w:r>
      <w:proofErr w:type="spellStart"/>
      <w:r>
        <w:rPr>
          <w:rFonts w:eastAsia="Times New Roman"/>
          <w:b/>
          <w:bCs/>
        </w:rPr>
        <w:t>bioaerosol</w:t>
      </w:r>
      <w:proofErr w:type="spellEnd"/>
      <w:r>
        <w:rPr>
          <w:rFonts w:eastAsia="Times New Roman"/>
          <w:b/>
          <w:bCs/>
        </w:rPr>
        <w:t xml:space="preserve"> management plan (DBMP)</w:t>
      </w:r>
      <w:r>
        <w:rPr>
          <w:rFonts w:eastAsia="Times New Roman"/>
        </w:rPr>
        <w:t xml:space="preserve"> –  there appears to be at least one sensitive receptors within 100m of the installation boundary (Cobbs Farm house, measured from the assumed property boundary to the installation boundary) therefore you are required to submit a dust and </w:t>
      </w:r>
      <w:proofErr w:type="spellStart"/>
      <w:r>
        <w:rPr>
          <w:rFonts w:eastAsia="Times New Roman"/>
        </w:rPr>
        <w:t>bioaerosol</w:t>
      </w:r>
      <w:proofErr w:type="spellEnd"/>
      <w:r>
        <w:rPr>
          <w:rFonts w:eastAsia="Times New Roman"/>
        </w:rPr>
        <w:t xml:space="preserve"> management plan (and an associated fee for assessing it, see point 3 below).</w:t>
      </w:r>
      <w:r>
        <w:rPr>
          <w:rFonts w:ascii="Arial" w:eastAsia="Times New Roman" w:hAnsi="Arial" w:cs="Arial"/>
          <w:sz w:val="20"/>
          <w:szCs w:val="20"/>
        </w:rPr>
        <w:t xml:space="preserve"> This </w:t>
      </w:r>
      <w:r>
        <w:rPr>
          <w:rFonts w:ascii="Arial" w:eastAsia="Times New Roman" w:hAnsi="Arial" w:cs="Arial"/>
          <w:b/>
          <w:bCs/>
          <w:sz w:val="20"/>
          <w:szCs w:val="20"/>
        </w:rPr>
        <w:t>includes</w:t>
      </w:r>
      <w:r>
        <w:rPr>
          <w:rFonts w:ascii="Arial" w:eastAsia="Times New Roman" w:hAnsi="Arial" w:cs="Arial"/>
          <w:sz w:val="20"/>
          <w:szCs w:val="20"/>
        </w:rPr>
        <w:t xml:space="preserve"> properties inhabited by people associated with the installation. You should follow the guidance via the link: </w:t>
      </w:r>
      <w:r>
        <w:rPr>
          <w:rFonts w:ascii="Arial" w:eastAsia="Times New Roman" w:hAnsi="Arial" w:cs="Arial"/>
          <w:color w:val="FF0000"/>
          <w:sz w:val="20"/>
          <w:szCs w:val="20"/>
        </w:rPr>
        <w:t xml:space="preserve">Please find attached Cobbs Farm </w:t>
      </w:r>
      <w:proofErr w:type="spellStart"/>
      <w:r>
        <w:rPr>
          <w:rFonts w:ascii="Arial" w:eastAsia="Times New Roman" w:hAnsi="Arial" w:cs="Arial"/>
          <w:color w:val="FF0000"/>
          <w:sz w:val="20"/>
          <w:szCs w:val="20"/>
        </w:rPr>
        <w:t>Bioaerosol</w:t>
      </w:r>
      <w:proofErr w:type="spellEnd"/>
      <w:r>
        <w:rPr>
          <w:rFonts w:ascii="Arial" w:eastAsia="Times New Roman" w:hAnsi="Arial" w:cs="Arial"/>
          <w:color w:val="FF0000"/>
          <w:sz w:val="20"/>
          <w:szCs w:val="20"/>
        </w:rPr>
        <w:t xml:space="preserve"> and Dust management plan.</w:t>
      </w:r>
    </w:p>
    <w:p w:rsidR="00502189" w:rsidRDefault="00502189" w:rsidP="00502189">
      <w:pPr>
        <w:ind w:left="720"/>
      </w:pPr>
      <w:hyperlink r:id="rId15" w:history="1">
        <w:r>
          <w:rPr>
            <w:rStyle w:val="Hyperlink"/>
            <w:rFonts w:ascii="Arial" w:hAnsi="Arial" w:cs="Arial"/>
            <w:sz w:val="20"/>
            <w:szCs w:val="20"/>
          </w:rPr>
          <w:t>https://www.gov.uk/guidance/intensive-farming-risk-assessment-for-your-environmental-permit#air-emissions-dust-and-bioaerosols</w:t>
        </w:r>
      </w:hyperlink>
    </w:p>
    <w:p w:rsidR="00502189" w:rsidRDefault="00502189" w:rsidP="00502189">
      <w:r>
        <w:t> </w:t>
      </w:r>
    </w:p>
    <w:p w:rsidR="00502189" w:rsidRDefault="00502189" w:rsidP="00502189">
      <w:pPr>
        <w:numPr>
          <w:ilvl w:val="0"/>
          <w:numId w:val="1"/>
        </w:numPr>
        <w:rPr>
          <w:rFonts w:eastAsia="Times New Roman"/>
        </w:rPr>
      </w:pPr>
      <w:r>
        <w:rPr>
          <w:rFonts w:eastAsia="Times New Roman"/>
          <w:b/>
          <w:bCs/>
        </w:rPr>
        <w:t>Application fees</w:t>
      </w:r>
      <w:r>
        <w:rPr>
          <w:rFonts w:eastAsia="Times New Roman"/>
        </w:rPr>
        <w:t xml:space="preserve"> – you have paid £8,640 which is the fee for a new bespoke application (£8,020) plus an additional fee of £620 which I assume is for the ammonia modelling assessment. However, as there are European habitat sites within 5km, you also need to pay £779 for assessing these (and this will include our consultation with Natural England) and a fee for assessing the DBMP requested in point 2 above. </w:t>
      </w:r>
    </w:p>
    <w:p w:rsidR="00502189" w:rsidRDefault="00502189" w:rsidP="00502189">
      <w:pPr>
        <w:pStyle w:val="ListParagraph"/>
      </w:pPr>
      <w:r>
        <w:t>To summarise, please pay the additional payment required of £1,399 (£779 + £620). Please refer to the application form for details on how to pay the additional amount.</w:t>
      </w:r>
      <w:r>
        <w:rPr>
          <w:color w:val="FF0000"/>
        </w:rPr>
        <w:t xml:space="preserve"> TBC</w:t>
      </w:r>
    </w:p>
    <w:p w:rsidR="00502189" w:rsidRDefault="00502189" w:rsidP="00502189">
      <w:pPr>
        <w:pStyle w:val="ListParagraph"/>
      </w:pPr>
      <w:r>
        <w:t xml:space="preserve">For further information please see table 1.19 of the ‘Tables of Charges’ charging scheme at the link: </w:t>
      </w:r>
    </w:p>
    <w:p w:rsidR="00502189" w:rsidRDefault="00502189" w:rsidP="00502189">
      <w:pPr>
        <w:pStyle w:val="ListParagraph"/>
      </w:pPr>
      <w:hyperlink r:id="rId16" w:history="1">
        <w:r>
          <w:rPr>
            <w:rStyle w:val="Hyperlink"/>
          </w:rPr>
          <w:t>https://www.gov.uk/government/publications/environmental-permitting-charging-scheme-2019</w:t>
        </w:r>
      </w:hyperlink>
    </w:p>
    <w:p w:rsidR="00502189" w:rsidRDefault="00502189" w:rsidP="00502189">
      <w:pPr>
        <w:pStyle w:val="ListParagraph"/>
      </w:pPr>
      <w:r>
        <w:t> </w:t>
      </w:r>
    </w:p>
    <w:p w:rsidR="00502189" w:rsidRDefault="00502189" w:rsidP="00502189">
      <w:r>
        <w:t>In addition to the above, I have some further points that are not required at this stage for duly making but may save some time during determination if you can provide the information now:</w:t>
      </w:r>
    </w:p>
    <w:p w:rsidR="00502189" w:rsidRDefault="00502189" w:rsidP="00502189">
      <w:r>
        <w:t> </w:t>
      </w:r>
    </w:p>
    <w:p w:rsidR="00502189" w:rsidRDefault="00502189" w:rsidP="00502189">
      <w:pPr>
        <w:numPr>
          <w:ilvl w:val="0"/>
          <w:numId w:val="1"/>
        </w:numPr>
        <w:spacing w:line="252" w:lineRule="auto"/>
        <w:rPr>
          <w:rFonts w:eastAsia="Times New Roman"/>
        </w:rPr>
      </w:pPr>
      <w:r>
        <w:rPr>
          <w:rFonts w:eastAsia="Times New Roman"/>
          <w:b/>
          <w:bCs/>
        </w:rPr>
        <w:t>BAT compliance</w:t>
      </w:r>
    </w:p>
    <w:p w:rsidR="00502189" w:rsidRDefault="00502189" w:rsidP="00502189">
      <w:pPr>
        <w:spacing w:before="60" w:after="60"/>
        <w:ind w:left="720" w:right="85"/>
      </w:pPr>
      <w:r>
        <w:t xml:space="preserve">You must demonstrate how you will comply with the new Best Available Techniques (BAT) Reference Document (BREF) for the Intensive Rearing of Poultry or Pigs (IRPP), published on the 21st February 2017 for all existing animal housing and facilities linked to the installation, by 21/02/21. The BAT Conclusions document sets out the standards that permitted farms will have to meet and can be found via the following link: </w:t>
      </w:r>
      <w:hyperlink r:id="rId17" w:history="1">
        <w:r>
          <w:rPr>
            <w:rStyle w:val="Hyperlink"/>
          </w:rPr>
          <w:t>http://eippcb.jrc.ec.europa.eu/reference/irpp.html</w:t>
        </w:r>
      </w:hyperlink>
      <w:r>
        <w:t xml:space="preserve"> . You have confirmed in the ‘BAT Conclusions – Cobbs Farm’ document that the farm will be run according to the new BAT. Can you please specifically confirm the </w:t>
      </w:r>
      <w:proofErr w:type="gramStart"/>
      <w:r>
        <w:t>following:</w:t>
      </w:r>
      <w:proofErr w:type="gramEnd"/>
    </w:p>
    <w:p w:rsidR="00502189" w:rsidRDefault="00502189" w:rsidP="00502189">
      <w:pPr>
        <w:spacing w:line="252" w:lineRule="auto"/>
        <w:ind w:left="720"/>
      </w:pPr>
      <w:r>
        <w:t> </w:t>
      </w:r>
    </w:p>
    <w:p w:rsidR="00502189" w:rsidRDefault="00502189" w:rsidP="00502189">
      <w:pPr>
        <w:numPr>
          <w:ilvl w:val="1"/>
          <w:numId w:val="2"/>
        </w:numPr>
        <w:spacing w:line="252" w:lineRule="auto"/>
        <w:rPr>
          <w:rFonts w:eastAsia="Times New Roman"/>
        </w:rPr>
      </w:pPr>
      <w:r>
        <w:rPr>
          <w:rFonts w:eastAsia="Times New Roman"/>
        </w:rPr>
        <w:t>BAT conclusion 25:</w:t>
      </w:r>
    </w:p>
    <w:p w:rsidR="00502189" w:rsidRDefault="00502189" w:rsidP="00502189">
      <w:pPr>
        <w:spacing w:line="252" w:lineRule="auto"/>
        <w:ind w:left="1440"/>
      </w:pPr>
      <w:r>
        <w:t xml:space="preserve">This describes 3 techniques for monitoring ammonia emissions and allows for emission levels to be demonstrated through the use of emission factors. Please confirm the applicant will use emission factors to demonstrate this or specify which alternative method the applicant will utilise. </w:t>
      </w:r>
      <w:r>
        <w:rPr>
          <w:color w:val="FF0000"/>
        </w:rPr>
        <w:t>The Applicant will use emission factors</w:t>
      </w:r>
    </w:p>
    <w:p w:rsidR="00502189" w:rsidRDefault="00502189" w:rsidP="00502189">
      <w:pPr>
        <w:spacing w:line="252" w:lineRule="auto"/>
        <w:ind w:left="720"/>
      </w:pPr>
      <w:r>
        <w:t> </w:t>
      </w:r>
    </w:p>
    <w:p w:rsidR="00502189" w:rsidRDefault="00502189" w:rsidP="00502189">
      <w:pPr>
        <w:numPr>
          <w:ilvl w:val="1"/>
          <w:numId w:val="2"/>
        </w:numPr>
        <w:spacing w:line="252" w:lineRule="auto"/>
        <w:rPr>
          <w:rFonts w:eastAsia="Times New Roman"/>
        </w:rPr>
      </w:pPr>
      <w:r>
        <w:rPr>
          <w:rFonts w:eastAsia="Times New Roman"/>
        </w:rPr>
        <w:t>BAT conclusion 27:</w:t>
      </w:r>
    </w:p>
    <w:p w:rsidR="00502189" w:rsidRDefault="00502189" w:rsidP="00502189">
      <w:pPr>
        <w:spacing w:line="252" w:lineRule="auto"/>
        <w:ind w:left="1440"/>
      </w:pPr>
      <w:r>
        <w:t xml:space="preserve">This describes 2 techniques for monitoring dust emissions and allows for emission levels to be demonstrated through the use of emission factors. Please confirm the applicant will use emission factors to demonstrate this or specify which alternative method the applicant will utilise. </w:t>
      </w:r>
      <w:r>
        <w:rPr>
          <w:color w:val="FF0000"/>
        </w:rPr>
        <w:t>The applicant will use emission factors</w:t>
      </w:r>
    </w:p>
    <w:p w:rsidR="00502189" w:rsidRDefault="00502189" w:rsidP="00502189">
      <w:pPr>
        <w:pStyle w:val="ListParagraph"/>
      </w:pPr>
      <w:r>
        <w:rPr>
          <w:color w:val="FF0000"/>
        </w:rPr>
        <w:t> </w:t>
      </w:r>
    </w:p>
    <w:p w:rsidR="00502189" w:rsidRDefault="00502189" w:rsidP="00502189">
      <w:pPr>
        <w:numPr>
          <w:ilvl w:val="0"/>
          <w:numId w:val="1"/>
        </w:numPr>
        <w:rPr>
          <w:rFonts w:eastAsia="Times New Roman"/>
          <w:color w:val="FF0000"/>
        </w:rPr>
      </w:pPr>
      <w:r>
        <w:rPr>
          <w:rFonts w:eastAsia="Times New Roman"/>
          <w:b/>
          <w:bCs/>
        </w:rPr>
        <w:t>Ventilation</w:t>
      </w:r>
      <w:r>
        <w:rPr>
          <w:rFonts w:eastAsia="Times New Roman"/>
        </w:rPr>
        <w:t xml:space="preserve"> – it has been stated that the pig housing has natural ventilation. Please provide further information regarding where the outlets are – e.g.  </w:t>
      </w:r>
      <w:proofErr w:type="gramStart"/>
      <w:r>
        <w:rPr>
          <w:rFonts w:eastAsia="Times New Roman"/>
        </w:rPr>
        <w:t>outlets</w:t>
      </w:r>
      <w:proofErr w:type="gramEnd"/>
      <w:r>
        <w:rPr>
          <w:rFonts w:eastAsia="Times New Roman"/>
        </w:rPr>
        <w:t xml:space="preserve"> on the roofs, sides and/or gable ends of the buildings? </w:t>
      </w:r>
      <w:r>
        <w:rPr>
          <w:rFonts w:eastAsia="Times New Roman"/>
          <w:i/>
          <w:iCs/>
        </w:rPr>
        <w:t>This will also affect whether any lightly contaminated drainage needs interception before draining to surface water (see site drainage question below).</w:t>
      </w:r>
      <w:r>
        <w:rPr>
          <w:rFonts w:eastAsia="Times New Roman"/>
          <w:color w:val="000000"/>
          <w:sz w:val="24"/>
          <w:szCs w:val="24"/>
          <w:lang w:eastAsia="en-GB"/>
        </w:rPr>
        <w:t xml:space="preserve"> </w:t>
      </w:r>
      <w:r>
        <w:rPr>
          <w:rFonts w:eastAsia="Times New Roman"/>
          <w:color w:val="FF0000"/>
        </w:rPr>
        <w:t>The building has natural ventilation. This is provided by an open sided design which has plastic curtains which automatically adjust the size of the opening according to a pre-set temperature. Please see attached photo, they are shown fully closed as we are currently washing out. There are no fans, hence no fan outlets. </w:t>
      </w:r>
    </w:p>
    <w:p w:rsidR="00502189" w:rsidRDefault="00502189" w:rsidP="00502189">
      <w:pPr>
        <w:ind w:left="360"/>
      </w:pPr>
      <w:r>
        <w:rPr>
          <w:i/>
          <w:iCs/>
        </w:rPr>
        <w:t> </w:t>
      </w:r>
    </w:p>
    <w:p w:rsidR="00502189" w:rsidRDefault="00502189" w:rsidP="00502189">
      <w:pPr>
        <w:pStyle w:val="ListParagraph"/>
      </w:pPr>
      <w:r>
        <w:rPr>
          <w:i/>
          <w:iCs/>
        </w:rPr>
        <w:t> </w:t>
      </w:r>
    </w:p>
    <w:p w:rsidR="00502189" w:rsidRDefault="00502189" w:rsidP="00502189">
      <w:pPr>
        <w:numPr>
          <w:ilvl w:val="0"/>
          <w:numId w:val="1"/>
        </w:numPr>
        <w:rPr>
          <w:rFonts w:eastAsia="Times New Roman"/>
        </w:rPr>
      </w:pPr>
      <w:r>
        <w:rPr>
          <w:rFonts w:eastAsia="Times New Roman"/>
          <w:b/>
          <w:bCs/>
        </w:rPr>
        <w:t>Site drainage</w:t>
      </w:r>
      <w:r>
        <w:rPr>
          <w:rFonts w:eastAsia="Times New Roman"/>
        </w:rPr>
        <w:t xml:space="preserve">  </w:t>
      </w:r>
    </w:p>
    <w:p w:rsidR="00502189" w:rsidRDefault="00502189" w:rsidP="00502189">
      <w:r>
        <w:lastRenderedPageBreak/>
        <w:t> </w:t>
      </w:r>
    </w:p>
    <w:p w:rsidR="00502189" w:rsidRDefault="00502189" w:rsidP="00502189">
      <w:pPr>
        <w:numPr>
          <w:ilvl w:val="0"/>
          <w:numId w:val="3"/>
        </w:numPr>
        <w:rPr>
          <w:rFonts w:eastAsia="Times New Roman"/>
          <w:color w:val="FF0000"/>
        </w:rPr>
      </w:pPr>
      <w:r>
        <w:rPr>
          <w:rFonts w:eastAsia="Times New Roman"/>
        </w:rPr>
        <w:t xml:space="preserve">Dirty water - in the technical standards, manure management planning section, it states dirty water is stored in underground tanks, and in the fugitive emissions section, it states that drainage from housing and water from cleaning out is collected in the earth banked dirty water storage lagoons marked on the site plans. Can you please confirm the latter is </w:t>
      </w:r>
      <w:proofErr w:type="gramStart"/>
      <w:r>
        <w:rPr>
          <w:rFonts w:eastAsia="Times New Roman"/>
        </w:rPr>
        <w:t>incorrect.</w:t>
      </w:r>
      <w:proofErr w:type="gramEnd"/>
      <w:r>
        <w:rPr>
          <w:rFonts w:eastAsia="Times New Roman"/>
        </w:rPr>
        <w:t xml:space="preserve"> </w:t>
      </w:r>
      <w:r>
        <w:rPr>
          <w:rFonts w:eastAsia="Times New Roman"/>
          <w:color w:val="FF0000"/>
        </w:rPr>
        <w:t>Yes all dirty water is stored in underground tanks, please find attached amended technical standards.</w:t>
      </w:r>
    </w:p>
    <w:p w:rsidR="00502189" w:rsidRDefault="00502189" w:rsidP="00502189">
      <w:pPr>
        <w:numPr>
          <w:ilvl w:val="0"/>
          <w:numId w:val="3"/>
        </w:numPr>
        <w:rPr>
          <w:rFonts w:eastAsia="Times New Roman"/>
          <w:color w:val="FF0000"/>
        </w:rPr>
      </w:pPr>
      <w:r>
        <w:rPr>
          <w:rFonts w:eastAsia="Times New Roman"/>
        </w:rPr>
        <w:t xml:space="preserve">Roof and clean yard surface water – in the site drainage plan there appears to be drainage directed to a surface water ditch to the west of the installation (blue dashed lines with arrows). Please provide more details for what this drainage consists of, whether it is piped, drains in gullies or via French drains (which may also act as soakaways and mitigation of any lightly contaminated roof or yard water prior to discharge to surface water) and where the surface water ultimately drains to (e.g. a named river). </w:t>
      </w:r>
      <w:r>
        <w:rPr>
          <w:rFonts w:eastAsia="Times New Roman"/>
          <w:i/>
          <w:iCs/>
        </w:rPr>
        <w:t xml:space="preserve">Please note if there are roof outlets, then roof water will need mitigation before discharge to surface water, and similarly with any potentially lightly contaminated yard water (from side/gable end ventilation outlets). This excludes any contaminated water from mucking out, clean out </w:t>
      </w:r>
      <w:proofErr w:type="spellStart"/>
      <w:r>
        <w:rPr>
          <w:rFonts w:eastAsia="Times New Roman"/>
          <w:i/>
          <w:iCs/>
        </w:rPr>
        <w:t>etc</w:t>
      </w:r>
      <w:proofErr w:type="spellEnd"/>
      <w:r>
        <w:rPr>
          <w:rFonts w:eastAsia="Times New Roman"/>
          <w:i/>
          <w:iCs/>
        </w:rPr>
        <w:t xml:space="preserve"> which must drain to the dirty water collection tanks</w:t>
      </w:r>
      <w:r>
        <w:rPr>
          <w:rFonts w:eastAsia="Times New Roman"/>
          <w:color w:val="FF0000"/>
        </w:rPr>
        <w:t xml:space="preserve">. The clean water drainage is piped from the rooves of the buildings to the ditch as shown on the site plan. The water from the clean end of the yard (feed bin end), drains via gullies with silt traps and is then piped to the ditch. The yard is arranged so that the clean end falls away from the buildings to avoid surface water entering the dirty area. The rest of the yard (buildings and muck pads) falls the other way so all water is intercepted by the dirty water tanks. </w:t>
      </w:r>
      <w:r>
        <w:rPr>
          <w:rFonts w:eastAsia="Times New Roman"/>
          <w:i/>
          <w:iCs/>
          <w:color w:val="FF0000"/>
        </w:rPr>
        <w:t xml:space="preserve">The ditch which the clean surface water enters ultimately ends at the </w:t>
      </w:r>
      <w:proofErr w:type="spellStart"/>
      <w:r>
        <w:rPr>
          <w:rFonts w:eastAsia="Times New Roman"/>
          <w:i/>
          <w:iCs/>
          <w:color w:val="FF0000"/>
        </w:rPr>
        <w:t>Delf</w:t>
      </w:r>
      <w:proofErr w:type="spellEnd"/>
      <w:r>
        <w:rPr>
          <w:rFonts w:eastAsia="Times New Roman"/>
          <w:i/>
          <w:iCs/>
          <w:color w:val="FF0000"/>
        </w:rPr>
        <w:t xml:space="preserve"> ditch adjacent to the </w:t>
      </w:r>
      <w:proofErr w:type="spellStart"/>
      <w:r>
        <w:rPr>
          <w:rFonts w:eastAsia="Times New Roman"/>
          <w:i/>
          <w:iCs/>
          <w:color w:val="FF0000"/>
        </w:rPr>
        <w:t>blackwater</w:t>
      </w:r>
      <w:proofErr w:type="spellEnd"/>
      <w:r>
        <w:rPr>
          <w:rFonts w:eastAsia="Times New Roman"/>
          <w:i/>
          <w:iCs/>
          <w:color w:val="FF0000"/>
        </w:rPr>
        <w:t xml:space="preserve"> estuary approximately 3/4 of a mile to the south of the site. This water then enters the estuary via a sluice when the tide is out.</w:t>
      </w:r>
    </w:p>
    <w:p w:rsidR="00502189" w:rsidRDefault="00502189" w:rsidP="00502189">
      <w:pPr>
        <w:pStyle w:val="ListParagraph"/>
      </w:pPr>
      <w:r>
        <w:t> </w:t>
      </w:r>
    </w:p>
    <w:p w:rsidR="00502189" w:rsidRDefault="00502189" w:rsidP="00502189">
      <w:pPr>
        <w:numPr>
          <w:ilvl w:val="0"/>
          <w:numId w:val="1"/>
        </w:numPr>
        <w:rPr>
          <w:rFonts w:eastAsia="Times New Roman"/>
          <w:color w:val="FF0000"/>
        </w:rPr>
      </w:pPr>
      <w:r>
        <w:rPr>
          <w:rFonts w:eastAsia="Times New Roman"/>
          <w:b/>
          <w:bCs/>
        </w:rPr>
        <w:t xml:space="preserve">Chemical storage – </w:t>
      </w:r>
      <w:r>
        <w:rPr>
          <w:rFonts w:eastAsia="Times New Roman"/>
        </w:rPr>
        <w:t>please confirm that</w:t>
      </w:r>
      <w:r>
        <w:rPr>
          <w:rFonts w:eastAsia="Times New Roman"/>
          <w:b/>
          <w:bCs/>
        </w:rPr>
        <w:t xml:space="preserve"> </w:t>
      </w:r>
      <w:r>
        <w:rPr>
          <w:rFonts w:eastAsia="Times New Roman"/>
        </w:rPr>
        <w:t>the store containing pesticides and veterinary medicines is capable of retaining spillage, resistant to fire, frost-free and secure.</w:t>
      </w:r>
      <w:r>
        <w:rPr>
          <w:rFonts w:eastAsia="Times New Roman"/>
          <w:color w:val="000000"/>
          <w:sz w:val="24"/>
          <w:szCs w:val="24"/>
          <w:lang w:eastAsia="en-GB"/>
        </w:rPr>
        <w:t xml:space="preserve"> </w:t>
      </w:r>
      <w:r>
        <w:rPr>
          <w:rFonts w:eastAsia="Times New Roman"/>
          <w:color w:val="FF0000"/>
        </w:rPr>
        <w:t xml:space="preserve">The chemical store/ medicine store meets the requirements requested and is inspected annually for our Red tractor audits for </w:t>
      </w:r>
      <w:proofErr w:type="gramStart"/>
      <w:r>
        <w:rPr>
          <w:rFonts w:eastAsia="Times New Roman"/>
          <w:color w:val="FF0000"/>
        </w:rPr>
        <w:t>Pigs ,</w:t>
      </w:r>
      <w:proofErr w:type="gramEnd"/>
      <w:r>
        <w:rPr>
          <w:rFonts w:eastAsia="Times New Roman"/>
          <w:color w:val="FF0000"/>
        </w:rPr>
        <w:t xml:space="preserve"> combinable crops, fresh produce. It is also inspected annually as a condition of our membership of freedom foods</w:t>
      </w:r>
    </w:p>
    <w:p w:rsidR="00502189" w:rsidRDefault="00502189" w:rsidP="00502189">
      <w:pPr>
        <w:pStyle w:val="ListParagraph"/>
      </w:pPr>
      <w:r>
        <w:rPr>
          <w:b/>
          <w:bCs/>
        </w:rPr>
        <w:t> </w:t>
      </w:r>
    </w:p>
    <w:p w:rsidR="00502189" w:rsidRDefault="00502189" w:rsidP="00502189">
      <w:pPr>
        <w:numPr>
          <w:ilvl w:val="0"/>
          <w:numId w:val="1"/>
        </w:numPr>
        <w:rPr>
          <w:rFonts w:eastAsia="Times New Roman"/>
          <w:color w:val="FF0000"/>
        </w:rPr>
      </w:pPr>
      <w:r>
        <w:rPr>
          <w:rFonts w:eastAsia="Times New Roman"/>
          <w:b/>
          <w:bCs/>
        </w:rPr>
        <w:t xml:space="preserve">Fuel store – </w:t>
      </w:r>
      <w:r>
        <w:rPr>
          <w:rFonts w:eastAsia="Times New Roman"/>
        </w:rPr>
        <w:t xml:space="preserve">please confirm that the store is </w:t>
      </w:r>
      <w:proofErr w:type="spellStart"/>
      <w:r>
        <w:rPr>
          <w:rFonts w:eastAsia="Times New Roman"/>
        </w:rPr>
        <w:t>bunded</w:t>
      </w:r>
      <w:proofErr w:type="spellEnd"/>
      <w:r>
        <w:rPr>
          <w:rFonts w:eastAsia="Times New Roman"/>
        </w:rPr>
        <w:t xml:space="preserve">, capable of retaining any spillage and the </w:t>
      </w:r>
      <w:r>
        <w:rPr>
          <w:rFonts w:eastAsia="Times New Roman"/>
          <w:color w:val="000000"/>
          <w:sz w:val="23"/>
          <w:szCs w:val="23"/>
        </w:rPr>
        <w:t xml:space="preserve">bunds meet the requirements of the Water Resources (Control of Pollution) (Silage, Slurry and Agricultural Fuel Oil) Regulations 2010 (SSAFO Regulations) and meet the requirements outlined in SGN EPR6.09 ‘How to comply with your environmental permit for intensive farming’ at </w:t>
      </w:r>
      <w:hyperlink r:id="rId18" w:history="1">
        <w:r>
          <w:rPr>
            <w:rStyle w:val="Hyperlink"/>
            <w:rFonts w:eastAsia="Times New Roman"/>
            <w:sz w:val="23"/>
            <w:szCs w:val="23"/>
          </w:rPr>
          <w:t>https://www.gov.uk/government/publications/intensive-farming-introduction-and-chapters</w:t>
        </w:r>
      </w:hyperlink>
      <w:r>
        <w:rPr>
          <w:rFonts w:eastAsia="Times New Roman"/>
          <w:sz w:val="23"/>
          <w:szCs w:val="23"/>
        </w:rPr>
        <w:t xml:space="preserve">. </w:t>
      </w:r>
      <w:r>
        <w:rPr>
          <w:rFonts w:eastAsia="Times New Roman"/>
          <w:color w:val="FF0000"/>
          <w:sz w:val="23"/>
          <w:szCs w:val="23"/>
        </w:rPr>
        <w:t>The fuel store meets the requested requirements and is inspected annually as per the chemical store.</w:t>
      </w:r>
    </w:p>
    <w:p w:rsidR="00502189" w:rsidRDefault="00502189" w:rsidP="00502189">
      <w:pPr>
        <w:pStyle w:val="ListParagraph"/>
      </w:pPr>
      <w:r>
        <w:rPr>
          <w:b/>
          <w:bCs/>
        </w:rPr>
        <w:t> </w:t>
      </w:r>
    </w:p>
    <w:p w:rsidR="00502189" w:rsidRDefault="00502189" w:rsidP="00502189">
      <w:r>
        <w:t>Please note, only basic checks have been made of the ammonia modelling report, and it appears that only half of the 466 tonnes of manure (maximum amount stored on site at any one time) has been included in the modelling (see table 5.1b on page 19). We will carry out a full audit of the modelling once the application has been duly made and take account of this underestimate in sensitivity checks, which may affect the overall conclusion when we complete the detailed assessment. Furthermore, we will need to consult with Natural England with our conclusions for the ammonia assessment and they may wish us to carry out a further detailed appropriate assessment during the determination of the application. If you wish to complete and submit revised modelling at this stage, please include this in your response to this request for further information ( a revised report and revised modelling files).</w:t>
      </w:r>
      <w:r>
        <w:rPr>
          <w:color w:val="FF0000"/>
        </w:rPr>
        <w:t xml:space="preserve">Please find attached revised report and modelling files. This was a </w:t>
      </w:r>
      <w:r>
        <w:rPr>
          <w:color w:val="FF0000"/>
        </w:rPr>
        <w:lastRenderedPageBreak/>
        <w:t xml:space="preserve">mistake by the modellers, which is now corrected </w:t>
      </w:r>
      <w:proofErr w:type="gramStart"/>
      <w:r>
        <w:rPr>
          <w:color w:val="FF0000"/>
        </w:rPr>
        <w:t>however ,</w:t>
      </w:r>
      <w:proofErr w:type="gramEnd"/>
      <w:r>
        <w:rPr>
          <w:color w:val="FF0000"/>
        </w:rPr>
        <w:t xml:space="preserve"> there is still no exceedance of the relevant thresholds. Therefore based on the detailed modelling undertaken, no significant effects are predicted at the nature conservation sites.</w:t>
      </w:r>
    </w:p>
    <w:p w:rsidR="00502189" w:rsidRDefault="00502189" w:rsidP="00502189">
      <w:r>
        <w:rPr>
          <w:color w:val="FF0000"/>
        </w:rPr>
        <w:t> </w:t>
      </w:r>
    </w:p>
    <w:p w:rsidR="00502189" w:rsidRDefault="00502189" w:rsidP="00502189">
      <w:r>
        <w:t> </w:t>
      </w:r>
    </w:p>
    <w:p w:rsidR="00502189" w:rsidRDefault="00502189" w:rsidP="00502189">
      <w:r>
        <w:t>Can I please ask that you submit, as a minimum, the information and fees requested in points 1 – 3 by Wednesday 6th January 2021 (allowing 10 working days), or let me know if you need more time due to the Christmas holiday period. I will be on leave next week, but working on 29</w:t>
      </w:r>
      <w:r>
        <w:rPr>
          <w:vertAlign w:val="superscript"/>
        </w:rPr>
        <w:t xml:space="preserve">th </w:t>
      </w:r>
      <w:r>
        <w:t>and 30</w:t>
      </w:r>
      <w:r>
        <w:rPr>
          <w:vertAlign w:val="superscript"/>
        </w:rPr>
        <w:t>th</w:t>
      </w:r>
      <w:r>
        <w:t xml:space="preserve"> December 2020 the week after (and back fully on Monday 4</w:t>
      </w:r>
      <w:r>
        <w:rPr>
          <w:vertAlign w:val="superscript"/>
        </w:rPr>
        <w:t>th</w:t>
      </w:r>
      <w:r>
        <w:t xml:space="preserve"> January 2021) if you need to discuss any of the above issues further.</w:t>
      </w:r>
    </w:p>
    <w:p w:rsidR="00502189" w:rsidRDefault="00502189" w:rsidP="00502189">
      <w:r>
        <w:t> </w:t>
      </w:r>
    </w:p>
    <w:p w:rsidR="00502189" w:rsidRDefault="00502189" w:rsidP="00502189">
      <w:r>
        <w:t>Best wishes for a very happy Christmas and New Year.</w:t>
      </w:r>
    </w:p>
    <w:p w:rsidR="00502189" w:rsidRDefault="00502189" w:rsidP="00502189">
      <w:r>
        <w:t> </w:t>
      </w:r>
    </w:p>
    <w:p w:rsidR="00502189" w:rsidRDefault="00502189" w:rsidP="00502189">
      <w:r>
        <w:t>Kind regards,</w:t>
      </w:r>
    </w:p>
    <w:p w:rsidR="00502189" w:rsidRDefault="00502189" w:rsidP="00502189">
      <w:r>
        <w:t>Kate</w:t>
      </w:r>
    </w:p>
    <w:p w:rsidR="00502189" w:rsidRDefault="00502189" w:rsidP="00502189">
      <w:r>
        <w:t> </w:t>
      </w:r>
    </w:p>
    <w:p w:rsidR="00502189" w:rsidRDefault="00502189" w:rsidP="00502189">
      <w:r>
        <w:rPr>
          <w:rFonts w:ascii="Arial" w:hAnsi="Arial" w:cs="Arial"/>
          <w:b/>
          <w:bCs/>
          <w:color w:val="002B54"/>
          <w:sz w:val="20"/>
          <w:szCs w:val="20"/>
          <w:lang w:eastAsia="en-GB"/>
        </w:rPr>
        <w:t>Kate Cummins</w:t>
      </w:r>
      <w:r>
        <w:rPr>
          <w:rFonts w:ascii="Arial" w:hAnsi="Arial" w:cs="Arial"/>
          <w:color w:val="1F497D"/>
          <w:sz w:val="20"/>
          <w:szCs w:val="20"/>
          <w:lang w:eastAsia="en-GB"/>
        </w:rPr>
        <w:br/>
      </w:r>
    </w:p>
    <w:p w:rsidR="00502189" w:rsidRDefault="00502189" w:rsidP="00502189">
      <w:r>
        <w:rPr>
          <w:rFonts w:ascii="Arial" w:hAnsi="Arial" w:cs="Arial"/>
          <w:color w:val="1F497D"/>
          <w:sz w:val="20"/>
          <w:szCs w:val="20"/>
          <w:lang w:eastAsia="en-GB"/>
        </w:rPr>
        <w:br/>
      </w:r>
      <w:r>
        <w:rPr>
          <w:b/>
          <w:bCs/>
          <w:color w:val="FF0000"/>
          <w:sz w:val="20"/>
          <w:szCs w:val="20"/>
          <w:lang w:eastAsia="en-GB"/>
        </w:rPr>
        <w:t xml:space="preserve">Help us to improve our service and complete our customer survey – click </w:t>
      </w:r>
      <w:hyperlink r:id="rId19" w:history="1">
        <w:r>
          <w:rPr>
            <w:rStyle w:val="Hyperlink"/>
            <w:b/>
            <w:bCs/>
            <w:color w:val="0000FF"/>
            <w:sz w:val="20"/>
            <w:szCs w:val="20"/>
            <w:lang w:eastAsia="en-GB"/>
          </w:rPr>
          <w:t>NPS Survey</w:t>
        </w:r>
      </w:hyperlink>
    </w:p>
    <w:p w:rsidR="00502189" w:rsidRDefault="00502189" w:rsidP="00502189">
      <w:pPr>
        <w:spacing w:after="240"/>
      </w:pPr>
      <w:r>
        <w:rPr>
          <w:color w:val="262626"/>
          <w:sz w:val="20"/>
          <w:szCs w:val="20"/>
          <w:lang w:val="en" w:eastAsia="en-GB"/>
        </w:rPr>
        <w:br/>
      </w:r>
      <w:r>
        <w:rPr>
          <w:noProof/>
          <w:color w:val="0000FF"/>
          <w:sz w:val="20"/>
          <w:szCs w:val="20"/>
          <w:lang w:eastAsia="en-GB"/>
        </w:rPr>
        <w:drawing>
          <wp:inline distT="0" distB="0" distL="0" distR="0">
            <wp:extent cx="361950" cy="361950"/>
            <wp:effectExtent l="0" t="0" r="0" b="0"/>
            <wp:docPr id="5" name="Picture 5" descr="03_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_twitt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noProof/>
          <w:color w:val="0000FF"/>
          <w:sz w:val="20"/>
          <w:szCs w:val="20"/>
          <w:lang w:eastAsia="en-GB"/>
        </w:rPr>
        <w:drawing>
          <wp:inline distT="0" distB="0" distL="0" distR="0">
            <wp:extent cx="361950" cy="361950"/>
            <wp:effectExtent l="0" t="0" r="0" b="0"/>
            <wp:docPr id="4" name="Picture 4" descr="01_faceboo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facebook"/>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noProof/>
          <w:color w:val="0000FF"/>
          <w:sz w:val="20"/>
          <w:szCs w:val="20"/>
          <w:lang w:eastAsia="en-GB"/>
        </w:rPr>
        <w:drawing>
          <wp:inline distT="0" distB="0" distL="0" distR="0">
            <wp:extent cx="361950" cy="361950"/>
            <wp:effectExtent l="0" t="0" r="0" b="0"/>
            <wp:docPr id="3" name="Picture 3" descr="02_youtub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_youtub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noProof/>
          <w:color w:val="0000FF"/>
          <w:sz w:val="20"/>
          <w:szCs w:val="20"/>
          <w:lang w:eastAsia="en-GB"/>
        </w:rPr>
        <w:drawing>
          <wp:inline distT="0" distB="0" distL="0" distR="0">
            <wp:extent cx="361950" cy="361950"/>
            <wp:effectExtent l="0" t="0" r="0" b="0"/>
            <wp:docPr id="2" name="Picture 2" descr="04_flick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_flick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noProof/>
          <w:color w:val="0000FF"/>
          <w:sz w:val="20"/>
          <w:szCs w:val="20"/>
          <w:lang w:eastAsia="en-GB"/>
        </w:rPr>
        <w:drawing>
          <wp:inline distT="0" distB="0" distL="0" distR="0">
            <wp:extent cx="361950" cy="361950"/>
            <wp:effectExtent l="0" t="0" r="0" b="0"/>
            <wp:docPr id="1" name="Picture 1" descr="05_linkedi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_linkedin"/>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502189" w:rsidRDefault="00502189" w:rsidP="00502189">
      <w:r>
        <w:t> </w:t>
      </w:r>
    </w:p>
    <w:p w:rsidR="00502189" w:rsidRDefault="00502189" w:rsidP="00502189">
      <w:r>
        <w:rPr>
          <w:lang w:eastAsia="en-GB"/>
        </w:rPr>
        <w:t xml:space="preserve">Information in this message may be confidential and may be legally privileged. If you have received this message by mistake, please notify the sender immediately, delete it and do not copy it to anyone else. We have checked this email and its attachments for viruses. But you should still check any attachment before opening it. We may have to make this message and any reply to it public if asked to under the Freedom of Information Act, Data Protection Act or for litigation. Email messages and attachments sent to or from any Environment Agency address may also be accessed by someone other than the sender or recipient, for business purposes. </w:t>
      </w:r>
    </w:p>
    <w:p w:rsidR="00502189" w:rsidRDefault="00502189" w:rsidP="00502189">
      <w:pPr>
        <w:rPr>
          <w:rFonts w:ascii="Times New Roman" w:eastAsia="Times New Roman" w:hAnsi="Times New Roman"/>
          <w:sz w:val="24"/>
          <w:szCs w:val="24"/>
          <w:lang w:eastAsia="en-GB"/>
        </w:rPr>
      </w:pPr>
    </w:p>
    <w:p w:rsidR="00502189" w:rsidRDefault="00502189" w:rsidP="00502189">
      <w:pPr>
        <w:pStyle w:val="NormalWeb"/>
        <w:rPr>
          <w:rFonts w:ascii="Arial" w:hAnsi="Arial" w:cs="Arial"/>
          <w:sz w:val="20"/>
          <w:szCs w:val="20"/>
        </w:rPr>
      </w:pPr>
      <w:r>
        <w:rPr>
          <w:rFonts w:ascii="Arial" w:hAnsi="Arial" w:cs="Arial"/>
          <w:sz w:val="16"/>
          <w:szCs w:val="16"/>
        </w:rPr>
        <w:br/>
        <w:t xml:space="preserve">This email and any files transmitted with it are confidential and intended solely for the use of the individual or entity to whom they are addressed. If you have received this email in error please notify the originator of the message. Please do not use, copy or disclose any information sent to you in error in any way nor act in reliance on it. Please delete the information from your system immediately. This footer also confirms that this email message has been scanned for the presence of Spam. Any views expressed in this message are those of the individual sender, except where the sender specifies and with authority, states them to be the views of Pilgrim’s Pride Ltd. Please note that Pilgrim’s Pride Ltd. monitors emails sent or received and further communication will signify your consent to this. Pilgrim’s Pride Ltd. is a company registered in England and Wales: Registered office: Seton House, Warwick Technology Park, Gallows Hill, </w:t>
      </w:r>
      <w:proofErr w:type="gramStart"/>
      <w:r>
        <w:rPr>
          <w:rFonts w:ascii="Arial" w:hAnsi="Arial" w:cs="Arial"/>
          <w:sz w:val="16"/>
          <w:szCs w:val="16"/>
        </w:rPr>
        <w:t>Warwick</w:t>
      </w:r>
      <w:proofErr w:type="gramEnd"/>
      <w:r>
        <w:rPr>
          <w:rFonts w:ascii="Arial" w:hAnsi="Arial" w:cs="Arial"/>
          <w:sz w:val="16"/>
          <w:szCs w:val="16"/>
        </w:rPr>
        <w:t>, CV34 6DA. Registered number: 608077.</w:t>
      </w:r>
    </w:p>
    <w:p w:rsidR="0023787D" w:rsidRDefault="0023787D">
      <w:bookmarkStart w:id="0" w:name="_GoBack"/>
      <w:bookmarkEnd w:id="0"/>
    </w:p>
    <w:sectPr w:rsidR="00237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E612C"/>
    <w:multiLevelType w:val="hybridMultilevel"/>
    <w:tmpl w:val="A57AD1F2"/>
    <w:lvl w:ilvl="0" w:tplc="F1C24F8A">
      <w:start w:val="1"/>
      <w:numFmt w:val="decimal"/>
      <w:lvlText w:val="%1."/>
      <w:lvlJc w:val="left"/>
      <w:pPr>
        <w:ind w:left="644"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C850774"/>
    <w:multiLevelType w:val="hybridMultilevel"/>
    <w:tmpl w:val="C71CFA86"/>
    <w:lvl w:ilvl="0" w:tplc="68724046">
      <w:start w:val="1"/>
      <w:numFmt w:val="lowerLetter"/>
      <w:lvlText w:val="%1)"/>
      <w:lvlJc w:val="left"/>
      <w:pPr>
        <w:ind w:left="1211" w:hanging="360"/>
      </w:pPr>
      <w:rPr>
        <w:color w:val="000000"/>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2" w15:restartNumberingAfterBreak="0">
    <w:nsid w:val="6F317A10"/>
    <w:multiLevelType w:val="hybridMultilevel"/>
    <w:tmpl w:val="C04213C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89"/>
    <w:rsid w:val="0023787D"/>
    <w:rsid w:val="00502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70D68-8A24-4850-995D-6C93D542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18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189"/>
    <w:rPr>
      <w:color w:val="0563C1"/>
      <w:u w:val="single"/>
    </w:rPr>
  </w:style>
  <w:style w:type="paragraph" w:styleId="NormalWeb">
    <w:name w:val="Normal (Web)"/>
    <w:basedOn w:val="Normal"/>
    <w:uiPriority w:val="99"/>
    <w:semiHidden/>
    <w:unhideWhenUsed/>
    <w:rsid w:val="00502189"/>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5021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6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21011115583500519@uk-mta-117.uk.mimecast.lan" TargetMode="External"/><Relationship Id="rId13" Type="http://schemas.openxmlformats.org/officeDocument/2006/relationships/image" Target="media/image4.png"/><Relationship Id="rId18" Type="http://schemas.openxmlformats.org/officeDocument/2006/relationships/hyperlink" Target="https://eur03.safelinks.protection.outlook.com/?url=https%3A%2F%2Fwww.gov.uk%2Fgovernment%2Fpublications%2Fintensive-farming-introduction-and-chapters&amp;data=04%7C01%7Ckate.cummins%40environment-agency.gov.uk%7Cc642434b2c4c4609d13808d8b649c3bc%7C770a245002274c6290c74e38537f1102%7C1%7C0%7C637459775837370924%7CUnknown%7CTWFpbGZsb3d8eyJWIjoiMC4wLjAwMDAiLCJQIjoiV2luMzIiLCJBTiI6Ik1haWwiLCJXVCI6Mn0%3D%7C1000&amp;sdata=f%2F5paHB5Pjkgqc4IrhrYqLQXpHIctO7LMUN%2BVn5LhSg%3D&amp;reserved=0" TargetMode="External"/><Relationship Id="rId26" Type="http://schemas.openxmlformats.org/officeDocument/2006/relationships/hyperlink" Target="https://eur03.safelinks.protection.outlook.com/?url=http%3A%2F%2Fwww.youtube.co.uk%2Fuser%2FEnvironmentAgencyTV&amp;data=04%7C01%7Ckate.cummins%40environment-agency.gov.uk%7Cc642434b2c4c4609d13808d8b649c3bc%7C770a245002274c6290c74e38537f1102%7C1%7C0%7C637459775837380871%7CUnknown%7CTWFpbGZsb3d8eyJWIjoiMC4wLjAwMDAiLCJQIjoiV2luMzIiLCJBTiI6Ik1haWwiLCJXVCI6Mn0%3D%7C1000&amp;sdata=wy2ImSCbzxaPjHwwbmDJMowWkqfuOkdGuHSh%2FkIXHxA%3D&amp;reserved=0" TargetMode="External"/><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image" Target="cid:image005.gif@01D6D851.F8716560" TargetMode="External"/><Relationship Id="rId7" Type="http://schemas.openxmlformats.org/officeDocument/2006/relationships/image" Target="media/image2.jpeg"/><Relationship Id="rId12" Type="http://schemas.openxmlformats.org/officeDocument/2006/relationships/hyperlink" Target="https://eur03.safelinks.protection.outlook.com/?url=http%3A%2F%2Fwww.pilgrimsuk.com%2F&amp;data=04%7C01%7Ckate.cummins%40environment-agency.gov.uk%7Cc642434b2c4c4609d13808d8b649c3bc%7C770a245002274c6290c74e38537f1102%7C1%7C0%7C637459775837351014%7CUnknown%7CTWFpbGZsb3d8eyJWIjoiMC4wLjAwMDAiLCJQIjoiV2luMzIiLCJBTiI6Ik1haWwiLCJXVCI6Mn0%3D%7C1000&amp;sdata=9sioNvnNUiF9%2B6bKD4HUzgTb9LHYIhzfgHh0CE%2BsvHw%3D&amp;reserved=0" TargetMode="External"/><Relationship Id="rId17" Type="http://schemas.openxmlformats.org/officeDocument/2006/relationships/hyperlink" Target="https://eur03.safelinks.protection.outlook.com/?url=http%3A%2F%2Feippcb.jrc.ec.europa.eu%2Freference%2Firpp.html&amp;data=04%7C01%7Ckate.cummins%40environment-agency.gov.uk%7Cc642434b2c4c4609d13808d8b649c3bc%7C770a245002274c6290c74e38537f1102%7C1%7C0%7C637459775837360967%7CUnknown%7CTWFpbGZsb3d8eyJWIjoiMC4wLjAwMDAiLCJQIjoiV2luMzIiLCJBTiI6Ik1haWwiLCJXVCI6Mn0%3D%7C1000&amp;sdata=itB0cfmE4LK7RNmHaJaOgDqYuGeC4qc9ASaPkMmcGD0%3D&amp;reserved=0" TargetMode="External"/><Relationship Id="rId25" Type="http://schemas.openxmlformats.org/officeDocument/2006/relationships/image" Target="cid:image002.gif@01D6D851.F8716560" TargetMode="External"/><Relationship Id="rId33" Type="http://schemas.openxmlformats.org/officeDocument/2006/relationships/image" Target="media/image9.gif"/><Relationship Id="rId2" Type="http://schemas.openxmlformats.org/officeDocument/2006/relationships/styles" Target="styles.xml"/><Relationship Id="rId16" Type="http://schemas.openxmlformats.org/officeDocument/2006/relationships/hyperlink" Target="https://eur03.safelinks.protection.outlook.com/?url=https%3A%2F%2Fwww.gov.uk%2Fgovernment%2Fpublications%2Fenvironmental-permitting-charging-scheme-2019&amp;data=04%7C01%7Ckate.cummins%40environment-agency.gov.uk%7Cc642434b2c4c4609d13808d8b649c3bc%7C770a245002274c6290c74e38537f1102%7C1%7C0%7C637459775837360967%7CUnknown%7CTWFpbGZsb3d8eyJWIjoiMC4wLjAwMDAiLCJQIjoiV2luMzIiLCJBTiI6Ik1haWwiLCJXVCI6Mn0%3D%7C1000&amp;sdata=d9ONSXPKKH8u%2BeJKWIuPXYFVl8g08%2BXtA62uK6cisYU%3D&amp;reserved=0" TargetMode="External"/><Relationship Id="rId20" Type="http://schemas.openxmlformats.org/officeDocument/2006/relationships/hyperlink" Target="https://eur03.safelinks.protection.outlook.com/?url=https%3A%2F%2Ftwitter.com%2Fenvagency&amp;data=04%7C01%7Ckate.cummins%40environment-agency.gov.uk%7Cc642434b2c4c4609d13808d8b649c3bc%7C770a245002274c6290c74e38537f1102%7C1%7C0%7C637459775837370924%7CUnknown%7CTWFpbGZsb3d8eyJWIjoiMC4wLjAwMDAiLCJQIjoiV2luMzIiLCJBTiI6Ik1haWwiLCJXVCI6Mn0%3D%7C1000&amp;sdata=jUdU2RUjMXhpBGjDiO7kn%2Bq5dz2b8vhBDmffXqsFDSg%3D&amp;reserved=0" TargetMode="External"/><Relationship Id="rId29" Type="http://schemas.openxmlformats.org/officeDocument/2006/relationships/hyperlink" Target="https://eur03.safelinks.protection.outlook.com/?url=https%3A%2F%2Fwww.flickr.com%2Fphotos%2Fenvironment-agency&amp;data=04%7C01%7Ckate.cummins%40environment-agency.gov.uk%7Cc642434b2c4c4609d13808d8b649c3bc%7C770a245002274c6290c74e38537f1102%7C1%7C0%7C637459775837380871%7CUnknown%7CTWFpbGZsb3d8eyJWIjoiMC4wLjAwMDAiLCJQIjoiV2luMzIiLCJBTiI6Ik1haWwiLCJXVCI6Mn0%3D%7C1000&amp;sdata=bdjs4FlGik5Rc%2BF%2FbtF3JeVEpAjaI03ovdyG3uYs3%2Bg%3D&amp;reserved=0" TargetMode="External"/><Relationship Id="rId1" Type="http://schemas.openxmlformats.org/officeDocument/2006/relationships/numbering" Target="numbering.xml"/><Relationship Id="rId6" Type="http://schemas.openxmlformats.org/officeDocument/2006/relationships/image" Target="cid:121011115583500419@uk-mta-117.uk.mimecast.lan" TargetMode="External"/><Relationship Id="rId11" Type="http://schemas.openxmlformats.org/officeDocument/2006/relationships/image" Target="cid:121011115583500319@uk-mta-117.uk.mimecast.lan" TargetMode="External"/><Relationship Id="rId24" Type="http://schemas.openxmlformats.org/officeDocument/2006/relationships/image" Target="media/image6.gif"/><Relationship Id="rId32" Type="http://schemas.openxmlformats.org/officeDocument/2006/relationships/hyperlink" Target="https://eur03.safelinks.protection.outlook.com/?url=https%3A%2F%2Fwww.linkedin.com%2Fcompany%2Fenvironment-agency&amp;data=04%7C01%7Ckate.cummins%40environment-agency.gov.uk%7Cc642434b2c4c4609d13808d8b649c3bc%7C770a245002274c6290c74e38537f1102%7C1%7C0%7C637459775837390837%7CUnknown%7CTWFpbGZsb3d8eyJWIjoiMC4wLjAwMDAiLCJQIjoiV2luMzIiLCJBTiI6Ik1haWwiLCJXVCI6Mn0%3D%7C1000&amp;sdata=VYDNiqzNEihWdZuhS57t6%2F8Zam02hZ7MJNWCK6GEZGM%3D&amp;reserved=0" TargetMode="External"/><Relationship Id="rId5" Type="http://schemas.openxmlformats.org/officeDocument/2006/relationships/image" Target="media/image1.jpeg"/><Relationship Id="rId15" Type="http://schemas.openxmlformats.org/officeDocument/2006/relationships/hyperlink" Target="https://eur03.safelinks.protection.outlook.com/?url=https%3A%2F%2Fwww.gov.uk%2Fguidance%2Fintensive-farming-risk-assessment-for-your-environmental-permit%23air-emissions-dust-and-bioaerosols&amp;data=04%7C01%7Ckate.cummins%40environment-agency.gov.uk%7Cc642434b2c4c4609d13808d8b649c3bc%7C770a245002274c6290c74e38537f1102%7C1%7C0%7C637459775837351014%7CUnknown%7CTWFpbGZsb3d8eyJWIjoiMC4wLjAwMDAiLCJQIjoiV2luMzIiLCJBTiI6Ik1haWwiLCJXVCI6Mn0%3D%7C1000&amp;sdata=ozd514qB5cb6UtqMJNMVpkpvhWolWaPwtUWI3RRbVEU%3D&amp;reserved=0" TargetMode="External"/><Relationship Id="rId23" Type="http://schemas.openxmlformats.org/officeDocument/2006/relationships/hyperlink" Target="https://eur03.safelinks.protection.outlook.com/?url=https%3A%2F%2Fwww.facebook.com%2Fenvironmentagency&amp;data=04%7C01%7Ckate.cummins%40environment-agency.gov.uk%7Cc642434b2c4c4609d13808d8b649c3bc%7C770a245002274c6290c74e38537f1102%7C1%7C0%7C637459775837380871%7CUnknown%7CTWFpbGZsb3d8eyJWIjoiMC4wLjAwMDAiLCJQIjoiV2luMzIiLCJBTiI6Ik1haWwiLCJXVCI6Mn0%3D%7C1000&amp;sdata=pAtl9Xwz2DeRT93TwleCB%2FOez2G6w3BU0hKWjIhd6rg%3D&amp;reserved=0" TargetMode="External"/><Relationship Id="rId28" Type="http://schemas.openxmlformats.org/officeDocument/2006/relationships/image" Target="cid:image003.gif@01D6D851.F8716560"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eur03.safelinks.protection.outlook.com/?url=http%3A%2F%2Fwww.smartsurvey.co.uk%2Fs%2FNPScustomer%2F&amp;data=04%7C01%7Ckate.cummins%40environment-agency.gov.uk%7Cc642434b2c4c4609d13808d8b649c3bc%7C770a245002274c6290c74e38537f1102%7C1%7C0%7C637459775837370924%7CUnknown%7CTWFpbGZsb3d8eyJWIjoiMC4wLjAwMDAiLCJQIjoiV2luMzIiLCJBTiI6Ik1haWwiLCJXVCI6Mn0%3D%7C1000&amp;sdata=aQjyBcRTOFvWp5chGX9fH0m%2FyYmMa6XL50kbVHzEFAg%3D&amp;reserved=0" TargetMode="External"/><Relationship Id="rId31" Type="http://schemas.openxmlformats.org/officeDocument/2006/relationships/image" Target="cid:image004.gif@01D6D851.F8716560" TargetMode="External"/><Relationship Id="rId4" Type="http://schemas.openxmlformats.org/officeDocument/2006/relationships/webSettings" Target="webSettings.xml"/><Relationship Id="rId9" Type="http://schemas.openxmlformats.org/officeDocument/2006/relationships/hyperlink" Target="mailto:eleanor.jackson@pilgrimsuk.com" TargetMode="External"/><Relationship Id="rId14" Type="http://schemas.openxmlformats.org/officeDocument/2006/relationships/image" Target="cid:121011115583500619@uk-mta-117.uk.mimecast.lan" TargetMode="External"/><Relationship Id="rId22" Type="http://schemas.openxmlformats.org/officeDocument/2006/relationships/image" Target="cid:image001.gif@01D6D851.F8716560" TargetMode="External"/><Relationship Id="rId27" Type="http://schemas.openxmlformats.org/officeDocument/2006/relationships/image" Target="media/image7.gif"/><Relationship Id="rId30" Type="http://schemas.openxmlformats.org/officeDocument/2006/relationships/image" Target="media/image8.gi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Newett, Liz</dc:creator>
  <cp:keywords/>
  <dc:description/>
  <cp:lastModifiedBy>Newett, Liz</cp:lastModifiedBy>
  <cp:revision>1</cp:revision>
  <dcterms:created xsi:type="dcterms:W3CDTF">2021-01-29T08:46:00Z</dcterms:created>
  <dcterms:modified xsi:type="dcterms:W3CDTF">2021-01-29T08:47:00Z</dcterms:modified>
</cp:coreProperties>
</file>