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6484" w14:textId="185A63BF" w:rsidR="002D6623" w:rsidRPr="005B465F" w:rsidRDefault="002D6623" w:rsidP="007C6E45">
      <w:pPr>
        <w:rPr>
          <w:color w:val="auto"/>
        </w:rPr>
      </w:pPr>
      <w:r w:rsidRPr="005B465F">
        <w:rPr>
          <w:color w:val="auto"/>
        </w:rPr>
        <w:t xml:space="preserve">We </w:t>
      </w:r>
      <w:r w:rsidR="00DF1C4A" w:rsidRPr="005B465F">
        <w:rPr>
          <w:color w:val="auto"/>
        </w:rPr>
        <w:t xml:space="preserve">are minded </w:t>
      </w:r>
      <w:proofErr w:type="gramStart"/>
      <w:r w:rsidR="00DF1C4A" w:rsidRPr="005B465F">
        <w:rPr>
          <w:color w:val="auto"/>
        </w:rPr>
        <w:t>to issue</w:t>
      </w:r>
      <w:proofErr w:type="gramEnd"/>
      <w:r w:rsidR="00DF1C4A" w:rsidRPr="005B465F">
        <w:rPr>
          <w:color w:val="auto"/>
        </w:rPr>
        <w:t xml:space="preserve"> </w:t>
      </w:r>
      <w:r w:rsidRPr="005B465F">
        <w:rPr>
          <w:color w:val="auto"/>
        </w:rPr>
        <w:t>the variation for</w:t>
      </w:r>
      <w:r w:rsidR="00B444B1" w:rsidRPr="005B465F">
        <w:rPr>
          <w:color w:val="auto"/>
        </w:rPr>
        <w:t xml:space="preserve"> </w:t>
      </w:r>
      <w:r w:rsidR="00DF1C4A" w:rsidRPr="005B465F">
        <w:rPr>
          <w:color w:val="auto"/>
        </w:rPr>
        <w:t xml:space="preserve">Stanlow Manufacturing Complex </w:t>
      </w:r>
      <w:r w:rsidRPr="005B465F">
        <w:rPr>
          <w:color w:val="auto"/>
        </w:rPr>
        <w:t>operated</w:t>
      </w:r>
      <w:r w:rsidR="00B444B1" w:rsidRPr="005B465F">
        <w:rPr>
          <w:color w:val="auto"/>
        </w:rPr>
        <w:t xml:space="preserve"> by </w:t>
      </w:r>
      <w:r w:rsidR="00DF1C4A" w:rsidRPr="005B465F">
        <w:rPr>
          <w:color w:val="auto"/>
        </w:rPr>
        <w:t>Essar Oil (UK) Limited</w:t>
      </w:r>
      <w:r w:rsidRPr="005B465F">
        <w:rPr>
          <w:color w:val="auto"/>
        </w:rPr>
        <w:t>.</w:t>
      </w:r>
    </w:p>
    <w:p w14:paraId="6EA35A6D" w14:textId="02C65958" w:rsidR="002D6623" w:rsidRPr="005B465F" w:rsidRDefault="002D6623" w:rsidP="007C6E45">
      <w:pPr>
        <w:rPr>
          <w:color w:val="auto"/>
        </w:rPr>
      </w:pPr>
      <w:r w:rsidRPr="005B465F">
        <w:rPr>
          <w:color w:val="auto"/>
        </w:rPr>
        <w:t>The variation number is</w:t>
      </w:r>
      <w:r w:rsidR="00B444B1" w:rsidRPr="005B465F">
        <w:rPr>
          <w:color w:val="auto"/>
        </w:rPr>
        <w:t xml:space="preserve"> </w:t>
      </w:r>
      <w:r w:rsidR="00DF1C4A" w:rsidRPr="005B465F">
        <w:rPr>
          <w:color w:val="auto"/>
        </w:rPr>
        <w:t>EPR/FP3139FN/V017</w:t>
      </w:r>
    </w:p>
    <w:p w14:paraId="5A09130F" w14:textId="77777777" w:rsidR="0021245A" w:rsidRPr="005B465F" w:rsidRDefault="0021245A" w:rsidP="007C6E45">
      <w:pPr>
        <w:rPr>
          <w:color w:val="auto"/>
        </w:rPr>
      </w:pPr>
      <w:r w:rsidRPr="005B465F">
        <w:rPr>
          <w:color w:val="auto"/>
        </w:rPr>
        <w:t>This is a draft decision document, which accompanies a draft permit.   </w:t>
      </w:r>
    </w:p>
    <w:p w14:paraId="43AA0F5E" w14:textId="614B0C34" w:rsidR="0021245A" w:rsidRPr="005B465F" w:rsidRDefault="00A9274F" w:rsidP="007C6E45">
      <w:pPr>
        <w:rPr>
          <w:color w:val="auto"/>
        </w:rPr>
      </w:pPr>
      <w:r w:rsidRPr="005B465F">
        <w:rPr>
          <w:color w:val="auto"/>
        </w:rPr>
        <w:t>I</w:t>
      </w:r>
      <w:r w:rsidR="0021245A" w:rsidRPr="005B465F">
        <w:rPr>
          <w:color w:val="auto"/>
        </w:rPr>
        <w:t xml:space="preserve">t explains how we have considered the Applicant’s Application, and why we have included the specific conditions in the draft permit we are proposing to issue to the Applicant.  It is our record of our decision-making process, to show how we have </w:t>
      </w:r>
      <w:proofErr w:type="gramStart"/>
      <w:r w:rsidR="0021245A" w:rsidRPr="005B465F">
        <w:rPr>
          <w:color w:val="auto"/>
        </w:rPr>
        <w:t>taken into account</w:t>
      </w:r>
      <w:proofErr w:type="gramEnd"/>
      <w:r w:rsidR="0021245A" w:rsidRPr="005B465F">
        <w:rPr>
          <w:color w:val="auto"/>
        </w:rPr>
        <w:t xml:space="preserve"> all relevant factors in reaching our position.  Unless the document explains otherwise, we have accepted the Applicant’s proposals. </w:t>
      </w:r>
    </w:p>
    <w:p w14:paraId="6E1C63BC" w14:textId="0BE14451" w:rsidR="0021245A" w:rsidRPr="005B465F" w:rsidRDefault="0021245A" w:rsidP="007C6E45">
      <w:pPr>
        <w:rPr>
          <w:color w:val="auto"/>
        </w:rPr>
      </w:pPr>
      <w:r w:rsidRPr="005B465F">
        <w:rPr>
          <w:color w:val="auto"/>
        </w:rPr>
        <w:t xml:space="preserve">The document is in draft at this stage because we have yet to make a final decision.  Before we make this decision, we want to explain our thinking to the public and other interested parties, to give them a chance to understand that thinking and, if they wish, to make relevant representations to us.  We will make our final decision only after carefully </w:t>
      </w:r>
      <w:r w:rsidR="004E4CEB" w:rsidRPr="005B465F">
        <w:rPr>
          <w:color w:val="auto"/>
        </w:rPr>
        <w:t xml:space="preserve">considering </w:t>
      </w:r>
      <w:r w:rsidRPr="005B465F">
        <w:rPr>
          <w:color w:val="auto"/>
        </w:rPr>
        <w:t>any relevant matter raised in the responses we receive.  Our mind</w:t>
      </w:r>
      <w:r w:rsidR="00FF6F61" w:rsidRPr="005B465F">
        <w:rPr>
          <w:color w:val="auto"/>
        </w:rPr>
        <w:t>s</w:t>
      </w:r>
      <w:r w:rsidRPr="005B465F">
        <w:rPr>
          <w:color w:val="auto"/>
        </w:rPr>
        <w:t xml:space="preserve"> remain open at this stage. Although we believe we have covered all the relevant issues and reached a reasonable conclusion, our ultimate decision could yet be affected by any further information that may be provided that is relevant to the issues we have to consider.  However, unless we receive information that leads us to alter the conditions in the draft </w:t>
      </w:r>
      <w:r w:rsidR="006A3899" w:rsidRPr="005B465F">
        <w:rPr>
          <w:color w:val="auto"/>
        </w:rPr>
        <w:t>p</w:t>
      </w:r>
      <w:r w:rsidRPr="005B465F">
        <w:rPr>
          <w:color w:val="auto"/>
        </w:rPr>
        <w:t xml:space="preserve">ermit, or to reject the </w:t>
      </w:r>
      <w:r w:rsidR="002F6295" w:rsidRPr="005B465F">
        <w:rPr>
          <w:color w:val="auto"/>
        </w:rPr>
        <w:t>a</w:t>
      </w:r>
      <w:r w:rsidRPr="005B465F">
        <w:rPr>
          <w:color w:val="auto"/>
        </w:rPr>
        <w:t xml:space="preserve">pplication altogether, we will issue the </w:t>
      </w:r>
      <w:r w:rsidR="006A3899" w:rsidRPr="005B465F">
        <w:rPr>
          <w:color w:val="auto"/>
        </w:rPr>
        <w:t>p</w:t>
      </w:r>
      <w:r w:rsidRPr="005B465F">
        <w:rPr>
          <w:color w:val="auto"/>
        </w:rPr>
        <w:t>ermit in its current form. </w:t>
      </w:r>
    </w:p>
    <w:p w14:paraId="59B6316C" w14:textId="79C54D79" w:rsidR="0021245A" w:rsidRPr="005B465F" w:rsidRDefault="0021245A" w:rsidP="007C6E45">
      <w:pPr>
        <w:rPr>
          <w:color w:val="auto"/>
        </w:rPr>
      </w:pPr>
      <w:r w:rsidRPr="005B465F">
        <w:rPr>
          <w:color w:val="auto"/>
        </w:rPr>
        <w:t xml:space="preserve">In this document we frequently </w:t>
      </w:r>
      <w:proofErr w:type="gramStart"/>
      <w:r w:rsidRPr="005B465F">
        <w:rPr>
          <w:color w:val="auto"/>
        </w:rPr>
        <w:t>say</w:t>
      </w:r>
      <w:proofErr w:type="gramEnd"/>
      <w:r w:rsidRPr="005B465F">
        <w:rPr>
          <w:color w:val="auto"/>
        </w:rPr>
        <w:t xml:space="preserve"> “we have decided”.  That gives the impression that our mind</w:t>
      </w:r>
      <w:r w:rsidR="00FF6F61" w:rsidRPr="005B465F">
        <w:rPr>
          <w:color w:val="auto"/>
        </w:rPr>
        <w:t>s are</w:t>
      </w:r>
      <w:r w:rsidRPr="005B465F">
        <w:rPr>
          <w:color w:val="auto"/>
        </w:rPr>
        <w:t xml:space="preserve"> already made up; but as we have explained above, we have not yet done so.  The language we use enables this document to become the final decision document in due course with no more re-drafting than is </w:t>
      </w:r>
      <w:proofErr w:type="gramStart"/>
      <w:r w:rsidRPr="005B465F">
        <w:rPr>
          <w:color w:val="auto"/>
        </w:rPr>
        <w:t>absolutely necessary</w:t>
      </w:r>
      <w:proofErr w:type="gramEnd"/>
      <w:r w:rsidRPr="005B465F">
        <w:rPr>
          <w:color w:val="auto"/>
        </w:rPr>
        <w:t>. </w:t>
      </w:r>
    </w:p>
    <w:p w14:paraId="6598B87D" w14:textId="45FFDCEA" w:rsidR="00B44711" w:rsidRDefault="00EE4536" w:rsidP="007C6E45">
      <w:r w:rsidRPr="005B465F">
        <w:rPr>
          <w:color w:val="auto"/>
        </w:rPr>
        <w:t xml:space="preserve">If issued, </w:t>
      </w:r>
      <w:r w:rsidR="008E3C5B" w:rsidRPr="005B465F">
        <w:rPr>
          <w:color w:val="auto"/>
        </w:rPr>
        <w:t>t</w:t>
      </w:r>
      <w:r w:rsidR="00B65AF8" w:rsidRPr="005B465F">
        <w:rPr>
          <w:color w:val="auto"/>
        </w:rPr>
        <w:t>his variation</w:t>
      </w:r>
      <w:r w:rsidRPr="005B465F">
        <w:rPr>
          <w:color w:val="auto"/>
        </w:rPr>
        <w:t xml:space="preserve"> will</w:t>
      </w:r>
      <w:r w:rsidR="00B65AF8" w:rsidRPr="005B465F">
        <w:rPr>
          <w:color w:val="auto"/>
        </w:rPr>
        <w:t xml:space="preserve"> grant a time-limited derogation </w:t>
      </w:r>
      <w:r w:rsidR="00713B5B" w:rsidRPr="005B465F">
        <w:rPr>
          <w:color w:val="auto"/>
        </w:rPr>
        <w:t xml:space="preserve">(until 31/10/2025) </w:t>
      </w:r>
      <w:r w:rsidR="00B65AF8" w:rsidRPr="005B465F">
        <w:rPr>
          <w:color w:val="auto"/>
        </w:rPr>
        <w:t xml:space="preserve">from </w:t>
      </w:r>
      <w:r w:rsidR="00EE5C82">
        <w:t>Best Available Techniques (</w:t>
      </w:r>
      <w:r w:rsidR="00EA1902">
        <w:t>“</w:t>
      </w:r>
      <w:r w:rsidR="00B65AF8">
        <w:t>BAT</w:t>
      </w:r>
      <w:r w:rsidR="00EA1902">
        <w:t>”</w:t>
      </w:r>
      <w:r w:rsidR="00EE5C82">
        <w:t>)</w:t>
      </w:r>
      <w:r w:rsidR="00B65AF8">
        <w:t xml:space="preserve"> Conclusion 52 (</w:t>
      </w:r>
      <w:r w:rsidR="00EA1902">
        <w:t>“</w:t>
      </w:r>
      <w:r w:rsidR="00B65AF8">
        <w:t>BAT 52</w:t>
      </w:r>
      <w:r w:rsidR="00EA1902">
        <w:t>”</w:t>
      </w:r>
      <w:r w:rsidR="00B65AF8">
        <w:t xml:space="preserve">) of the </w:t>
      </w:r>
      <w:hyperlink r:id="rId12" w:history="1">
        <w:r w:rsidR="00E74731" w:rsidRPr="00E74731">
          <w:rPr>
            <w:rStyle w:val="Hyperlink"/>
          </w:rPr>
          <w:t>Refining of Mineral Oil and Gas BAT Conclusions (2014/7/738/EU, 28/10/2014)</w:t>
        </w:r>
      </w:hyperlink>
      <w:r w:rsidR="00B65AF8">
        <w:t xml:space="preserve">, subject to the conditions and controls specified in the permit. </w:t>
      </w:r>
    </w:p>
    <w:p w14:paraId="7B055944" w14:textId="4FC1FF5F" w:rsidR="00BE0D40" w:rsidRPr="00BE0D40" w:rsidRDefault="00BE0D40" w:rsidP="007C6E45">
      <w:r w:rsidRPr="00BE0D40">
        <w:t>BAT 52 specifies vapour recovery techniques to prevent or reduce volatile liquid hydrocarbon compounds emissions to air from loading and unloading operations via sea-going vessels, where annual throughput exceeds 1 million m</w:t>
      </w:r>
      <w:r w:rsidRPr="00BE0D40">
        <w:rPr>
          <w:vertAlign w:val="superscript"/>
        </w:rPr>
        <w:t>3</w:t>
      </w:r>
      <w:r w:rsidRPr="00BE0D40">
        <w:t>/year.</w:t>
      </w:r>
    </w:p>
    <w:p w14:paraId="173E6DA2" w14:textId="5EF3405E" w:rsidR="00BE0D40" w:rsidRPr="00BE0D40" w:rsidRDefault="00BE0D40" w:rsidP="007C6E45">
      <w:pPr>
        <w:rPr>
          <w:bCs/>
        </w:rPr>
      </w:pPr>
      <w:r>
        <w:rPr>
          <w:bCs/>
        </w:rPr>
        <w:lastRenderedPageBreak/>
        <w:t xml:space="preserve">The </w:t>
      </w:r>
      <w:r w:rsidR="00F117F4">
        <w:rPr>
          <w:bCs/>
        </w:rPr>
        <w:t xml:space="preserve">relevant </w:t>
      </w:r>
      <w:r w:rsidR="00BE07C4">
        <w:rPr>
          <w:bCs/>
        </w:rPr>
        <w:t>BAT Associated Emission Levels (</w:t>
      </w:r>
      <w:r w:rsidR="001A560C">
        <w:rPr>
          <w:bCs/>
        </w:rPr>
        <w:t>“</w:t>
      </w:r>
      <w:r w:rsidRPr="00BE0D40">
        <w:rPr>
          <w:bCs/>
        </w:rPr>
        <w:t>BAT-AELs</w:t>
      </w:r>
      <w:r w:rsidR="001A560C">
        <w:rPr>
          <w:bCs/>
        </w:rPr>
        <w:t>”</w:t>
      </w:r>
      <w:r w:rsidR="00BE07C4">
        <w:rPr>
          <w:bCs/>
        </w:rPr>
        <w:t>)</w:t>
      </w:r>
      <w:r w:rsidR="00F117F4">
        <w:rPr>
          <w:bCs/>
        </w:rPr>
        <w:t xml:space="preserve"> </w:t>
      </w:r>
      <w:r w:rsidR="00BE07C4">
        <w:rPr>
          <w:bCs/>
        </w:rPr>
        <w:t>are</w:t>
      </w:r>
      <w:r w:rsidRPr="00BE0D40">
        <w:rPr>
          <w:bCs/>
        </w:rPr>
        <w:t>:</w:t>
      </w:r>
    </w:p>
    <w:p w14:paraId="11466229" w14:textId="774E87AF" w:rsidR="00BE07C4" w:rsidRDefault="00BE07C4" w:rsidP="007C6E45">
      <w:pPr>
        <w:numPr>
          <w:ilvl w:val="0"/>
          <w:numId w:val="32"/>
        </w:numPr>
      </w:pPr>
      <w:r>
        <w:t>Non-methane volatile organic compounds (</w:t>
      </w:r>
      <w:r w:rsidR="001A560C">
        <w:t>“</w:t>
      </w:r>
      <w:r w:rsidR="00BE0D40" w:rsidRPr="00BE0D40">
        <w:t>NMVOC</w:t>
      </w:r>
      <w:r w:rsidR="001A560C">
        <w:t>”</w:t>
      </w:r>
      <w:r>
        <w:t>)</w:t>
      </w:r>
      <w:r w:rsidR="00BE0D40" w:rsidRPr="00BE0D40">
        <w:t xml:space="preserve"> to air </w:t>
      </w:r>
      <w:r w:rsidR="00F117F4">
        <w:t xml:space="preserve">- </w:t>
      </w:r>
      <w:r w:rsidR="00BE0D40" w:rsidRPr="00BE0D40">
        <w:t>10 mg/Nm</w:t>
      </w:r>
      <w:r w:rsidR="00BE0D40" w:rsidRPr="00BE0D40">
        <w:rPr>
          <w:vertAlign w:val="superscript"/>
        </w:rPr>
        <w:t>3</w:t>
      </w:r>
    </w:p>
    <w:p w14:paraId="0A6016E6" w14:textId="6B82BAD5" w:rsidR="00BE0D40" w:rsidRDefault="00BE0D40" w:rsidP="007C6E45">
      <w:pPr>
        <w:numPr>
          <w:ilvl w:val="0"/>
          <w:numId w:val="32"/>
        </w:numPr>
      </w:pPr>
      <w:r w:rsidRPr="00BE0D40">
        <w:t>Benzene to air of 1 mg/Nm</w:t>
      </w:r>
      <w:r w:rsidRPr="00BE07C4">
        <w:rPr>
          <w:vertAlign w:val="superscript"/>
        </w:rPr>
        <w:t>3</w:t>
      </w:r>
    </w:p>
    <w:p w14:paraId="6F262654" w14:textId="241C9E8C" w:rsidR="002D6623" w:rsidRDefault="002D6623" w:rsidP="007C6E45">
      <w:r w:rsidRPr="005B465F">
        <w:rPr>
          <w:color w:val="auto"/>
        </w:rPr>
        <w:t xml:space="preserve">We consider in reaching </w:t>
      </w:r>
      <w:r w:rsidR="00FF6F61" w:rsidRPr="005B465F">
        <w:rPr>
          <w:color w:val="auto"/>
        </w:rPr>
        <w:t>the</w:t>
      </w:r>
      <w:r w:rsidRPr="005B465F">
        <w:rPr>
          <w:color w:val="auto"/>
        </w:rPr>
        <w:t xml:space="preserve"> </w:t>
      </w:r>
      <w:r w:rsidR="00C47CDA" w:rsidRPr="005B465F">
        <w:rPr>
          <w:color w:val="auto"/>
        </w:rPr>
        <w:t xml:space="preserve">draft </w:t>
      </w:r>
      <w:r w:rsidRPr="005B465F">
        <w:rPr>
          <w:color w:val="auto"/>
        </w:rPr>
        <w:t xml:space="preserve">decision we have </w:t>
      </w:r>
      <w:proofErr w:type="gramStart"/>
      <w:r w:rsidRPr="005B465F">
        <w:rPr>
          <w:color w:val="auto"/>
        </w:rPr>
        <w:t>taken into account</w:t>
      </w:r>
      <w:proofErr w:type="gramEnd"/>
      <w:r w:rsidRPr="005B465F">
        <w:rPr>
          <w:color w:val="auto"/>
        </w:rPr>
        <w:t xml:space="preserve"> all relevant considerations and legal requirements and that the permit will ensure </w:t>
      </w:r>
      <w:r>
        <w:t>that the appropriate level of environmental protection is provided.</w:t>
      </w:r>
    </w:p>
    <w:p w14:paraId="45135D8A" w14:textId="77777777" w:rsidR="002D6623" w:rsidRDefault="002D6623" w:rsidP="007C6E45">
      <w:pPr>
        <w:pStyle w:val="Sectiontitle"/>
      </w:pPr>
      <w:r>
        <w:t>Purpose of this document</w:t>
      </w:r>
    </w:p>
    <w:p w14:paraId="79B1E579" w14:textId="2BEEBD61" w:rsidR="002D6623" w:rsidRPr="00DF1C4A" w:rsidRDefault="002D6623" w:rsidP="007C6E45">
      <w:pPr>
        <w:rPr>
          <w:color w:val="auto"/>
        </w:rPr>
      </w:pPr>
      <w:r w:rsidRPr="00DF1C4A">
        <w:rPr>
          <w:color w:val="auto"/>
        </w:rPr>
        <w:t>This decision document provides a record of t</w:t>
      </w:r>
      <w:r w:rsidR="0046550E" w:rsidRPr="00DF1C4A">
        <w:rPr>
          <w:color w:val="auto"/>
        </w:rPr>
        <w:t>he decision-making process. It</w:t>
      </w:r>
      <w:r w:rsidR="0046550E" w:rsidRPr="00DF1C4A">
        <w:rPr>
          <w:b/>
          <w:color w:val="auto"/>
        </w:rPr>
        <w:t xml:space="preserve"> </w:t>
      </w:r>
    </w:p>
    <w:p w14:paraId="38BD5D0D" w14:textId="5817CBF5" w:rsidR="002D6623" w:rsidRPr="00DF1C4A" w:rsidRDefault="002D6623" w:rsidP="007C6E45">
      <w:pPr>
        <w:pStyle w:val="BulletText1"/>
        <w:rPr>
          <w:color w:val="auto"/>
        </w:rPr>
      </w:pPr>
      <w:r w:rsidRPr="00DF1C4A">
        <w:rPr>
          <w:color w:val="auto"/>
        </w:rPr>
        <w:t xml:space="preserve">highlights </w:t>
      </w:r>
      <w:hyperlink w:anchor="Key_issues" w:tooltip="Link to 'Key issues' section of this document" w:history="1">
        <w:r w:rsidRPr="00B97696">
          <w:rPr>
            <w:rStyle w:val="Hyperlink"/>
          </w:rPr>
          <w:t>key issues</w:t>
        </w:r>
      </w:hyperlink>
      <w:r>
        <w:t xml:space="preserve"> </w:t>
      </w:r>
      <w:r w:rsidR="0046550E" w:rsidRPr="00DF1C4A">
        <w:rPr>
          <w:color w:val="auto"/>
        </w:rPr>
        <w:t>in the determination</w:t>
      </w:r>
    </w:p>
    <w:p w14:paraId="53A78C92" w14:textId="6C30C445" w:rsidR="002D6623" w:rsidRPr="00DF1C4A" w:rsidRDefault="002D6623" w:rsidP="007C6E45">
      <w:pPr>
        <w:pStyle w:val="BulletText1"/>
        <w:rPr>
          <w:color w:val="auto"/>
        </w:rPr>
      </w:pPr>
      <w:r w:rsidRPr="00DF1C4A">
        <w:rPr>
          <w:color w:val="auto"/>
        </w:rPr>
        <w:t xml:space="preserve">summarises the decision making process in the </w:t>
      </w:r>
      <w:hyperlink w:anchor="Decision_considerations" w:tooltip="Link to 'Decision considerations' section of this document" w:history="1">
        <w:r w:rsidRPr="00B97696">
          <w:rPr>
            <w:rStyle w:val="Hyperlink"/>
          </w:rPr>
          <w:t xml:space="preserve">decision </w:t>
        </w:r>
        <w:r w:rsidR="00DF1C4A">
          <w:rPr>
            <w:rStyle w:val="Hyperlink"/>
          </w:rPr>
          <w:t>checklist</w:t>
        </w:r>
      </w:hyperlink>
      <w:r w:rsidRPr="002F6411">
        <w:rPr>
          <w:color w:val="B10E1E"/>
        </w:rPr>
        <w:t xml:space="preserve"> </w:t>
      </w:r>
      <w:r w:rsidRPr="00DF1C4A">
        <w:rPr>
          <w:color w:val="auto"/>
        </w:rPr>
        <w:t>to show how the main relevant facto</w:t>
      </w:r>
      <w:r w:rsidR="0046550E" w:rsidRPr="00DF1C4A">
        <w:rPr>
          <w:color w:val="auto"/>
        </w:rPr>
        <w:t>rs have been taken into account</w:t>
      </w:r>
    </w:p>
    <w:p w14:paraId="37ED64FB" w14:textId="3F615CC8" w:rsidR="002D6623" w:rsidRDefault="002D6623" w:rsidP="007C6E45">
      <w:pPr>
        <w:pStyle w:val="BulletText1"/>
      </w:pPr>
      <w:r w:rsidRPr="009E72DD">
        <w:rPr>
          <w:color w:val="auto"/>
        </w:rPr>
        <w:t xml:space="preserve">shows how we have considered the </w:t>
      </w:r>
      <w:hyperlink w:anchor="Consultation_Responses" w:tooltip="Link to 'Consultation responses' section of this document" w:history="1">
        <w:r w:rsidRPr="00B97696">
          <w:rPr>
            <w:rStyle w:val="Hyperlink"/>
          </w:rPr>
          <w:t>consultation responses</w:t>
        </w:r>
      </w:hyperlink>
    </w:p>
    <w:p w14:paraId="42CB90C6" w14:textId="77777777" w:rsidR="002D6623" w:rsidRDefault="002D6623" w:rsidP="007C6E45">
      <w:r>
        <w:t xml:space="preserve">Unless the decision document specifies </w:t>
      </w:r>
      <w:proofErr w:type="gramStart"/>
      <w:r>
        <w:t>otherwise</w:t>
      </w:r>
      <w:proofErr w:type="gramEnd"/>
      <w:r>
        <w:t xml:space="preserve"> we have accepted the applicant’s proposals.</w:t>
      </w:r>
    </w:p>
    <w:p w14:paraId="452DD2CD" w14:textId="0072EA59" w:rsidR="005E11F4" w:rsidRDefault="002D6623" w:rsidP="007C6E45">
      <w:pPr>
        <w:rPr>
          <w:color w:val="auto"/>
        </w:rPr>
      </w:pPr>
      <w:r>
        <w:t>Read the permitting decisions in conjunction with the environmental permit and the variation notice.</w:t>
      </w:r>
      <w:r w:rsidR="005E11F4" w:rsidRPr="005E11F4">
        <w:rPr>
          <w:color w:val="auto"/>
        </w:rPr>
        <w:t xml:space="preserve"> </w:t>
      </w:r>
      <w:bookmarkStart w:id="0" w:name="Key_issues"/>
    </w:p>
    <w:p w14:paraId="300F21D0" w14:textId="7F3A159F" w:rsidR="00604645" w:rsidRPr="00A44BB8" w:rsidRDefault="00604645" w:rsidP="007C6E45">
      <w:pPr>
        <w:pStyle w:val="Heading1"/>
        <w:keepLines w:val="0"/>
        <w:spacing w:after="60" w:line="240" w:lineRule="auto"/>
        <w:rPr>
          <w:rFonts w:eastAsia="Times New Roman" w:cs="Arial"/>
          <w:color w:val="auto"/>
          <w:kern w:val="28"/>
          <w:sz w:val="32"/>
          <w:lang w:eastAsia="en-GB"/>
        </w:rPr>
      </w:pPr>
      <w:bookmarkStart w:id="1" w:name="_Toc437857278"/>
      <w:bookmarkStart w:id="2" w:name="_Toc438137742"/>
      <w:bookmarkStart w:id="3" w:name="_Toc103241358"/>
      <w:r w:rsidRPr="00A44BB8">
        <w:rPr>
          <w:rFonts w:eastAsia="Times New Roman" w:cs="Arial"/>
          <w:color w:val="auto"/>
          <w:kern w:val="28"/>
          <w:sz w:val="32"/>
          <w:lang w:eastAsia="en-GB"/>
        </w:rPr>
        <w:t>Overview of the site and installation</w:t>
      </w:r>
      <w:bookmarkEnd w:id="1"/>
      <w:bookmarkEnd w:id="2"/>
      <w:bookmarkEnd w:id="3"/>
    </w:p>
    <w:p w14:paraId="4F90E734" w14:textId="54826045" w:rsidR="00604645" w:rsidRDefault="00604645" w:rsidP="007C6E45">
      <w:pPr>
        <w:rPr>
          <w:lang w:eastAsia="en-GB"/>
        </w:rPr>
      </w:pPr>
      <w:r w:rsidRPr="00C41AA8">
        <w:rPr>
          <w:lang w:eastAsia="en-GB"/>
        </w:rPr>
        <w:t>Stanlow Manufacturing Complex is situated south of the Mersey Estuary near Ellesmere Port and is operated by Essar Oil (UK) Limited</w:t>
      </w:r>
      <w:r w:rsidR="00FB4BEC">
        <w:rPr>
          <w:lang w:eastAsia="en-GB"/>
        </w:rPr>
        <w:t xml:space="preserve"> (</w:t>
      </w:r>
      <w:r w:rsidR="001A560C">
        <w:rPr>
          <w:lang w:eastAsia="en-GB"/>
        </w:rPr>
        <w:t>“</w:t>
      </w:r>
      <w:r w:rsidR="00FB4BEC">
        <w:rPr>
          <w:lang w:eastAsia="en-GB"/>
        </w:rPr>
        <w:t>the operator</w:t>
      </w:r>
      <w:r w:rsidR="001A560C">
        <w:rPr>
          <w:lang w:eastAsia="en-GB"/>
        </w:rPr>
        <w:t>”</w:t>
      </w:r>
      <w:r w:rsidR="00FB4BEC">
        <w:rPr>
          <w:lang w:eastAsia="en-GB"/>
        </w:rPr>
        <w:t>)</w:t>
      </w:r>
      <w:r w:rsidRPr="00C41AA8">
        <w:rPr>
          <w:lang w:eastAsia="en-GB"/>
        </w:rPr>
        <w:t>. The Manchester Ship Canal is located to the north, with the villages of Ince and Elton to the northeast and the village of Thornton-le-Moors to the south.</w:t>
      </w:r>
    </w:p>
    <w:p w14:paraId="05028A0A" w14:textId="5D6E1916" w:rsidR="00604645" w:rsidRPr="00C41AA8" w:rsidRDefault="00604645" w:rsidP="007C6E45">
      <w:pPr>
        <w:rPr>
          <w:u w:val="single"/>
          <w:lang w:eastAsia="en-GB"/>
        </w:rPr>
      </w:pPr>
      <w:r w:rsidRPr="00C41AA8">
        <w:rPr>
          <w:u w:val="single"/>
          <w:lang w:eastAsia="en-GB"/>
        </w:rPr>
        <w:t>Refinery activities (</w:t>
      </w:r>
      <w:r w:rsidR="004F4ABA">
        <w:rPr>
          <w:u w:val="single"/>
          <w:lang w:eastAsia="en-GB"/>
        </w:rPr>
        <w:t>p</w:t>
      </w:r>
      <w:r w:rsidRPr="00C41AA8">
        <w:rPr>
          <w:u w:val="single"/>
          <w:lang w:eastAsia="en-GB"/>
        </w:rPr>
        <w:t>rimary activity)</w:t>
      </w:r>
    </w:p>
    <w:p w14:paraId="4D76546F" w14:textId="77777777" w:rsidR="00604645" w:rsidRPr="00C41AA8" w:rsidRDefault="00604645" w:rsidP="007C6E45">
      <w:pPr>
        <w:rPr>
          <w:lang w:eastAsia="en-GB"/>
        </w:rPr>
      </w:pPr>
      <w:r w:rsidRPr="00C41AA8">
        <w:rPr>
          <w:lang w:eastAsia="en-GB"/>
        </w:rPr>
        <w:t xml:space="preserve">The installation processes crude oil in a refinery which includes crude distillation units (CDU-3 and CDU-4), a fluid catalytic cracker, alkylation unit, platformer and hydrodesulphurisation plant. </w:t>
      </w:r>
    </w:p>
    <w:p w14:paraId="4F920602" w14:textId="55CAD112" w:rsidR="00604645" w:rsidRPr="00C41AA8" w:rsidRDefault="00604645" w:rsidP="007C6E45">
      <w:pPr>
        <w:rPr>
          <w:lang w:eastAsia="en-GB"/>
        </w:rPr>
      </w:pPr>
      <w:r w:rsidRPr="00C41AA8">
        <w:rPr>
          <w:lang w:eastAsia="en-GB"/>
        </w:rPr>
        <w:t xml:space="preserve">In general terms, crude oil is imported by ship into tankage at the Tranmere Oil Terminal some 15 miles away on the Mersey. The Tranmere Oil Terminal is subject to a separate </w:t>
      </w:r>
      <w:r w:rsidR="00781A3C">
        <w:rPr>
          <w:lang w:eastAsia="en-GB"/>
        </w:rPr>
        <w:t>p</w:t>
      </w:r>
      <w:r w:rsidRPr="00C41AA8">
        <w:rPr>
          <w:lang w:eastAsia="en-GB"/>
        </w:rPr>
        <w:t>ermit (EPR/</w:t>
      </w:r>
      <w:r w:rsidRPr="00E42114">
        <w:rPr>
          <w:lang w:eastAsia="en-GB"/>
        </w:rPr>
        <w:t>TP3301MD</w:t>
      </w:r>
      <w:r w:rsidRPr="00C41AA8">
        <w:rPr>
          <w:lang w:eastAsia="en-GB"/>
        </w:rPr>
        <w:t xml:space="preserve">). Crude oil is transferred by pipeline to tankage at Stanlow. This is the main feedstock for crude distillation, which separates the crude oil into fuel gas, </w:t>
      </w:r>
      <w:r w:rsidR="002A2237">
        <w:rPr>
          <w:lang w:eastAsia="en-GB"/>
        </w:rPr>
        <w:t>L</w:t>
      </w:r>
      <w:r w:rsidRPr="00C41AA8">
        <w:rPr>
          <w:lang w:eastAsia="en-GB"/>
        </w:rPr>
        <w:t xml:space="preserve">iquefied </w:t>
      </w:r>
      <w:r w:rsidR="002A2237">
        <w:rPr>
          <w:lang w:eastAsia="en-GB"/>
        </w:rPr>
        <w:t>P</w:t>
      </w:r>
      <w:r w:rsidRPr="00C41AA8">
        <w:rPr>
          <w:lang w:eastAsia="en-GB"/>
        </w:rPr>
        <w:t xml:space="preserve">etroleum </w:t>
      </w:r>
      <w:r w:rsidR="002A2237">
        <w:rPr>
          <w:lang w:eastAsia="en-GB"/>
        </w:rPr>
        <w:t>G</w:t>
      </w:r>
      <w:r w:rsidRPr="00C41AA8">
        <w:rPr>
          <w:lang w:eastAsia="en-GB"/>
        </w:rPr>
        <w:t>ases (</w:t>
      </w:r>
      <w:r w:rsidR="002A2237">
        <w:rPr>
          <w:lang w:eastAsia="en-GB"/>
        </w:rPr>
        <w:t>“</w:t>
      </w:r>
      <w:r w:rsidRPr="00C41AA8">
        <w:rPr>
          <w:lang w:eastAsia="en-GB"/>
        </w:rPr>
        <w:t>LPGs</w:t>
      </w:r>
      <w:r w:rsidR="002A2237">
        <w:rPr>
          <w:lang w:eastAsia="en-GB"/>
        </w:rPr>
        <w:t>”</w:t>
      </w:r>
      <w:r w:rsidRPr="00C41AA8">
        <w:rPr>
          <w:lang w:eastAsia="en-GB"/>
        </w:rPr>
        <w:t>), naphtha, kerosene, gas oil and a residue for further processing.</w:t>
      </w:r>
    </w:p>
    <w:p w14:paraId="2FFD52D8" w14:textId="12F669B9" w:rsidR="00604645" w:rsidRPr="00C41AA8" w:rsidRDefault="00604645" w:rsidP="007C6E45">
      <w:pPr>
        <w:rPr>
          <w:lang w:eastAsia="en-GB"/>
        </w:rPr>
      </w:pPr>
      <w:r w:rsidRPr="00C41AA8">
        <w:rPr>
          <w:lang w:eastAsia="en-GB"/>
        </w:rPr>
        <w:t>The naphtha (</w:t>
      </w:r>
      <w:r w:rsidR="002A2237">
        <w:rPr>
          <w:lang w:eastAsia="en-GB"/>
        </w:rPr>
        <w:t>“</w:t>
      </w:r>
      <w:r w:rsidRPr="00C41AA8">
        <w:rPr>
          <w:lang w:eastAsia="en-GB"/>
        </w:rPr>
        <w:t>gasoline</w:t>
      </w:r>
      <w:r w:rsidR="002A2237">
        <w:rPr>
          <w:lang w:eastAsia="en-GB"/>
        </w:rPr>
        <w:t>”</w:t>
      </w:r>
      <w:r w:rsidRPr="00C41AA8">
        <w:rPr>
          <w:lang w:eastAsia="en-GB"/>
        </w:rPr>
        <w:t xml:space="preserve">) fraction from distillation is the feed for the platformer which reforms it into high octane motor gasoline. The product from the platformer </w:t>
      </w:r>
      <w:r w:rsidRPr="00C41AA8">
        <w:rPr>
          <w:lang w:eastAsia="en-GB"/>
        </w:rPr>
        <w:lastRenderedPageBreak/>
        <w:t xml:space="preserve">is fed to the Aromatics plant, which produces aromatic hydrocarbons such as </w:t>
      </w:r>
      <w:r w:rsidR="002A2237">
        <w:rPr>
          <w:lang w:eastAsia="en-GB"/>
        </w:rPr>
        <w:t>B</w:t>
      </w:r>
      <w:r w:rsidRPr="00C41AA8">
        <w:rPr>
          <w:lang w:eastAsia="en-GB"/>
        </w:rPr>
        <w:t xml:space="preserve">enzene, </w:t>
      </w:r>
      <w:r w:rsidR="002A2237">
        <w:rPr>
          <w:lang w:eastAsia="en-GB"/>
        </w:rPr>
        <w:t>T</w:t>
      </w:r>
      <w:r w:rsidRPr="00C41AA8">
        <w:rPr>
          <w:lang w:eastAsia="en-GB"/>
        </w:rPr>
        <w:t xml:space="preserve">oluene and </w:t>
      </w:r>
      <w:r w:rsidR="002A2237">
        <w:rPr>
          <w:lang w:eastAsia="en-GB"/>
        </w:rPr>
        <w:t>X</w:t>
      </w:r>
      <w:r w:rsidRPr="00C41AA8">
        <w:rPr>
          <w:lang w:eastAsia="en-GB"/>
        </w:rPr>
        <w:t>ylene.  The kerosene and gas oil streams are treated to remove sulphur before sale.</w:t>
      </w:r>
    </w:p>
    <w:p w14:paraId="245FF353" w14:textId="06756AB7" w:rsidR="00604645" w:rsidRPr="00C41AA8" w:rsidRDefault="00604645" w:rsidP="007C6E45">
      <w:pPr>
        <w:rPr>
          <w:lang w:eastAsia="en-GB"/>
        </w:rPr>
      </w:pPr>
      <w:r w:rsidRPr="00C41AA8">
        <w:rPr>
          <w:lang w:eastAsia="en-GB"/>
        </w:rPr>
        <w:t>The bottom product of the distillation, termed ‘long residue’ is the feed for the catalytic cracking unit and high viscosity index (</w:t>
      </w:r>
      <w:r w:rsidR="002C01D9">
        <w:rPr>
          <w:lang w:eastAsia="en-GB"/>
        </w:rPr>
        <w:t>“</w:t>
      </w:r>
      <w:r w:rsidRPr="00C41AA8">
        <w:rPr>
          <w:lang w:eastAsia="en-GB"/>
        </w:rPr>
        <w:t>HVI</w:t>
      </w:r>
      <w:r w:rsidR="002C01D9">
        <w:rPr>
          <w:lang w:eastAsia="en-GB"/>
        </w:rPr>
        <w:t>”</w:t>
      </w:r>
      <w:r w:rsidRPr="00C41AA8">
        <w:rPr>
          <w:lang w:eastAsia="en-GB"/>
        </w:rPr>
        <w:t xml:space="preserve">) </w:t>
      </w:r>
      <w:proofErr w:type="spellStart"/>
      <w:r w:rsidRPr="00C41AA8">
        <w:rPr>
          <w:lang w:eastAsia="en-GB"/>
        </w:rPr>
        <w:t>luboil</w:t>
      </w:r>
      <w:proofErr w:type="spellEnd"/>
      <w:r w:rsidRPr="00C41AA8">
        <w:rPr>
          <w:lang w:eastAsia="en-GB"/>
        </w:rPr>
        <w:t xml:space="preserve"> complexes.  The fluid catalytic cracker and its associated gas separation units produce fuel gas, LPG, </w:t>
      </w:r>
      <w:r w:rsidR="002C01D9">
        <w:rPr>
          <w:lang w:eastAsia="en-GB"/>
        </w:rPr>
        <w:t>H</w:t>
      </w:r>
      <w:r w:rsidRPr="00C41AA8">
        <w:rPr>
          <w:lang w:eastAsia="en-GB"/>
        </w:rPr>
        <w:t xml:space="preserve">igh </w:t>
      </w:r>
      <w:r w:rsidR="002C01D9">
        <w:rPr>
          <w:lang w:eastAsia="en-GB"/>
        </w:rPr>
        <w:t>O</w:t>
      </w:r>
      <w:r w:rsidRPr="00C41AA8">
        <w:rPr>
          <w:lang w:eastAsia="en-GB"/>
        </w:rPr>
        <w:t xml:space="preserve">ctane </w:t>
      </w:r>
      <w:r w:rsidR="002C01D9">
        <w:rPr>
          <w:lang w:eastAsia="en-GB"/>
        </w:rPr>
        <w:t>M</w:t>
      </w:r>
      <w:r w:rsidRPr="00C41AA8">
        <w:rPr>
          <w:lang w:eastAsia="en-GB"/>
        </w:rPr>
        <w:t xml:space="preserve">otor </w:t>
      </w:r>
      <w:r w:rsidR="002C01D9">
        <w:rPr>
          <w:lang w:eastAsia="en-GB"/>
        </w:rPr>
        <w:t>G</w:t>
      </w:r>
      <w:r w:rsidRPr="00C41AA8">
        <w:rPr>
          <w:lang w:eastAsia="en-GB"/>
        </w:rPr>
        <w:t xml:space="preserve">asoline, </w:t>
      </w:r>
      <w:r w:rsidR="002C01D9">
        <w:rPr>
          <w:lang w:eastAsia="en-GB"/>
        </w:rPr>
        <w:t>G</w:t>
      </w:r>
      <w:r w:rsidRPr="00C41AA8">
        <w:rPr>
          <w:lang w:eastAsia="en-GB"/>
        </w:rPr>
        <w:t xml:space="preserve">as </w:t>
      </w:r>
      <w:r w:rsidR="002C01D9">
        <w:rPr>
          <w:lang w:eastAsia="en-GB"/>
        </w:rPr>
        <w:t>O</w:t>
      </w:r>
      <w:r w:rsidRPr="00C41AA8">
        <w:rPr>
          <w:lang w:eastAsia="en-GB"/>
        </w:rPr>
        <w:t xml:space="preserve">il, and </w:t>
      </w:r>
      <w:r w:rsidR="002C01D9">
        <w:rPr>
          <w:lang w:eastAsia="en-GB"/>
        </w:rPr>
        <w:t>F</w:t>
      </w:r>
      <w:r w:rsidRPr="00C41AA8">
        <w:rPr>
          <w:lang w:eastAsia="en-GB"/>
        </w:rPr>
        <w:t xml:space="preserve">uel </w:t>
      </w:r>
      <w:r w:rsidR="002C01D9">
        <w:rPr>
          <w:lang w:eastAsia="en-GB"/>
        </w:rPr>
        <w:t>O</w:t>
      </w:r>
      <w:r w:rsidRPr="00C41AA8">
        <w:rPr>
          <w:lang w:eastAsia="en-GB"/>
        </w:rPr>
        <w:t xml:space="preserve">il.  LPG streams from the cracker and distillation provide the feed for the Alkylation plant, which converts them into motor gasoline. </w:t>
      </w:r>
    </w:p>
    <w:p w14:paraId="10067C3D" w14:textId="77777777" w:rsidR="00604645" w:rsidRPr="00C41AA8" w:rsidRDefault="00604645" w:rsidP="007C6E45">
      <w:pPr>
        <w:rPr>
          <w:lang w:eastAsia="en-GB"/>
        </w:rPr>
      </w:pPr>
      <w:r w:rsidRPr="00C41AA8">
        <w:rPr>
          <w:lang w:eastAsia="en-GB"/>
        </w:rPr>
        <w:t xml:space="preserve">Other cracker LPG streams are feedstock for chemicals production both on and off-site.  The fuel gas from the cracker and benzene from the Aromatics plant are the feedstocks </w:t>
      </w:r>
      <w:proofErr w:type="gramStart"/>
      <w:r w:rsidRPr="00C41AA8">
        <w:rPr>
          <w:lang w:eastAsia="en-GB"/>
        </w:rPr>
        <w:t>for the production of</w:t>
      </w:r>
      <w:proofErr w:type="gramEnd"/>
      <w:r w:rsidRPr="00C41AA8">
        <w:rPr>
          <w:lang w:eastAsia="en-GB"/>
        </w:rPr>
        <w:t xml:space="preserve"> ethyl benzene, which is exported for conversion to styrene.</w:t>
      </w:r>
    </w:p>
    <w:p w14:paraId="63D8F5C4" w14:textId="5AD9E219" w:rsidR="00604645" w:rsidRPr="00C41AA8" w:rsidRDefault="005B78D4" w:rsidP="007C6E45">
      <w:pPr>
        <w:rPr>
          <w:lang w:eastAsia="en-GB"/>
        </w:rPr>
      </w:pPr>
      <w:r>
        <w:rPr>
          <w:lang w:eastAsia="en-GB"/>
        </w:rPr>
        <w:t>The o</w:t>
      </w:r>
      <w:r w:rsidR="00604645" w:rsidRPr="00C41AA8">
        <w:rPr>
          <w:lang w:eastAsia="en-GB"/>
        </w:rPr>
        <w:t xml:space="preserve">il movements include receipt and storage of oil (and chemical) feedstocks, </w:t>
      </w:r>
      <w:r w:rsidR="00604645">
        <w:rPr>
          <w:lang w:eastAsia="en-GB"/>
        </w:rPr>
        <w:t xml:space="preserve">for the </w:t>
      </w:r>
      <w:r w:rsidR="00604645" w:rsidRPr="00C41AA8">
        <w:rPr>
          <w:lang w:eastAsia="en-GB"/>
        </w:rPr>
        <w:t xml:space="preserve">collection, storage, blending and internal distribution of products, and </w:t>
      </w:r>
      <w:r w:rsidR="00604645">
        <w:rPr>
          <w:lang w:eastAsia="en-GB"/>
        </w:rPr>
        <w:t xml:space="preserve">for those parts of </w:t>
      </w:r>
      <w:r w:rsidR="00604645" w:rsidRPr="00C41AA8">
        <w:rPr>
          <w:lang w:eastAsia="en-GB"/>
        </w:rPr>
        <w:t>ship and road loading of products and intermediates.</w:t>
      </w:r>
    </w:p>
    <w:p w14:paraId="15595698" w14:textId="77777777" w:rsidR="00604645" w:rsidRPr="00C41AA8" w:rsidRDefault="00604645" w:rsidP="007C6E45">
      <w:pPr>
        <w:rPr>
          <w:lang w:eastAsia="en-GB"/>
        </w:rPr>
      </w:pPr>
      <w:r w:rsidRPr="00C41AA8">
        <w:rPr>
          <w:lang w:eastAsia="en-GB"/>
        </w:rPr>
        <w:t>Finished products are exported by pipeline then transported either by road tanker from the loading terminal or by water via the Manchester Ship Canal.</w:t>
      </w:r>
    </w:p>
    <w:p w14:paraId="1F5BB866" w14:textId="77777777" w:rsidR="00604645" w:rsidRPr="00C41AA8" w:rsidRDefault="00604645" w:rsidP="007C6E45">
      <w:pPr>
        <w:rPr>
          <w:lang w:eastAsia="en-GB"/>
        </w:rPr>
      </w:pPr>
      <w:r>
        <w:rPr>
          <w:lang w:eastAsia="en-GB"/>
        </w:rPr>
        <w:t>The u</w:t>
      </w:r>
      <w:r w:rsidRPr="00C41AA8">
        <w:rPr>
          <w:lang w:eastAsia="en-GB"/>
        </w:rPr>
        <w:t>tilities plants supply cooling, fire and process water, steam, electricity, nitrogen and instrument air to most of the site.  The utilities area also includes units for extracting hydrogen sulphide from refinery sour water and processing to produce elemental sulphur.</w:t>
      </w:r>
    </w:p>
    <w:p w14:paraId="1CBDD6DB" w14:textId="05C9865C" w:rsidR="00604645" w:rsidRPr="00C41AA8" w:rsidRDefault="00604645" w:rsidP="007C6E45">
      <w:pPr>
        <w:rPr>
          <w:lang w:eastAsia="en-GB"/>
        </w:rPr>
      </w:pPr>
      <w:r w:rsidRPr="00C41AA8">
        <w:rPr>
          <w:lang w:eastAsia="en-GB"/>
        </w:rPr>
        <w:t xml:space="preserve">These activities fall under the following descriptions in Part 2 of Schedule 1 of the Environmental Permitting Regulations </w:t>
      </w:r>
      <w:r w:rsidR="009943EA">
        <w:rPr>
          <w:lang w:eastAsia="en-GB"/>
        </w:rPr>
        <w:t xml:space="preserve">2016 </w:t>
      </w:r>
      <w:r w:rsidRPr="00C41AA8">
        <w:rPr>
          <w:lang w:eastAsia="en-GB"/>
        </w:rPr>
        <w:t>(</w:t>
      </w:r>
      <w:r w:rsidR="009943EA">
        <w:rPr>
          <w:lang w:eastAsia="en-GB"/>
        </w:rPr>
        <w:t>“</w:t>
      </w:r>
      <w:r w:rsidRPr="00C41AA8">
        <w:rPr>
          <w:lang w:eastAsia="en-GB"/>
        </w:rPr>
        <w:t>EPR 2016</w:t>
      </w:r>
      <w:r w:rsidR="009943EA">
        <w:rPr>
          <w:lang w:eastAsia="en-GB"/>
        </w:rPr>
        <w:t>”)</w:t>
      </w:r>
      <w:r w:rsidRPr="00C41AA8">
        <w:rPr>
          <w:lang w:eastAsia="en-GB"/>
        </w:rPr>
        <w:t>:</w:t>
      </w:r>
    </w:p>
    <w:p w14:paraId="39E85312" w14:textId="77777777" w:rsidR="00604645" w:rsidRPr="00C41AA8" w:rsidRDefault="00604645" w:rsidP="007C6E45">
      <w:pPr>
        <w:pStyle w:val="ListParagraph"/>
        <w:numPr>
          <w:ilvl w:val="0"/>
          <w:numId w:val="22"/>
        </w:numPr>
        <w:rPr>
          <w:lang w:eastAsia="en-GB"/>
        </w:rPr>
      </w:pPr>
      <w:r w:rsidRPr="00C41AA8">
        <w:rPr>
          <w:lang w:eastAsia="en-GB"/>
        </w:rPr>
        <w:t>Section 1.2 Part A(1)(d) – Refining mineral oils (cracking, secondary processes and distillation).</w:t>
      </w:r>
    </w:p>
    <w:p w14:paraId="20C7A645" w14:textId="77777777" w:rsidR="00604645" w:rsidRPr="00C41AA8" w:rsidRDefault="00604645" w:rsidP="007C6E45">
      <w:pPr>
        <w:pStyle w:val="ListParagraph"/>
        <w:numPr>
          <w:ilvl w:val="0"/>
          <w:numId w:val="22"/>
        </w:numPr>
        <w:rPr>
          <w:lang w:eastAsia="en-GB"/>
        </w:rPr>
      </w:pPr>
      <w:r w:rsidRPr="00C41AA8">
        <w:rPr>
          <w:lang w:eastAsia="en-GB"/>
        </w:rPr>
        <w:t xml:space="preserve">Section 1.2 Part A(1)(e) - The loading, unloading or other handling </w:t>
      </w:r>
      <w:proofErr w:type="gramStart"/>
      <w:r w:rsidRPr="00C41AA8">
        <w:rPr>
          <w:lang w:eastAsia="en-GB"/>
        </w:rPr>
        <w:t>of,</w:t>
      </w:r>
      <w:proofErr w:type="gramEnd"/>
      <w:r w:rsidRPr="00C41AA8">
        <w:rPr>
          <w:lang w:eastAsia="en-GB"/>
        </w:rPr>
        <w:t xml:space="preserve"> the storage of, or the physical, chemical or thermal treatment of crude oil (oil movements).</w:t>
      </w:r>
    </w:p>
    <w:p w14:paraId="2642588B" w14:textId="77777777" w:rsidR="00604645" w:rsidRDefault="00604645" w:rsidP="007C6E45">
      <w:pPr>
        <w:rPr>
          <w:lang w:eastAsia="en-GB"/>
        </w:rPr>
      </w:pPr>
    </w:p>
    <w:p w14:paraId="5A4B9E2B" w14:textId="77777777" w:rsidR="00604645" w:rsidRPr="00C41AA8" w:rsidRDefault="00604645" w:rsidP="007C6E45">
      <w:pPr>
        <w:rPr>
          <w:lang w:eastAsia="en-GB"/>
        </w:rPr>
      </w:pPr>
      <w:r w:rsidRPr="00C41AA8">
        <w:rPr>
          <w:lang w:eastAsia="en-GB"/>
        </w:rPr>
        <w:t xml:space="preserve">Other regulated activities carried out at the installation include: </w:t>
      </w:r>
    </w:p>
    <w:p w14:paraId="21FFB103" w14:textId="77777777" w:rsidR="00604645" w:rsidRPr="00C41AA8" w:rsidRDefault="00604645" w:rsidP="007C6E45">
      <w:pPr>
        <w:pStyle w:val="ListParagraph"/>
        <w:numPr>
          <w:ilvl w:val="0"/>
          <w:numId w:val="21"/>
        </w:numPr>
        <w:rPr>
          <w:lang w:eastAsia="en-GB"/>
        </w:rPr>
      </w:pPr>
      <w:r w:rsidRPr="00C41AA8">
        <w:rPr>
          <w:lang w:eastAsia="en-GB"/>
        </w:rPr>
        <w:t>chemical activities</w:t>
      </w:r>
    </w:p>
    <w:p w14:paraId="69368E50" w14:textId="77777777" w:rsidR="00604645" w:rsidRPr="00C41AA8" w:rsidRDefault="00604645" w:rsidP="007C6E45">
      <w:pPr>
        <w:pStyle w:val="ListParagraph"/>
        <w:numPr>
          <w:ilvl w:val="0"/>
          <w:numId w:val="21"/>
        </w:numPr>
        <w:rPr>
          <w:lang w:eastAsia="en-GB"/>
        </w:rPr>
      </w:pPr>
      <w:r w:rsidRPr="00C41AA8">
        <w:rPr>
          <w:lang w:eastAsia="en-GB"/>
        </w:rPr>
        <w:t>incineration</w:t>
      </w:r>
    </w:p>
    <w:p w14:paraId="6CFE852D" w14:textId="77777777" w:rsidR="00604645" w:rsidRPr="00C41AA8" w:rsidRDefault="00604645" w:rsidP="007C6E45">
      <w:pPr>
        <w:pStyle w:val="ListParagraph"/>
        <w:numPr>
          <w:ilvl w:val="0"/>
          <w:numId w:val="21"/>
        </w:numPr>
        <w:rPr>
          <w:lang w:eastAsia="en-GB"/>
        </w:rPr>
      </w:pPr>
      <w:r w:rsidRPr="00C41AA8">
        <w:rPr>
          <w:lang w:eastAsia="en-GB"/>
        </w:rPr>
        <w:t xml:space="preserve">combustion </w:t>
      </w:r>
    </w:p>
    <w:p w14:paraId="7B4801AF" w14:textId="77777777" w:rsidR="00604645" w:rsidRPr="00C41AA8" w:rsidRDefault="00604645" w:rsidP="007C6E45">
      <w:pPr>
        <w:pStyle w:val="ListParagraph"/>
        <w:numPr>
          <w:ilvl w:val="0"/>
          <w:numId w:val="21"/>
        </w:numPr>
        <w:rPr>
          <w:lang w:eastAsia="en-GB"/>
        </w:rPr>
      </w:pPr>
      <w:r w:rsidRPr="00C41AA8">
        <w:rPr>
          <w:lang w:eastAsia="en-GB"/>
        </w:rPr>
        <w:t>recovery and/or disposal of waste</w:t>
      </w:r>
    </w:p>
    <w:p w14:paraId="14759DF9" w14:textId="77777777" w:rsidR="00604645" w:rsidRPr="00C41AA8" w:rsidRDefault="00604645" w:rsidP="007C6E45">
      <w:pPr>
        <w:pStyle w:val="ListParagraph"/>
        <w:numPr>
          <w:ilvl w:val="0"/>
          <w:numId w:val="21"/>
        </w:numPr>
        <w:rPr>
          <w:lang w:eastAsia="en-GB"/>
        </w:rPr>
      </w:pPr>
      <w:r w:rsidRPr="00C41AA8">
        <w:rPr>
          <w:lang w:eastAsia="en-GB"/>
        </w:rPr>
        <w:t>carbon capture for geological storage.</w:t>
      </w:r>
    </w:p>
    <w:p w14:paraId="541299CB" w14:textId="77777777" w:rsidR="00604645" w:rsidRDefault="00604645" w:rsidP="007C6E45">
      <w:pPr>
        <w:rPr>
          <w:b/>
          <w:sz w:val="28"/>
          <w:szCs w:val="28"/>
        </w:rPr>
      </w:pPr>
    </w:p>
    <w:p w14:paraId="68A2D3EA" w14:textId="77777777" w:rsidR="00604645" w:rsidRPr="00457225" w:rsidRDefault="00604645" w:rsidP="007C6E45">
      <w:pPr>
        <w:pStyle w:val="Heading1"/>
        <w:keepLines w:val="0"/>
        <w:spacing w:after="60" w:line="240" w:lineRule="auto"/>
        <w:rPr>
          <w:rFonts w:eastAsia="Times New Roman" w:cs="Arial"/>
          <w:color w:val="auto"/>
          <w:kern w:val="28"/>
          <w:sz w:val="32"/>
          <w:lang w:eastAsia="en-GB"/>
        </w:rPr>
      </w:pPr>
      <w:r w:rsidRPr="00457225">
        <w:rPr>
          <w:rFonts w:eastAsia="Times New Roman" w:cs="Arial"/>
          <w:color w:val="auto"/>
          <w:kern w:val="28"/>
          <w:sz w:val="32"/>
          <w:lang w:eastAsia="en-GB"/>
        </w:rPr>
        <w:lastRenderedPageBreak/>
        <w:t>Derogation methodology </w:t>
      </w:r>
    </w:p>
    <w:p w14:paraId="49A8A9AC" w14:textId="0937C535" w:rsidR="00604645" w:rsidRPr="00457225" w:rsidRDefault="00604645" w:rsidP="007C6E45">
      <w:pPr>
        <w:rPr>
          <w:lang w:eastAsia="en-GB"/>
        </w:rPr>
      </w:pPr>
      <w:r w:rsidRPr="00457225">
        <w:rPr>
          <w:lang w:eastAsia="en-GB"/>
        </w:rPr>
        <w:t xml:space="preserve">The </w:t>
      </w:r>
      <w:r w:rsidR="002048D5">
        <w:rPr>
          <w:lang w:eastAsia="en-GB"/>
        </w:rPr>
        <w:t>Industrial Emissions Directive (</w:t>
      </w:r>
      <w:r w:rsidR="009943EA">
        <w:rPr>
          <w:lang w:eastAsia="en-GB"/>
        </w:rPr>
        <w:t>“</w:t>
      </w:r>
      <w:r w:rsidRPr="00457225">
        <w:rPr>
          <w:lang w:eastAsia="en-GB"/>
        </w:rPr>
        <w:t>IED</w:t>
      </w:r>
      <w:r w:rsidR="009943EA">
        <w:rPr>
          <w:lang w:eastAsia="en-GB"/>
        </w:rPr>
        <w:t>”</w:t>
      </w:r>
      <w:r w:rsidR="002048D5">
        <w:rPr>
          <w:lang w:eastAsia="en-GB"/>
        </w:rPr>
        <w:t>)</w:t>
      </w:r>
      <w:r w:rsidRPr="00457225">
        <w:rPr>
          <w:lang w:eastAsia="en-GB"/>
        </w:rPr>
        <w:t xml:space="preserve"> enables a competent authority to allow derogations from </w:t>
      </w:r>
      <w:r w:rsidR="00F82F54" w:rsidRPr="00F82F54">
        <w:rPr>
          <w:lang w:eastAsia="en-GB"/>
        </w:rPr>
        <w:t xml:space="preserve">Best </w:t>
      </w:r>
      <w:r w:rsidR="007D2CC3">
        <w:rPr>
          <w:lang w:eastAsia="en-GB"/>
        </w:rPr>
        <w:t>Available</w:t>
      </w:r>
      <w:r w:rsidR="00F82F54" w:rsidRPr="00F82F54">
        <w:rPr>
          <w:lang w:eastAsia="en-GB"/>
        </w:rPr>
        <w:t xml:space="preserve"> Techniques Associated Emission Levels (“BAT-AELs”) </w:t>
      </w:r>
      <w:r w:rsidRPr="00457225">
        <w:rPr>
          <w:lang w:eastAsia="en-GB"/>
        </w:rPr>
        <w:t>stated in BAT Conclusions under specific circumstances as detailed under Article 15(4): </w:t>
      </w:r>
    </w:p>
    <w:p w14:paraId="66821A60" w14:textId="77777777" w:rsidR="00604645" w:rsidRPr="00457225" w:rsidRDefault="00604645" w:rsidP="007C6E45">
      <w:pPr>
        <w:rPr>
          <w:i/>
          <w:iCs/>
          <w:lang w:eastAsia="en-GB"/>
        </w:rPr>
      </w:pPr>
      <w:r w:rsidRPr="00457225">
        <w:rPr>
          <w:i/>
          <w:iCs/>
          <w:lang w:eastAsia="en-GB"/>
        </w:rPr>
        <w:t>By way of derogation from paragraph 3, and without prejudice to Article 18, the competent authority may, in specific cases, set less strict emission limit values. Such a derogation may apply only where an assessment shows that the achievement of emission levels associated with the best available techniques as described in BAT conclusions would lead to disproportionately higher costs compared to the environmental benefits due to:  </w:t>
      </w:r>
    </w:p>
    <w:p w14:paraId="283ACE7C" w14:textId="77777777" w:rsidR="00604645" w:rsidRPr="00457225" w:rsidRDefault="00604645" w:rsidP="007C6E45">
      <w:pPr>
        <w:pStyle w:val="ListParagraph"/>
        <w:numPr>
          <w:ilvl w:val="0"/>
          <w:numId w:val="31"/>
        </w:numPr>
        <w:rPr>
          <w:lang w:eastAsia="en-GB"/>
        </w:rPr>
      </w:pPr>
      <w:r w:rsidRPr="004307C4">
        <w:rPr>
          <w:i/>
          <w:iCs/>
          <w:lang w:eastAsia="en-GB"/>
        </w:rPr>
        <w:t>the geographical location or the local environmental conditions of the installation concerned; or</w:t>
      </w:r>
      <w:r w:rsidRPr="00457225">
        <w:rPr>
          <w:lang w:eastAsia="en-GB"/>
        </w:rPr>
        <w:t> </w:t>
      </w:r>
    </w:p>
    <w:p w14:paraId="73103D51" w14:textId="3CB95F27" w:rsidR="00604645" w:rsidRDefault="00604645" w:rsidP="007C6E45">
      <w:pPr>
        <w:pStyle w:val="ListParagraph"/>
        <w:numPr>
          <w:ilvl w:val="0"/>
          <w:numId w:val="31"/>
        </w:numPr>
        <w:rPr>
          <w:lang w:eastAsia="en-GB"/>
        </w:rPr>
      </w:pPr>
      <w:r w:rsidRPr="004307C4">
        <w:rPr>
          <w:i/>
          <w:iCs/>
          <w:lang w:eastAsia="en-GB"/>
        </w:rPr>
        <w:t>the technical characteristics of the installation concerned</w:t>
      </w:r>
      <w:r w:rsidRPr="00457225">
        <w:rPr>
          <w:lang w:eastAsia="en-GB"/>
        </w:rPr>
        <w:t> </w:t>
      </w:r>
    </w:p>
    <w:p w14:paraId="51BA7F02" w14:textId="77777777" w:rsidR="0037754C" w:rsidRDefault="0037754C" w:rsidP="007C6E45">
      <w:pPr>
        <w:rPr>
          <w:lang w:eastAsia="en-GB"/>
        </w:rPr>
      </w:pPr>
    </w:p>
    <w:p w14:paraId="030B733A" w14:textId="613C4D9A" w:rsidR="00604645" w:rsidRPr="00457225" w:rsidRDefault="00604645" w:rsidP="007C6E45">
      <w:pPr>
        <w:rPr>
          <w:lang w:eastAsia="en-GB"/>
        </w:rPr>
      </w:pPr>
      <w:r w:rsidRPr="00457225">
        <w:rPr>
          <w:u w:val="single"/>
          <w:lang w:eastAsia="en-GB"/>
        </w:rPr>
        <w:t xml:space="preserve">Cost Benefit Analysis </w:t>
      </w:r>
    </w:p>
    <w:p w14:paraId="6950276C" w14:textId="44EB8E4D" w:rsidR="00604645" w:rsidRDefault="00D7352D" w:rsidP="007C6E45">
      <w:pPr>
        <w:rPr>
          <w:lang w:eastAsia="en-GB"/>
        </w:rPr>
      </w:pPr>
      <w:r w:rsidRPr="00AD4683">
        <w:rPr>
          <w:color w:val="000000"/>
        </w:rPr>
        <w:t xml:space="preserve">If a derogation is </w:t>
      </w:r>
      <w:r>
        <w:rPr>
          <w:color w:val="000000"/>
        </w:rPr>
        <w:t xml:space="preserve">potentially </w:t>
      </w:r>
      <w:proofErr w:type="gramStart"/>
      <w:r w:rsidRPr="00AD4683">
        <w:rPr>
          <w:color w:val="000000"/>
        </w:rPr>
        <w:t>applicable</w:t>
      </w:r>
      <w:proofErr w:type="gramEnd"/>
      <w:r w:rsidRPr="00AD4683">
        <w:rPr>
          <w:color w:val="000000"/>
        </w:rPr>
        <w:t xml:space="preserve"> then Cost Benefit Analysis (</w:t>
      </w:r>
      <w:r w:rsidR="007D2CC3">
        <w:rPr>
          <w:color w:val="000000"/>
        </w:rPr>
        <w:t>“</w:t>
      </w:r>
      <w:r w:rsidRPr="00AD4683">
        <w:rPr>
          <w:color w:val="000000"/>
        </w:rPr>
        <w:t>CBA</w:t>
      </w:r>
      <w:r w:rsidR="007D2CC3">
        <w:rPr>
          <w:color w:val="000000"/>
        </w:rPr>
        <w:t>”</w:t>
      </w:r>
      <w:r w:rsidRPr="00AD4683">
        <w:rPr>
          <w:color w:val="000000"/>
        </w:rPr>
        <w:t xml:space="preserve">) is undertaken. </w:t>
      </w:r>
      <w:r w:rsidR="00604645" w:rsidRPr="00457225">
        <w:rPr>
          <w:lang w:eastAsia="en-GB"/>
        </w:rPr>
        <w:t>The CBA allows calculation to indicate whether the costs of compliance are greater or less than the environmental benefits. </w:t>
      </w:r>
    </w:p>
    <w:p w14:paraId="430552A6" w14:textId="75AE9818" w:rsidR="00604645" w:rsidRPr="00C41AA8" w:rsidRDefault="007C6CD8" w:rsidP="007C6E45">
      <w:pPr>
        <w:rPr>
          <w:lang w:eastAsia="en-GB"/>
        </w:rPr>
      </w:pPr>
      <w:r>
        <w:rPr>
          <w:lang w:eastAsia="en-GB"/>
        </w:rPr>
        <w:t xml:space="preserve">The CBA </w:t>
      </w:r>
      <w:r w:rsidR="00604645" w:rsidRPr="00C41AA8">
        <w:rPr>
          <w:lang w:eastAsia="en-GB"/>
        </w:rPr>
        <w:t xml:space="preserve">essentially groups all the costs on one side, with all the benefits, as far as possible, on the other side. It then includes the effect of time on the value of those costs and benefits </w:t>
      </w:r>
      <w:proofErr w:type="gramStart"/>
      <w:r w:rsidR="00604645" w:rsidRPr="00C41AA8">
        <w:rPr>
          <w:lang w:eastAsia="en-GB"/>
        </w:rPr>
        <w:t>in order to</w:t>
      </w:r>
      <w:proofErr w:type="gramEnd"/>
      <w:r w:rsidR="00604645" w:rsidRPr="00C41AA8">
        <w:rPr>
          <w:lang w:eastAsia="en-GB"/>
        </w:rPr>
        <w:t xml:space="preserve"> produce a Net Present Value (</w:t>
      </w:r>
      <w:r w:rsidR="007D2CC3">
        <w:rPr>
          <w:lang w:eastAsia="en-GB"/>
        </w:rPr>
        <w:t>“</w:t>
      </w:r>
      <w:r w:rsidR="00604645" w:rsidRPr="00C41AA8">
        <w:rPr>
          <w:lang w:eastAsia="en-GB"/>
        </w:rPr>
        <w:t>NPV</w:t>
      </w:r>
      <w:r w:rsidR="007D2CC3">
        <w:rPr>
          <w:lang w:eastAsia="en-GB"/>
        </w:rPr>
        <w:t>”</w:t>
      </w:r>
      <w:r w:rsidR="00604645" w:rsidRPr="00C41AA8">
        <w:rPr>
          <w:lang w:eastAsia="en-GB"/>
        </w:rPr>
        <w:t>).</w:t>
      </w:r>
    </w:p>
    <w:p w14:paraId="3E4070D0" w14:textId="77777777" w:rsidR="00604645" w:rsidRPr="00C41AA8" w:rsidRDefault="00604645" w:rsidP="007C6E45">
      <w:pPr>
        <w:rPr>
          <w:lang w:eastAsia="en-GB"/>
        </w:rPr>
      </w:pPr>
      <w:r w:rsidRPr="00C41AA8">
        <w:rPr>
          <w:lang w:eastAsia="en-GB"/>
        </w:rPr>
        <w:t xml:space="preserve">This gives an indication of whether those costs are disproportionate or not, but there are many sensitivities in the analysis and many aspects of the environment that cannot yet be monetised so the actual decision on disproportionality rests with the regulator. </w:t>
      </w:r>
    </w:p>
    <w:p w14:paraId="4934B27B" w14:textId="086B3487" w:rsidR="00604645" w:rsidRPr="00C41AA8" w:rsidRDefault="00604645" w:rsidP="007C6E45">
      <w:pPr>
        <w:rPr>
          <w:lang w:eastAsia="en-GB"/>
        </w:rPr>
      </w:pPr>
      <w:r w:rsidRPr="00C41AA8">
        <w:rPr>
          <w:lang w:eastAsia="en-GB"/>
        </w:rPr>
        <w:t>Where the NPV is positive, this indicates that the cost</w:t>
      </w:r>
      <w:r w:rsidR="00D50F0A">
        <w:rPr>
          <w:lang w:eastAsia="en-GB"/>
        </w:rPr>
        <w:t>s</w:t>
      </w:r>
      <w:r w:rsidRPr="00C41AA8">
        <w:rPr>
          <w:lang w:eastAsia="en-GB"/>
        </w:rPr>
        <w:t xml:space="preserve"> of compliance with the BAT-AEL(s) do not outweigh the environmental benefits.</w:t>
      </w:r>
    </w:p>
    <w:p w14:paraId="05AFE723" w14:textId="77777777" w:rsidR="00604645" w:rsidRPr="00C41AA8" w:rsidRDefault="00604645" w:rsidP="007C6E45">
      <w:pPr>
        <w:rPr>
          <w:lang w:eastAsia="en-GB"/>
        </w:rPr>
      </w:pPr>
      <w:r w:rsidRPr="00C41AA8">
        <w:rPr>
          <w:lang w:eastAsia="en-GB"/>
        </w:rPr>
        <w:t>Where the NPV is negative, this indicates that the costs of compliance with the BAT AEL(s) outweigh the environmental benefits.</w:t>
      </w:r>
    </w:p>
    <w:p w14:paraId="4842E402" w14:textId="35D6C6A1" w:rsidR="00604645" w:rsidRPr="00C41AA8" w:rsidRDefault="00604645" w:rsidP="007C6E45">
      <w:pPr>
        <w:rPr>
          <w:lang w:eastAsia="en-GB"/>
        </w:rPr>
      </w:pPr>
      <w:r w:rsidRPr="00C41AA8">
        <w:rPr>
          <w:lang w:eastAsia="en-GB"/>
        </w:rPr>
        <w:t xml:space="preserve">The consolidated variation notice is being issued under Regulation 20 of the </w:t>
      </w:r>
      <w:r w:rsidR="003E1704" w:rsidRPr="003E1704">
        <w:rPr>
          <w:lang w:eastAsia="en-GB"/>
        </w:rPr>
        <w:t>Environmental Permitting (England and Wales) Regulations 2016 (“EPR 2016”).</w:t>
      </w:r>
      <w:r w:rsidRPr="00C41AA8">
        <w:rPr>
          <w:lang w:eastAsia="en-GB"/>
        </w:rPr>
        <w:t xml:space="preserve"> The environmental permitting regime is a legal vehicle which delivers most of the relevant legal requirements for activities falling within its scope.  In particular, the regulated facility is: </w:t>
      </w:r>
    </w:p>
    <w:p w14:paraId="493206B4" w14:textId="692C0101" w:rsidR="00604645" w:rsidRPr="00C41AA8" w:rsidRDefault="00604645" w:rsidP="007C6E45">
      <w:pPr>
        <w:pStyle w:val="ListParagraph"/>
        <w:numPr>
          <w:ilvl w:val="0"/>
          <w:numId w:val="20"/>
        </w:numPr>
        <w:rPr>
          <w:lang w:eastAsia="en-GB"/>
        </w:rPr>
      </w:pPr>
      <w:r w:rsidRPr="00C41AA8">
        <w:rPr>
          <w:lang w:eastAsia="en-GB"/>
        </w:rPr>
        <w:t xml:space="preserve">an </w:t>
      </w:r>
      <w:r w:rsidRPr="00437DC4">
        <w:rPr>
          <w:i/>
          <w:iCs/>
          <w:lang w:eastAsia="en-GB"/>
        </w:rPr>
        <w:t>installation</w:t>
      </w:r>
      <w:r w:rsidRPr="00C41AA8">
        <w:rPr>
          <w:lang w:eastAsia="en-GB"/>
        </w:rPr>
        <w:t xml:space="preserve"> as described by the IED</w:t>
      </w:r>
    </w:p>
    <w:p w14:paraId="1F380966" w14:textId="77777777" w:rsidR="00604645" w:rsidRPr="00C41AA8" w:rsidRDefault="00604645" w:rsidP="007C6E45">
      <w:pPr>
        <w:pStyle w:val="ListParagraph"/>
        <w:numPr>
          <w:ilvl w:val="0"/>
          <w:numId w:val="20"/>
        </w:numPr>
        <w:rPr>
          <w:lang w:eastAsia="en-GB"/>
        </w:rPr>
      </w:pPr>
      <w:r w:rsidRPr="00C41AA8">
        <w:rPr>
          <w:lang w:eastAsia="en-GB"/>
        </w:rPr>
        <w:t xml:space="preserve">subject to aspects of other relevant legislation which also </w:t>
      </w:r>
      <w:proofErr w:type="gramStart"/>
      <w:r w:rsidRPr="00C41AA8">
        <w:rPr>
          <w:lang w:eastAsia="en-GB"/>
        </w:rPr>
        <w:t>have to</w:t>
      </w:r>
      <w:proofErr w:type="gramEnd"/>
      <w:r w:rsidRPr="00C41AA8">
        <w:rPr>
          <w:lang w:eastAsia="en-GB"/>
        </w:rPr>
        <w:t xml:space="preserve"> be addressed.  </w:t>
      </w:r>
    </w:p>
    <w:p w14:paraId="43CD5802" w14:textId="77777777" w:rsidR="00604645" w:rsidRDefault="00604645" w:rsidP="007C6E45">
      <w:pPr>
        <w:rPr>
          <w:lang w:eastAsia="en-GB"/>
        </w:rPr>
      </w:pPr>
    </w:p>
    <w:p w14:paraId="37B62948" w14:textId="77777777" w:rsidR="00604645" w:rsidRPr="00C41AA8" w:rsidRDefault="00604645" w:rsidP="007C6E45">
      <w:pPr>
        <w:rPr>
          <w:lang w:eastAsia="en-GB"/>
        </w:rPr>
      </w:pPr>
      <w:r w:rsidRPr="00C41AA8">
        <w:rPr>
          <w:lang w:eastAsia="en-GB"/>
        </w:rPr>
        <w:t>We consider that the consolidated variation notice will ensure that the operation of the installation complies with all relevant legal requirements and that a high level of protection will be delivered for the environment and human health.</w:t>
      </w:r>
    </w:p>
    <w:p w14:paraId="625A7FDA" w14:textId="77777777" w:rsidR="00604645" w:rsidRPr="00C41AA8" w:rsidRDefault="00604645" w:rsidP="007C6E45">
      <w:pPr>
        <w:rPr>
          <w:lang w:eastAsia="en-GB"/>
        </w:rPr>
      </w:pPr>
      <w:r w:rsidRPr="00C41AA8">
        <w:rPr>
          <w:lang w:eastAsia="en-GB"/>
        </w:rPr>
        <w:t>We explain how we have addressed specific statutory requirements more fully in the rest of this document.</w:t>
      </w:r>
    </w:p>
    <w:p w14:paraId="25D39544" w14:textId="41F00B9E" w:rsidR="00DF1C4A" w:rsidRPr="00DF1C4A" w:rsidRDefault="00DF1C4A" w:rsidP="007C6E45">
      <w:pPr>
        <w:pStyle w:val="Heading1"/>
        <w:keepLines w:val="0"/>
        <w:spacing w:after="60" w:line="240" w:lineRule="auto"/>
        <w:rPr>
          <w:rFonts w:eastAsia="Times New Roman" w:cs="Arial"/>
          <w:color w:val="auto"/>
          <w:kern w:val="28"/>
          <w:sz w:val="32"/>
          <w:lang w:eastAsia="en-GB"/>
        </w:rPr>
      </w:pPr>
      <w:r w:rsidRPr="00DF1C4A">
        <w:rPr>
          <w:rFonts w:eastAsia="Times New Roman" w:cs="Arial"/>
          <w:color w:val="auto"/>
          <w:kern w:val="28"/>
          <w:sz w:val="32"/>
          <w:lang w:eastAsia="en-GB"/>
        </w:rPr>
        <w:t>Our decision</w:t>
      </w:r>
    </w:p>
    <w:p w14:paraId="36D68B2C" w14:textId="3D3B4773" w:rsidR="00DF1C4A" w:rsidRPr="005F4A58" w:rsidRDefault="00DF1C4A" w:rsidP="007C6E45">
      <w:pPr>
        <w:rPr>
          <w:color w:val="auto"/>
          <w:lang w:eastAsia="en-GB"/>
        </w:rPr>
      </w:pPr>
      <w:r w:rsidRPr="005F4A58">
        <w:rPr>
          <w:color w:val="auto"/>
          <w:lang w:eastAsia="en-GB"/>
        </w:rPr>
        <w:t xml:space="preserve">We are minded </w:t>
      </w:r>
      <w:proofErr w:type="gramStart"/>
      <w:r w:rsidRPr="005F4A58">
        <w:rPr>
          <w:color w:val="auto"/>
          <w:lang w:eastAsia="en-GB"/>
        </w:rPr>
        <w:t>to issue</w:t>
      </w:r>
      <w:proofErr w:type="gramEnd"/>
      <w:r w:rsidRPr="005F4A58">
        <w:rPr>
          <w:color w:val="auto"/>
          <w:lang w:eastAsia="en-GB"/>
        </w:rPr>
        <w:t xml:space="preserve"> the variation </w:t>
      </w:r>
      <w:proofErr w:type="gramStart"/>
      <w:r w:rsidRPr="005F4A58">
        <w:rPr>
          <w:color w:val="auto"/>
          <w:lang w:eastAsia="en-GB"/>
        </w:rPr>
        <w:t>notice</w:t>
      </w:r>
      <w:proofErr w:type="gramEnd"/>
      <w:r w:rsidRPr="005F4A58">
        <w:rPr>
          <w:color w:val="auto"/>
          <w:lang w:eastAsia="en-GB"/>
        </w:rPr>
        <w:t xml:space="preserve"> to the operator.  This will allow it to continue to operate the installation, subject to the conditions in the consolidated variation notice. </w:t>
      </w:r>
    </w:p>
    <w:p w14:paraId="7D791049" w14:textId="1EF60E8B" w:rsidR="00DF1C4A" w:rsidRPr="005F4A58" w:rsidRDefault="00DF1C4A" w:rsidP="007C6E45">
      <w:pPr>
        <w:rPr>
          <w:color w:val="auto"/>
          <w:lang w:eastAsia="en-GB"/>
        </w:rPr>
      </w:pPr>
      <w:r w:rsidRPr="005F4A58">
        <w:rPr>
          <w:color w:val="auto"/>
          <w:lang w:eastAsia="en-GB"/>
        </w:rPr>
        <w:t xml:space="preserve">The scope of this variation application covers only a request for a derogation from the requirements of BAT 52, as identified in the </w:t>
      </w:r>
      <w:r w:rsidR="005118B4" w:rsidRPr="005F4A58">
        <w:rPr>
          <w:color w:val="auto"/>
          <w:lang w:eastAsia="en-GB"/>
        </w:rPr>
        <w:t>R</w:t>
      </w:r>
      <w:r w:rsidRPr="005F4A58">
        <w:rPr>
          <w:color w:val="auto"/>
          <w:lang w:eastAsia="en-GB"/>
        </w:rPr>
        <w:t xml:space="preserve">efining of </w:t>
      </w:r>
      <w:r w:rsidR="005118B4" w:rsidRPr="005F4A58">
        <w:rPr>
          <w:color w:val="auto"/>
          <w:lang w:eastAsia="en-GB"/>
        </w:rPr>
        <w:t>M</w:t>
      </w:r>
      <w:r w:rsidRPr="005F4A58">
        <w:rPr>
          <w:color w:val="auto"/>
          <w:lang w:eastAsia="en-GB"/>
        </w:rPr>
        <w:t xml:space="preserve">ineral </w:t>
      </w:r>
      <w:r w:rsidR="005118B4" w:rsidRPr="005F4A58">
        <w:rPr>
          <w:color w:val="auto"/>
          <w:lang w:eastAsia="en-GB"/>
        </w:rPr>
        <w:t>O</w:t>
      </w:r>
      <w:r w:rsidRPr="005F4A58">
        <w:rPr>
          <w:color w:val="auto"/>
          <w:lang w:eastAsia="en-GB"/>
        </w:rPr>
        <w:t xml:space="preserve">il and </w:t>
      </w:r>
      <w:r w:rsidR="005118B4" w:rsidRPr="005F4A58">
        <w:rPr>
          <w:color w:val="auto"/>
          <w:lang w:eastAsia="en-GB"/>
        </w:rPr>
        <w:t>G</w:t>
      </w:r>
      <w:r w:rsidRPr="005F4A58">
        <w:rPr>
          <w:color w:val="auto"/>
          <w:lang w:eastAsia="en-GB"/>
        </w:rPr>
        <w:t xml:space="preserve">as BAT Conclusions document.  The way we assessed the </w:t>
      </w:r>
      <w:r w:rsidR="00E75FA8" w:rsidRPr="005F4A58">
        <w:rPr>
          <w:color w:val="auto"/>
          <w:lang w:eastAsia="en-GB"/>
        </w:rPr>
        <w:t>o</w:t>
      </w:r>
      <w:r w:rsidRPr="005F4A58">
        <w:rPr>
          <w:color w:val="auto"/>
          <w:lang w:eastAsia="en-GB"/>
        </w:rPr>
        <w:t xml:space="preserve">perator’s request for derogation and how we subsequently arrived at our conclusion is recorded in this document.  </w:t>
      </w:r>
    </w:p>
    <w:p w14:paraId="536FA0F0" w14:textId="77777777" w:rsidR="00DF1C4A" w:rsidRPr="00C47D6B" w:rsidRDefault="00DF1C4A" w:rsidP="007C6E45">
      <w:pPr>
        <w:rPr>
          <w:lang w:eastAsia="en-GB"/>
        </w:rPr>
      </w:pPr>
      <w:r w:rsidRPr="005F4A58">
        <w:rPr>
          <w:color w:val="auto"/>
          <w:lang w:eastAsia="en-GB"/>
        </w:rPr>
        <w:t xml:space="preserve">We consider that, in reaching our draft decision, we have </w:t>
      </w:r>
      <w:proofErr w:type="gramStart"/>
      <w:r w:rsidRPr="005F4A58">
        <w:rPr>
          <w:color w:val="auto"/>
          <w:lang w:eastAsia="en-GB"/>
        </w:rPr>
        <w:t>taken into account</w:t>
      </w:r>
      <w:proofErr w:type="gramEnd"/>
      <w:r w:rsidRPr="005F4A58">
        <w:rPr>
          <w:color w:val="auto"/>
          <w:lang w:eastAsia="en-GB"/>
        </w:rPr>
        <w:t xml:space="preserve"> all relevant considerations and legal requirements and that the varied permit will ensure that a high level of protection is provided for the environment and human </w:t>
      </w:r>
      <w:r w:rsidRPr="00C47D6B">
        <w:rPr>
          <w:lang w:eastAsia="en-GB"/>
        </w:rPr>
        <w:t>health.</w:t>
      </w:r>
    </w:p>
    <w:p w14:paraId="090FAEA3" w14:textId="6C018888" w:rsidR="00DF1C4A" w:rsidRDefault="00DF1C4A" w:rsidP="007C6E45">
      <w:pPr>
        <w:rPr>
          <w:lang w:eastAsia="en-GB"/>
        </w:rPr>
      </w:pPr>
      <w:r w:rsidRPr="00C47D6B">
        <w:rPr>
          <w:lang w:eastAsia="en-GB"/>
        </w:rPr>
        <w:t xml:space="preserve">The </w:t>
      </w:r>
      <w:r w:rsidR="00E75FA8" w:rsidRPr="00C47D6B">
        <w:rPr>
          <w:lang w:eastAsia="en-GB"/>
        </w:rPr>
        <w:t>c</w:t>
      </w:r>
      <w:r w:rsidRPr="00C47D6B">
        <w:rPr>
          <w:lang w:eastAsia="en-GB"/>
        </w:rPr>
        <w:t xml:space="preserve">onsolidated </w:t>
      </w:r>
      <w:r w:rsidR="00E75FA8" w:rsidRPr="00C47D6B">
        <w:rPr>
          <w:lang w:eastAsia="en-GB"/>
        </w:rPr>
        <w:t>v</w:t>
      </w:r>
      <w:r w:rsidRPr="00C47D6B">
        <w:rPr>
          <w:lang w:eastAsia="en-GB"/>
        </w:rPr>
        <w:t xml:space="preserve">ariation </w:t>
      </w:r>
      <w:r w:rsidR="00E75FA8" w:rsidRPr="00C47D6B">
        <w:rPr>
          <w:lang w:eastAsia="en-GB"/>
        </w:rPr>
        <w:t>n</w:t>
      </w:r>
      <w:r w:rsidRPr="00C47D6B">
        <w:rPr>
          <w:lang w:eastAsia="en-GB"/>
        </w:rPr>
        <w:t xml:space="preserve">otice contains many conditions taken from our standard </w:t>
      </w:r>
      <w:r w:rsidR="00E75FA8" w:rsidRPr="00C47D6B">
        <w:rPr>
          <w:lang w:eastAsia="en-GB"/>
        </w:rPr>
        <w:t>e</w:t>
      </w:r>
      <w:r w:rsidRPr="00C47D6B">
        <w:rPr>
          <w:lang w:eastAsia="en-GB"/>
        </w:rPr>
        <w:t xml:space="preserve">nvironmental </w:t>
      </w:r>
      <w:r w:rsidR="00E75FA8" w:rsidRPr="00C47D6B">
        <w:rPr>
          <w:lang w:eastAsia="en-GB"/>
        </w:rPr>
        <w:t>p</w:t>
      </w:r>
      <w:r w:rsidRPr="00C47D6B">
        <w:rPr>
          <w:lang w:eastAsia="en-GB"/>
        </w:rPr>
        <w:t xml:space="preserve">ermit template including the relevant annexes. We developed these conditions in consultation with industry, having regard to the legal requirements of the </w:t>
      </w:r>
      <w:r w:rsidR="00086853">
        <w:rPr>
          <w:lang w:eastAsia="en-GB"/>
        </w:rPr>
        <w:t>EPR</w:t>
      </w:r>
      <w:r w:rsidRPr="00C47D6B">
        <w:rPr>
          <w:lang w:eastAsia="en-GB"/>
        </w:rPr>
        <w:t xml:space="preserve"> </w:t>
      </w:r>
      <w:r w:rsidR="003E1704">
        <w:rPr>
          <w:lang w:eastAsia="en-GB"/>
        </w:rPr>
        <w:t xml:space="preserve">2016 </w:t>
      </w:r>
      <w:r w:rsidRPr="00C47D6B">
        <w:rPr>
          <w:lang w:eastAsia="en-GB"/>
        </w:rPr>
        <w:t xml:space="preserve">and other relevant legislation. This document does not therefore include an explanation for these standard conditions. Where they are included in the </w:t>
      </w:r>
      <w:r w:rsidR="00E75FA8" w:rsidRPr="00C47D6B">
        <w:rPr>
          <w:lang w:eastAsia="en-GB"/>
        </w:rPr>
        <w:t>n</w:t>
      </w:r>
      <w:r w:rsidRPr="00C47D6B">
        <w:rPr>
          <w:lang w:eastAsia="en-GB"/>
        </w:rPr>
        <w:t xml:space="preserve">otice, we have considered the techniques identified by the operator for the operation of their </w:t>
      </w:r>
      <w:r w:rsidR="006D0A49" w:rsidRPr="00C47D6B">
        <w:rPr>
          <w:lang w:eastAsia="en-GB"/>
        </w:rPr>
        <w:t>installation and</w:t>
      </w:r>
      <w:r w:rsidRPr="00C47D6B">
        <w:rPr>
          <w:lang w:eastAsia="en-GB"/>
        </w:rPr>
        <w:t xml:space="preserve"> have accepted that the details are sufficient and satisfactory to make those standard conditions appropriate.  </w:t>
      </w:r>
    </w:p>
    <w:p w14:paraId="0BECF467" w14:textId="77777777" w:rsidR="008A4BAD" w:rsidRDefault="008A4BAD" w:rsidP="007C6E45">
      <w:pPr>
        <w:pStyle w:val="Heading1"/>
        <w:keepLines w:val="0"/>
        <w:spacing w:after="60" w:line="240" w:lineRule="auto"/>
        <w:rPr>
          <w:rFonts w:eastAsia="Times New Roman" w:cs="Arial"/>
          <w:color w:val="auto"/>
          <w:kern w:val="28"/>
          <w:sz w:val="32"/>
          <w:lang w:eastAsia="en-GB"/>
        </w:rPr>
      </w:pPr>
    </w:p>
    <w:p w14:paraId="4112185C" w14:textId="73E3F9A4" w:rsidR="00DF1C4A" w:rsidRPr="006D0A49" w:rsidRDefault="00DF1C4A" w:rsidP="007C6E45">
      <w:pPr>
        <w:pStyle w:val="Heading1"/>
        <w:keepLines w:val="0"/>
        <w:spacing w:after="60" w:line="240" w:lineRule="auto"/>
        <w:rPr>
          <w:rFonts w:eastAsia="Times New Roman" w:cs="Arial"/>
          <w:color w:val="auto"/>
          <w:kern w:val="28"/>
          <w:sz w:val="32"/>
          <w:lang w:eastAsia="en-GB"/>
        </w:rPr>
      </w:pPr>
      <w:r w:rsidRPr="006D0A49">
        <w:rPr>
          <w:rFonts w:eastAsia="Times New Roman" w:cs="Arial"/>
          <w:color w:val="auto"/>
          <w:kern w:val="28"/>
          <w:sz w:val="32"/>
          <w:lang w:eastAsia="en-GB"/>
        </w:rPr>
        <w:t>How we reached our decision</w:t>
      </w:r>
    </w:p>
    <w:p w14:paraId="2865CC09" w14:textId="0D1C0262" w:rsidR="00E75FA8" w:rsidRPr="006D0A49" w:rsidRDefault="00E75FA8" w:rsidP="007C6E45">
      <w:pPr>
        <w:rPr>
          <w:u w:val="single"/>
          <w:lang w:eastAsia="en-GB"/>
        </w:rPr>
      </w:pPr>
      <w:r w:rsidRPr="006D0A49">
        <w:rPr>
          <w:u w:val="single"/>
          <w:lang w:eastAsia="en-GB"/>
        </w:rPr>
        <w:t>Receipt of application</w:t>
      </w:r>
    </w:p>
    <w:p w14:paraId="52066F75" w14:textId="6158D810" w:rsidR="00E75FA8" w:rsidRDefault="00E75FA8" w:rsidP="007C6E45">
      <w:pPr>
        <w:rPr>
          <w:lang w:eastAsia="en-GB"/>
        </w:rPr>
      </w:pPr>
      <w:r>
        <w:rPr>
          <w:lang w:eastAsia="en-GB"/>
        </w:rPr>
        <w:t xml:space="preserve">The application was duly made on </w:t>
      </w:r>
      <w:r w:rsidRPr="00E75FA8">
        <w:rPr>
          <w:lang w:eastAsia="en-GB"/>
        </w:rPr>
        <w:t>08/08/2024</w:t>
      </w:r>
      <w:r>
        <w:rPr>
          <w:lang w:eastAsia="en-GB"/>
        </w:rPr>
        <w:t>.  This means we considered it was in the correct form and contained sufficient information for us to begin our determination.</w:t>
      </w:r>
    </w:p>
    <w:p w14:paraId="2451B446" w14:textId="77777777" w:rsidR="007C6E45" w:rsidRDefault="007C6E45" w:rsidP="007C6E45">
      <w:pPr>
        <w:rPr>
          <w:lang w:eastAsia="en-GB"/>
        </w:rPr>
      </w:pPr>
    </w:p>
    <w:p w14:paraId="0A60E4EF" w14:textId="77777777" w:rsidR="007C6E45" w:rsidRDefault="007C6E45" w:rsidP="007C6E45">
      <w:pPr>
        <w:rPr>
          <w:lang w:eastAsia="en-GB"/>
        </w:rPr>
      </w:pPr>
    </w:p>
    <w:p w14:paraId="3649D0F0" w14:textId="157D786C" w:rsidR="00E75FA8" w:rsidRPr="006D0A49" w:rsidRDefault="00E75FA8" w:rsidP="007C6E45">
      <w:pPr>
        <w:rPr>
          <w:u w:val="single"/>
          <w:lang w:eastAsia="en-GB"/>
        </w:rPr>
      </w:pPr>
      <w:r w:rsidRPr="006D0A49">
        <w:rPr>
          <w:u w:val="single"/>
          <w:lang w:eastAsia="en-GB"/>
        </w:rPr>
        <w:lastRenderedPageBreak/>
        <w:t>Commercial confidentiality</w:t>
      </w:r>
    </w:p>
    <w:p w14:paraId="2706BCA1" w14:textId="6B28EADF" w:rsidR="00E75FA8" w:rsidRDefault="00E75FA8" w:rsidP="007C6E45">
      <w:pPr>
        <w:rPr>
          <w:lang w:eastAsia="en-GB"/>
        </w:rPr>
      </w:pPr>
      <w:r>
        <w:rPr>
          <w:lang w:eastAsia="en-GB"/>
        </w:rPr>
        <w:t xml:space="preserve">The applicant claimed that certain information was commercially confidential and should be withheld from the public register. We considered this request and determined that the information claimed as confidential was industrial information commercially sensitive in relation to the operator’s commercial strategy and critical in their competitiveness. </w:t>
      </w:r>
    </w:p>
    <w:p w14:paraId="487F35C5" w14:textId="6F8FE721" w:rsidR="00E75FA8" w:rsidRDefault="00E75FA8" w:rsidP="007C6E45">
      <w:pPr>
        <w:rPr>
          <w:lang w:eastAsia="en-GB"/>
        </w:rPr>
      </w:pPr>
      <w:r>
        <w:rPr>
          <w:lang w:eastAsia="en-GB"/>
        </w:rPr>
        <w:t>We have determined that the following information included in the application and subsequent responses to requests for information, is confidential:</w:t>
      </w:r>
    </w:p>
    <w:p w14:paraId="22915EFE" w14:textId="26CC9531" w:rsidR="00E75FA8" w:rsidRDefault="00E75FA8" w:rsidP="007C6E45">
      <w:pPr>
        <w:pStyle w:val="ListParagraph"/>
        <w:numPr>
          <w:ilvl w:val="0"/>
          <w:numId w:val="7"/>
        </w:numPr>
        <w:rPr>
          <w:lang w:eastAsia="en-GB"/>
        </w:rPr>
      </w:pPr>
      <w:r>
        <w:rPr>
          <w:lang w:eastAsia="en-GB"/>
        </w:rPr>
        <w:t>Volumes of material imported/exported at the White Oil Docks</w:t>
      </w:r>
    </w:p>
    <w:p w14:paraId="3DF5FE6E" w14:textId="11844455" w:rsidR="00E75FA8" w:rsidRDefault="00E75FA8" w:rsidP="007C6E45">
      <w:pPr>
        <w:pStyle w:val="ListParagraph"/>
        <w:numPr>
          <w:ilvl w:val="0"/>
          <w:numId w:val="7"/>
        </w:numPr>
        <w:rPr>
          <w:lang w:eastAsia="en-GB"/>
        </w:rPr>
      </w:pPr>
      <w:r>
        <w:rPr>
          <w:lang w:eastAsia="en-GB"/>
        </w:rPr>
        <w:t xml:space="preserve">Cost impact of limiting imports/exports at the White Oil Docks; cost impact of recovered VOCs at the White Oil Docks. </w:t>
      </w:r>
      <w:proofErr w:type="gramStart"/>
      <w:r>
        <w:rPr>
          <w:lang w:eastAsia="en-GB"/>
        </w:rPr>
        <w:t>As a consequence</w:t>
      </w:r>
      <w:proofErr w:type="gramEnd"/>
      <w:r>
        <w:rPr>
          <w:lang w:eastAsia="en-GB"/>
        </w:rPr>
        <w:t>, the associated cost-benefit analysis spreadsheets submitted in support of the application are considered commercially confidential and excluded from the public register</w:t>
      </w:r>
    </w:p>
    <w:p w14:paraId="212E98BB" w14:textId="022B0D58" w:rsidR="00E75FA8" w:rsidRDefault="00E75FA8" w:rsidP="007C6E45">
      <w:pPr>
        <w:pStyle w:val="ListParagraph"/>
        <w:numPr>
          <w:ilvl w:val="0"/>
          <w:numId w:val="7"/>
        </w:numPr>
        <w:rPr>
          <w:lang w:eastAsia="en-GB"/>
        </w:rPr>
      </w:pPr>
      <w:r>
        <w:rPr>
          <w:lang w:eastAsia="en-GB"/>
        </w:rPr>
        <w:t xml:space="preserve">Details of the project being </w:t>
      </w:r>
      <w:r w:rsidR="00A95D88">
        <w:rPr>
          <w:lang w:eastAsia="en-GB"/>
        </w:rPr>
        <w:t>implemented</w:t>
      </w:r>
      <w:r>
        <w:rPr>
          <w:lang w:eastAsia="en-GB"/>
        </w:rPr>
        <w:t xml:space="preserve"> to comply with BAT (Mogas Export Project), </w:t>
      </w:r>
      <w:r w:rsidR="00AC399B">
        <w:rPr>
          <w:lang w:eastAsia="en-GB"/>
        </w:rPr>
        <w:t>including costs of equipment.</w:t>
      </w:r>
    </w:p>
    <w:p w14:paraId="13A5FE73" w14:textId="77777777" w:rsidR="00E75FA8" w:rsidRDefault="00E75FA8" w:rsidP="007C6E45">
      <w:pPr>
        <w:rPr>
          <w:lang w:eastAsia="en-GB"/>
        </w:rPr>
      </w:pPr>
    </w:p>
    <w:p w14:paraId="621F4450" w14:textId="38EF040D" w:rsidR="00E75FA8" w:rsidRDefault="00E75FA8" w:rsidP="007C6E45">
      <w:pPr>
        <w:rPr>
          <w:lang w:eastAsia="en-GB"/>
        </w:rPr>
      </w:pPr>
      <w:r>
        <w:rPr>
          <w:lang w:eastAsia="en-GB"/>
        </w:rPr>
        <w:t>We decided that the confidentiality of the information in the scope of the applicant’s claim is provided by law to protect a legitimate economic interest and, taking account all circumstances, the public interest in maintaining the confidentiality outweighs the public interest in including it in the public register, in accordance with the criteria in Regulation 51(c)(</w:t>
      </w:r>
      <w:proofErr w:type="spellStart"/>
      <w:r>
        <w:rPr>
          <w:lang w:eastAsia="en-GB"/>
        </w:rPr>
        <w:t>i</w:t>
      </w:r>
      <w:proofErr w:type="spellEnd"/>
      <w:r>
        <w:rPr>
          <w:lang w:eastAsia="en-GB"/>
        </w:rPr>
        <w:t>), (ii) and (iii) of EPR</w:t>
      </w:r>
      <w:r w:rsidR="003E1704">
        <w:rPr>
          <w:lang w:eastAsia="en-GB"/>
        </w:rPr>
        <w:t xml:space="preserve"> 2016</w:t>
      </w:r>
      <w:r>
        <w:rPr>
          <w:lang w:eastAsia="en-GB"/>
        </w:rPr>
        <w:t>.</w:t>
      </w:r>
    </w:p>
    <w:p w14:paraId="006E7DF0" w14:textId="1F0C436E" w:rsidR="00E75FA8" w:rsidRDefault="00E75FA8" w:rsidP="007C6E45">
      <w:pPr>
        <w:rPr>
          <w:lang w:eastAsia="en-GB"/>
        </w:rPr>
      </w:pPr>
      <w:r>
        <w:rPr>
          <w:lang w:eastAsia="en-GB"/>
        </w:rPr>
        <w:t xml:space="preserve">The </w:t>
      </w:r>
      <w:r w:rsidR="00AC399B">
        <w:rPr>
          <w:lang w:eastAsia="en-GB"/>
        </w:rPr>
        <w:t>a</w:t>
      </w:r>
      <w:r>
        <w:rPr>
          <w:lang w:eastAsia="en-GB"/>
        </w:rPr>
        <w:t xml:space="preserve">pplicant provided edited versions of the documents containing confidential information to ensure that information included in the Public Register allows public understanding of the scope of the application, adequate technical inputs and details, full understanding of environmental risk assessment, results and outcomes of cost benefit analyses. All the information related to emissions has been included in the Public Register and the information withheld has been kept to a minimum. </w:t>
      </w:r>
    </w:p>
    <w:p w14:paraId="4B4CBBC0" w14:textId="115D68D8" w:rsidR="00E75FA8" w:rsidRDefault="00E75FA8" w:rsidP="007C6E45">
      <w:pPr>
        <w:rPr>
          <w:lang w:eastAsia="en-GB"/>
        </w:rPr>
      </w:pPr>
      <w:r>
        <w:rPr>
          <w:lang w:eastAsia="en-GB"/>
        </w:rPr>
        <w:t xml:space="preserve">Apart from the issues and information just described, we have not received any information in relation to the </w:t>
      </w:r>
      <w:r w:rsidR="00AC399B">
        <w:rPr>
          <w:lang w:eastAsia="en-GB"/>
        </w:rPr>
        <w:t>a</w:t>
      </w:r>
      <w:r>
        <w:rPr>
          <w:lang w:eastAsia="en-GB"/>
        </w:rPr>
        <w:t>pplication that appears to be confidential in relation to any party.</w:t>
      </w:r>
    </w:p>
    <w:p w14:paraId="59C4FB23" w14:textId="45A2246C" w:rsidR="00AC399B" w:rsidRPr="00AC399B" w:rsidRDefault="00AC399B" w:rsidP="007C6E45">
      <w:pPr>
        <w:rPr>
          <w:u w:val="single"/>
          <w:lang w:eastAsia="en-GB"/>
        </w:rPr>
      </w:pPr>
      <w:r w:rsidRPr="00AC399B">
        <w:rPr>
          <w:u w:val="single"/>
          <w:lang w:eastAsia="en-GB"/>
        </w:rPr>
        <w:t>Requests for further information</w:t>
      </w:r>
    </w:p>
    <w:p w14:paraId="52BBB20B" w14:textId="7BE50580" w:rsidR="00AC399B" w:rsidRDefault="0081209A" w:rsidP="007C6E45">
      <w:pPr>
        <w:rPr>
          <w:lang w:eastAsia="en-GB"/>
        </w:rPr>
      </w:pPr>
      <w:r w:rsidRPr="0081209A">
        <w:rPr>
          <w:lang w:eastAsia="en-GB"/>
        </w:rPr>
        <w:t xml:space="preserve">Although we were able to consider the </w:t>
      </w:r>
      <w:r>
        <w:rPr>
          <w:lang w:eastAsia="en-GB"/>
        </w:rPr>
        <w:t>a</w:t>
      </w:r>
      <w:r w:rsidRPr="0081209A">
        <w:rPr>
          <w:lang w:eastAsia="en-GB"/>
        </w:rPr>
        <w:t xml:space="preserve">pplication duly made, we did need more information </w:t>
      </w:r>
      <w:proofErr w:type="gramStart"/>
      <w:r w:rsidRPr="0081209A">
        <w:rPr>
          <w:lang w:eastAsia="en-GB"/>
        </w:rPr>
        <w:t>in order to</w:t>
      </w:r>
      <w:proofErr w:type="gramEnd"/>
      <w:r w:rsidRPr="0081209A">
        <w:rPr>
          <w:lang w:eastAsia="en-GB"/>
        </w:rPr>
        <w:t xml:space="preserve"> determine it</w:t>
      </w:r>
      <w:r w:rsidR="003C525C">
        <w:rPr>
          <w:lang w:eastAsia="en-GB"/>
        </w:rPr>
        <w:t>.  We requested this via emails to the operator on 04/12/2024 and 13/01/2025</w:t>
      </w:r>
      <w:r w:rsidRPr="0081209A">
        <w:rPr>
          <w:lang w:eastAsia="en-GB"/>
        </w:rPr>
        <w:t xml:space="preserve">. A copy of </w:t>
      </w:r>
      <w:r w:rsidR="003C525C">
        <w:rPr>
          <w:lang w:eastAsia="en-GB"/>
        </w:rPr>
        <w:t xml:space="preserve">the emails </w:t>
      </w:r>
      <w:r w:rsidRPr="0081209A">
        <w:rPr>
          <w:lang w:eastAsia="en-GB"/>
        </w:rPr>
        <w:t xml:space="preserve">was placed on our public register, along with the additional documentation submitted by the </w:t>
      </w:r>
      <w:r w:rsidR="003C525C">
        <w:rPr>
          <w:lang w:eastAsia="en-GB"/>
        </w:rPr>
        <w:t>o</w:t>
      </w:r>
      <w:r w:rsidRPr="0081209A">
        <w:rPr>
          <w:lang w:eastAsia="en-GB"/>
        </w:rPr>
        <w:t>perator in response to these notices, except in the cases when we determined that this information was commercially confidential (see above).</w:t>
      </w:r>
    </w:p>
    <w:p w14:paraId="50516F0A" w14:textId="25C018CF" w:rsidR="003C525C" w:rsidRPr="005F4A58" w:rsidRDefault="003C525C" w:rsidP="007C6E45">
      <w:pPr>
        <w:rPr>
          <w:color w:val="auto"/>
          <w:u w:val="single"/>
          <w:lang w:eastAsia="en-GB"/>
        </w:rPr>
      </w:pPr>
      <w:r w:rsidRPr="005F4A58">
        <w:rPr>
          <w:color w:val="auto"/>
          <w:u w:val="single"/>
          <w:lang w:eastAsia="en-GB"/>
        </w:rPr>
        <w:lastRenderedPageBreak/>
        <w:t>Consultation on the application</w:t>
      </w:r>
    </w:p>
    <w:p w14:paraId="0B9D09B1" w14:textId="64394D78" w:rsidR="00B9092B" w:rsidRPr="005F4A58" w:rsidRDefault="00B9092B" w:rsidP="007C6E45">
      <w:pPr>
        <w:rPr>
          <w:rFonts w:cs="Arial"/>
          <w:color w:val="auto"/>
        </w:rPr>
      </w:pPr>
      <w:r w:rsidRPr="005F4A58">
        <w:rPr>
          <w:rFonts w:cs="Arial"/>
          <w:color w:val="auto"/>
        </w:rPr>
        <w:t xml:space="preserve">Having carefully considered the application and all other relevant information, we are now putting our draft decision before the public and other interested parties in the form of a draft permit, together with this explanatory document.  As a result of this stage in the process, the public has been provided with all the information that is relevant to our </w:t>
      </w:r>
      <w:proofErr w:type="gramStart"/>
      <w:r w:rsidRPr="005F4A58">
        <w:rPr>
          <w:rFonts w:cs="Arial"/>
          <w:color w:val="auto"/>
        </w:rPr>
        <w:t>determination</w:t>
      </w:r>
      <w:proofErr w:type="gramEnd"/>
      <w:r w:rsidRPr="005F4A58">
        <w:rPr>
          <w:rFonts w:cs="Arial"/>
          <w:color w:val="auto"/>
        </w:rPr>
        <w:t xml:space="preserve"> and we have given the public </w:t>
      </w:r>
      <w:r w:rsidR="001B3925" w:rsidRPr="005F4A58">
        <w:rPr>
          <w:rFonts w:cs="Arial"/>
          <w:color w:val="auto"/>
        </w:rPr>
        <w:t>the opportunity</w:t>
      </w:r>
      <w:r w:rsidRPr="005F4A58">
        <w:rPr>
          <w:rFonts w:cs="Arial"/>
          <w:color w:val="auto"/>
        </w:rPr>
        <w:t xml:space="preserve"> to </w:t>
      </w:r>
      <w:r w:rsidR="001B3925" w:rsidRPr="005F4A58">
        <w:rPr>
          <w:rFonts w:cs="Arial"/>
          <w:color w:val="auto"/>
        </w:rPr>
        <w:t xml:space="preserve">make </w:t>
      </w:r>
      <w:r w:rsidRPr="005F4A58">
        <w:rPr>
          <w:rFonts w:cs="Arial"/>
          <w:color w:val="auto"/>
        </w:rPr>
        <w:t>comment</w:t>
      </w:r>
      <w:r w:rsidR="001B3925" w:rsidRPr="005F4A58">
        <w:rPr>
          <w:rFonts w:cs="Arial"/>
          <w:color w:val="auto"/>
        </w:rPr>
        <w:t>s</w:t>
      </w:r>
      <w:r w:rsidRPr="005F4A58">
        <w:rPr>
          <w:rFonts w:cs="Arial"/>
          <w:color w:val="auto"/>
        </w:rPr>
        <w:t>.  Once again, we will consider all relevant representations we receive in response to this consultation and will amend this explanatory document as appropriate to explain how we have done this, when we publish our final decision.</w:t>
      </w:r>
    </w:p>
    <w:p w14:paraId="33ED1724" w14:textId="04BAA885" w:rsidR="002B5C2C" w:rsidRPr="002B5C2C" w:rsidRDefault="002B5C2C" w:rsidP="007C6E45">
      <w:pPr>
        <w:pStyle w:val="Heading1"/>
        <w:keepLines w:val="0"/>
        <w:spacing w:after="60" w:line="240" w:lineRule="auto"/>
        <w:rPr>
          <w:rFonts w:eastAsia="Times New Roman" w:cs="Arial"/>
          <w:color w:val="auto"/>
          <w:kern w:val="28"/>
          <w:sz w:val="32"/>
          <w:lang w:eastAsia="en-GB"/>
        </w:rPr>
      </w:pPr>
      <w:bookmarkStart w:id="4" w:name="_Toc438137740"/>
      <w:bookmarkStart w:id="5" w:name="_Toc103241360"/>
      <w:r w:rsidRPr="002B5C2C">
        <w:rPr>
          <w:rFonts w:eastAsia="Times New Roman" w:cs="Arial"/>
          <w:color w:val="auto"/>
          <w:kern w:val="28"/>
          <w:sz w:val="32"/>
          <w:lang w:eastAsia="en-GB"/>
        </w:rPr>
        <w:t>Key Issues</w:t>
      </w:r>
      <w:bookmarkEnd w:id="4"/>
      <w:bookmarkEnd w:id="5"/>
    </w:p>
    <w:p w14:paraId="299D8431" w14:textId="050359AA" w:rsidR="002B5C2C" w:rsidRDefault="00181992" w:rsidP="007C6E45">
      <w:pPr>
        <w:spacing w:before="120"/>
      </w:pPr>
      <w:r w:rsidRPr="00181992">
        <w:t xml:space="preserve">This variation has been determined following an application by the operator </w:t>
      </w:r>
      <w:r w:rsidR="003B2433">
        <w:t xml:space="preserve">for </w:t>
      </w:r>
      <w:r w:rsidRPr="00181992">
        <w:t>derogation from</w:t>
      </w:r>
      <w:r w:rsidR="003E231E">
        <w:t xml:space="preserve"> </w:t>
      </w:r>
      <w:r w:rsidR="005A5F2D">
        <w:t xml:space="preserve">the requirements of </w:t>
      </w:r>
      <w:r w:rsidR="002B5C2C" w:rsidRPr="003F6C3A">
        <w:t xml:space="preserve">BAT </w:t>
      </w:r>
      <w:r w:rsidR="00D940FA">
        <w:t xml:space="preserve">52 </w:t>
      </w:r>
      <w:r w:rsidR="002B5C2C" w:rsidRPr="003F6C3A">
        <w:t xml:space="preserve">of </w:t>
      </w:r>
      <w:r w:rsidR="00B959C3">
        <w:t xml:space="preserve">the BAT </w:t>
      </w:r>
      <w:r w:rsidR="002B5C2C" w:rsidRPr="003F6C3A">
        <w:t xml:space="preserve">Conclusions </w:t>
      </w:r>
      <w:r w:rsidR="00B959C3">
        <w:t>d</w:t>
      </w:r>
      <w:r w:rsidR="002B5C2C" w:rsidRPr="003F6C3A">
        <w:t>ocument for the Refining of Mineral Oil and Gas</w:t>
      </w:r>
      <w:r w:rsidR="00212370">
        <w:t>:</w:t>
      </w:r>
    </w:p>
    <w:p w14:paraId="381D32E0" w14:textId="56D7ECEB" w:rsidR="00C41AA8" w:rsidRDefault="00C41AA8" w:rsidP="007C6E45">
      <w:pPr>
        <w:spacing w:before="120"/>
      </w:pPr>
      <w:r w:rsidRPr="004857C5">
        <w:rPr>
          <w:noProof/>
        </w:rPr>
        <w:drawing>
          <wp:inline distT="0" distB="0" distL="0" distR="0" wp14:anchorId="34A8C80B" wp14:editId="7FD041EA">
            <wp:extent cx="5350042" cy="2925749"/>
            <wp:effectExtent l="38100" t="0" r="29210" b="28575"/>
            <wp:docPr id="1205756216"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56216" name="Picture 1" descr="A screenshot of a document&#10;&#10;AI-generated content may be incorrect."/>
                    <pic:cNvPicPr/>
                  </pic:nvPicPr>
                  <pic:blipFill>
                    <a:blip r:embed="rId13">
                      <a:alphaModFix/>
                    </a:blip>
                    <a:stretch>
                      <a:fillRect/>
                    </a:stretch>
                  </pic:blipFill>
                  <pic:spPr>
                    <a:xfrm>
                      <a:off x="0" y="0"/>
                      <a:ext cx="5350042" cy="2925749"/>
                    </a:xfrm>
                    <a:prstGeom prst="rect">
                      <a:avLst/>
                    </a:prstGeom>
                    <a:effectLst>
                      <a:outerShdw blurRad="50800" dist="50800" dir="5400000" algn="ctr" rotWithShape="0">
                        <a:srgbClr val="000000">
                          <a:alpha val="0"/>
                        </a:srgbClr>
                      </a:outerShdw>
                    </a:effectLst>
                  </pic:spPr>
                </pic:pic>
              </a:graphicData>
            </a:graphic>
          </wp:inline>
        </w:drawing>
      </w:r>
    </w:p>
    <w:p w14:paraId="626DA764" w14:textId="7C1C7565" w:rsidR="00E72948" w:rsidRDefault="00E72948" w:rsidP="007C6E45">
      <w:r w:rsidRPr="00BC2593">
        <w:rPr>
          <w:noProof/>
        </w:rPr>
        <w:lastRenderedPageBreak/>
        <w:drawing>
          <wp:inline distT="0" distB="0" distL="0" distR="0" wp14:anchorId="6AD09727" wp14:editId="43AAB404">
            <wp:extent cx="5269831" cy="2641339"/>
            <wp:effectExtent l="0" t="0" r="7620" b="6985"/>
            <wp:docPr id="1639666927" name="Picture 1" descr="A table of informati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66927" name="Picture 1" descr="A table of information with text&#10;&#10;AI-generated content may be incorrect."/>
                    <pic:cNvPicPr/>
                  </pic:nvPicPr>
                  <pic:blipFill>
                    <a:blip r:embed="rId14"/>
                    <a:stretch>
                      <a:fillRect/>
                    </a:stretch>
                  </pic:blipFill>
                  <pic:spPr>
                    <a:xfrm>
                      <a:off x="0" y="0"/>
                      <a:ext cx="5282107" cy="2647492"/>
                    </a:xfrm>
                    <a:prstGeom prst="rect">
                      <a:avLst/>
                    </a:prstGeom>
                  </pic:spPr>
                </pic:pic>
              </a:graphicData>
            </a:graphic>
          </wp:inline>
        </w:drawing>
      </w:r>
    </w:p>
    <w:p w14:paraId="6EC0F8FA" w14:textId="254304B1" w:rsidR="00E72948" w:rsidRDefault="00B83E4B" w:rsidP="007C6E45">
      <w:r w:rsidRPr="00B83E4B">
        <w:t>The operator was previously granted derogation</w:t>
      </w:r>
      <w:r w:rsidR="0034027D">
        <w:t xml:space="preserve">s from BAT 52 </w:t>
      </w:r>
      <w:r w:rsidR="00F5171C">
        <w:t xml:space="preserve">by </w:t>
      </w:r>
      <w:r w:rsidR="00B761E1">
        <w:t>variation</w:t>
      </w:r>
      <w:r w:rsidR="00F5171C">
        <w:t xml:space="preserve">s </w:t>
      </w:r>
      <w:r w:rsidR="00C520E3" w:rsidRPr="00C520E3">
        <w:t>EPR/FP3139FN/V0</w:t>
      </w:r>
      <w:r w:rsidR="00C520E3">
        <w:t xml:space="preserve">09 and </w:t>
      </w:r>
      <w:r w:rsidR="00C520E3" w:rsidRPr="00C520E3">
        <w:t>EPR/FP3139FN/V0</w:t>
      </w:r>
      <w:r w:rsidR="00F5171C">
        <w:t xml:space="preserve">11.  </w:t>
      </w:r>
      <w:r w:rsidR="003D2FB8">
        <w:t>The current derogation expire</w:t>
      </w:r>
      <w:r w:rsidR="002B5380">
        <w:t>d</w:t>
      </w:r>
      <w:r w:rsidR="003D2FB8">
        <w:t xml:space="preserve"> on </w:t>
      </w:r>
      <w:r w:rsidR="0089167A" w:rsidRPr="0089167A">
        <w:t>31/08/2024</w:t>
      </w:r>
      <w:r w:rsidR="003D2FB8">
        <w:t xml:space="preserve">.  </w:t>
      </w:r>
      <w:r w:rsidRPr="00B83E4B">
        <w:t xml:space="preserve">This application seeks </w:t>
      </w:r>
      <w:r w:rsidR="00A127FE">
        <w:t xml:space="preserve">an additional 14 months </w:t>
      </w:r>
      <w:r w:rsidRPr="00B83E4B">
        <w:t>to achieve compliance with BAT.</w:t>
      </w:r>
    </w:p>
    <w:p w14:paraId="340D6901" w14:textId="55F5D0C2" w:rsidR="00E12D70" w:rsidRPr="00E12D70" w:rsidRDefault="009F17EF" w:rsidP="007C6E45">
      <w:pPr>
        <w:spacing w:before="120"/>
        <w:rPr>
          <w:u w:val="single"/>
        </w:rPr>
      </w:pPr>
      <w:r w:rsidRPr="00E12D70">
        <w:rPr>
          <w:u w:val="single"/>
        </w:rPr>
        <w:t>First derogation</w:t>
      </w:r>
    </w:p>
    <w:p w14:paraId="58837633" w14:textId="2462E6E9" w:rsidR="009F17EF" w:rsidRDefault="00E12D70" w:rsidP="007C6E45">
      <w:pPr>
        <w:spacing w:before="120"/>
      </w:pPr>
      <w:r w:rsidRPr="00E12D70">
        <w:t xml:space="preserve">EPR/FP3139FN/V009, </w:t>
      </w:r>
      <w:r w:rsidR="00410145">
        <w:t>granted</w:t>
      </w:r>
      <w:r>
        <w:t xml:space="preserve"> on 15/02/2018, </w:t>
      </w:r>
      <w:r w:rsidRPr="00E12D70">
        <w:t>valid until 31/12/2020</w:t>
      </w:r>
    </w:p>
    <w:p w14:paraId="57F1F9E4" w14:textId="0D049296" w:rsidR="00666CD5" w:rsidRDefault="00666CD5" w:rsidP="007C6E45">
      <w:pPr>
        <w:spacing w:before="120"/>
      </w:pPr>
      <w:r>
        <w:t xml:space="preserve">The White Oil Docks (also called Stanlow Island Berths) are located on the north bank of the Manchester Ship Canal (on Shell Island) opposite the Layby </w:t>
      </w:r>
      <w:r w:rsidR="00B12298">
        <w:t>B</w:t>
      </w:r>
      <w:r>
        <w:t xml:space="preserve">erth. There are two berths; numbers 1 and 3, used for importing/exporting white oils and components including gas oil and fuel oil which are produced at the Stanlow Manufacturing Complex from the refining and conversion of crude oil imported via the Tranmere Oil Terminal. </w:t>
      </w:r>
    </w:p>
    <w:p w14:paraId="790C940A" w14:textId="63A20D4B" w:rsidR="00666CD5" w:rsidRDefault="00ED1129" w:rsidP="007C6E45">
      <w:pPr>
        <w:spacing w:before="120"/>
      </w:pPr>
      <w:r>
        <w:t xml:space="preserve">Since </w:t>
      </w:r>
      <w:r w:rsidR="00666CD5" w:rsidRPr="00F54B38">
        <w:t>ship loading/unloading of volatile liquid hydrocarbon</w:t>
      </w:r>
      <w:r w:rsidR="00666CD5">
        <w:t>s</w:t>
      </w:r>
      <w:r w:rsidR="00666CD5" w:rsidRPr="00F54B38">
        <w:t xml:space="preserve"> at the White Oil Docks exceed</w:t>
      </w:r>
      <w:r>
        <w:t>s</w:t>
      </w:r>
      <w:r w:rsidR="00666CD5" w:rsidRPr="00F54B38">
        <w:t xml:space="preserve"> the </w:t>
      </w:r>
      <w:r w:rsidR="006858EF">
        <w:t xml:space="preserve">applicability threshold of </w:t>
      </w:r>
      <w:r w:rsidR="00666CD5" w:rsidRPr="00F54B38">
        <w:t>1 million</w:t>
      </w:r>
      <w:r w:rsidR="0020547C">
        <w:t xml:space="preserve"> cubic metres per year</w:t>
      </w:r>
      <w:r w:rsidR="00666CD5" w:rsidRPr="00F54B38">
        <w:t xml:space="preserve"> </w:t>
      </w:r>
      <w:r w:rsidR="0020547C">
        <w:t>(</w:t>
      </w:r>
      <w:r w:rsidR="00666CD5" w:rsidRPr="00F54B38">
        <w:t>m</w:t>
      </w:r>
      <w:r w:rsidR="00666CD5" w:rsidRPr="00F54B38">
        <w:rPr>
          <w:vertAlign w:val="superscript"/>
        </w:rPr>
        <w:t>3</w:t>
      </w:r>
      <w:r w:rsidR="00666CD5" w:rsidRPr="00F54B38">
        <w:t>/y</w:t>
      </w:r>
      <w:r w:rsidR="0020547C">
        <w:t>),</w:t>
      </w:r>
      <w:r w:rsidR="00666CD5" w:rsidRPr="00F54B38">
        <w:t xml:space="preserve"> </w:t>
      </w:r>
      <w:r w:rsidR="006858EF">
        <w:t>BAT 52</w:t>
      </w:r>
      <w:r w:rsidR="00707481">
        <w:t xml:space="preserve"> is applicable at the White Oil Docks.</w:t>
      </w:r>
    </w:p>
    <w:p w14:paraId="5D7A3A5A" w14:textId="353F3D4A" w:rsidR="003D3E9D" w:rsidRDefault="00031CB0" w:rsidP="007C6E45">
      <w:pPr>
        <w:spacing w:before="120"/>
      </w:pPr>
      <w:r w:rsidRPr="00AD4683">
        <w:t xml:space="preserve">The </w:t>
      </w:r>
      <w:r w:rsidR="00BC1E0D">
        <w:t>o</w:t>
      </w:r>
      <w:r w:rsidRPr="00AD4683">
        <w:t xml:space="preserve">perator </w:t>
      </w:r>
      <w:r>
        <w:rPr>
          <w:color w:val="000000"/>
        </w:rPr>
        <w:t>was not able to</w:t>
      </w:r>
      <w:r w:rsidRPr="00AD4683">
        <w:t xml:space="preserve"> meet the BAT</w:t>
      </w:r>
      <w:r w:rsidR="00C2479C">
        <w:t>-</w:t>
      </w:r>
      <w:r w:rsidRPr="00AD4683">
        <w:t>AELs</w:t>
      </w:r>
      <w:r w:rsidR="00170C45">
        <w:t>,</w:t>
      </w:r>
      <w:r w:rsidRPr="00AD4683">
        <w:t xml:space="preserve"> as </w:t>
      </w:r>
      <w:r w:rsidR="0014304D">
        <w:t xml:space="preserve">stated in Table 16 of </w:t>
      </w:r>
      <w:r w:rsidRPr="00AD4683">
        <w:t>BAT</w:t>
      </w:r>
      <w:r w:rsidR="009432D2">
        <w:t> </w:t>
      </w:r>
      <w:r w:rsidRPr="00AD4683">
        <w:t>52</w:t>
      </w:r>
      <w:r w:rsidR="00170C45">
        <w:t>,</w:t>
      </w:r>
      <w:r w:rsidRPr="00AD4683">
        <w:t xml:space="preserve"> by the </w:t>
      </w:r>
      <w:r w:rsidR="0014304D">
        <w:t xml:space="preserve">compliance </w:t>
      </w:r>
      <w:r w:rsidRPr="00AD4683">
        <w:t>date of 28/10/2018</w:t>
      </w:r>
      <w:r>
        <w:t xml:space="preserve">. </w:t>
      </w:r>
      <w:r w:rsidR="00DC1CED">
        <w:t xml:space="preserve"> </w:t>
      </w:r>
    </w:p>
    <w:p w14:paraId="70151DB1" w14:textId="21849794" w:rsidR="009E7A5D" w:rsidRDefault="00B20D6C" w:rsidP="007C6E45">
      <w:pPr>
        <w:spacing w:before="120"/>
      </w:pPr>
      <w:r>
        <w:t>A</w:t>
      </w:r>
      <w:r w:rsidR="009E7A5D">
        <w:t xml:space="preserve"> </w:t>
      </w:r>
      <w:r w:rsidR="00F164E6" w:rsidRPr="00AD4683">
        <w:t>time</w:t>
      </w:r>
      <w:r w:rsidR="00F164E6">
        <w:t>-</w:t>
      </w:r>
      <w:r w:rsidR="00F164E6" w:rsidRPr="00AD4683">
        <w:t xml:space="preserve">limited derogation </w:t>
      </w:r>
      <w:r w:rsidR="00591925">
        <w:t xml:space="preserve">was </w:t>
      </w:r>
      <w:r w:rsidR="009432D2">
        <w:t xml:space="preserve">subsequently </w:t>
      </w:r>
      <w:r w:rsidR="009D607A">
        <w:t xml:space="preserve">granted </w:t>
      </w:r>
      <w:r w:rsidR="00F164E6">
        <w:t xml:space="preserve">to the operator </w:t>
      </w:r>
      <w:r w:rsidR="009D607A">
        <w:t xml:space="preserve">in 2018 </w:t>
      </w:r>
      <w:r w:rsidR="00F164E6" w:rsidRPr="00AD4683">
        <w:t>(variation EPR/FP3139FN/V009</w:t>
      </w:r>
      <w:r w:rsidR="00F164E6">
        <w:t>, valid until</w:t>
      </w:r>
      <w:r w:rsidR="00F164E6" w:rsidRPr="00AD4683">
        <w:t xml:space="preserve"> 31/12/2020</w:t>
      </w:r>
      <w:r w:rsidR="009D607A">
        <w:t>)</w:t>
      </w:r>
      <w:r w:rsidR="00BA45C3">
        <w:t>.  The derogation</w:t>
      </w:r>
      <w:r>
        <w:t xml:space="preserve"> </w:t>
      </w:r>
      <w:r w:rsidR="003D3E9D">
        <w:t xml:space="preserve">was granted with justification </w:t>
      </w:r>
      <w:r w:rsidR="009E7A5D">
        <w:t xml:space="preserve">addressing the criteria set out in Article 15(4) </w:t>
      </w:r>
      <w:r w:rsidR="009E7A5D" w:rsidRPr="009E7A5D">
        <w:rPr>
          <w:i/>
          <w:iCs/>
        </w:rPr>
        <w:t>[that meeting the BAT</w:t>
      </w:r>
      <w:r w:rsidR="009E7A5D">
        <w:rPr>
          <w:i/>
          <w:iCs/>
        </w:rPr>
        <w:t>-</w:t>
      </w:r>
      <w:r w:rsidR="009E7A5D" w:rsidRPr="009E7A5D">
        <w:rPr>
          <w:i/>
          <w:iCs/>
        </w:rPr>
        <w:t xml:space="preserve">AEL would lead to disproportionately higher costs compared to the environmental benefits] </w:t>
      </w:r>
      <w:r w:rsidR="009E7A5D">
        <w:t>due to the technical characteristics of the installation and its current configuration</w:t>
      </w:r>
      <w:r w:rsidR="00432485">
        <w:t>;</w:t>
      </w:r>
      <w:r w:rsidR="009E7A5D">
        <w:t xml:space="preserve"> it was not possible to comply with the relevant BAT-AELs. </w:t>
      </w:r>
    </w:p>
    <w:p w14:paraId="75210995" w14:textId="219DDF74" w:rsidR="009E7A5D" w:rsidRDefault="00F964FD" w:rsidP="007C6E45">
      <w:pPr>
        <w:spacing w:before="120"/>
      </w:pPr>
      <w:r>
        <w:t>A</w:t>
      </w:r>
      <w:r w:rsidRPr="00F964FD">
        <w:t xml:space="preserve">t </w:t>
      </w:r>
      <w:r w:rsidR="00C962F2">
        <w:t>that</w:t>
      </w:r>
      <w:r w:rsidRPr="00F964FD">
        <w:t xml:space="preserve"> time there was no vapour recovery at the White Oil Docks - emissions of </w:t>
      </w:r>
      <w:r w:rsidR="00C962F2">
        <w:t xml:space="preserve">volatile organic </w:t>
      </w:r>
      <w:r w:rsidR="00097E80">
        <w:t>compounds</w:t>
      </w:r>
      <w:r w:rsidR="00C962F2">
        <w:t xml:space="preserve"> (</w:t>
      </w:r>
      <w:r w:rsidR="00712420">
        <w:t>“</w:t>
      </w:r>
      <w:r w:rsidRPr="00F964FD">
        <w:t>VOCs</w:t>
      </w:r>
      <w:r w:rsidR="00712420">
        <w:t>”</w:t>
      </w:r>
      <w:r w:rsidR="00C962F2">
        <w:t>)</w:t>
      </w:r>
      <w:r w:rsidRPr="00F964FD">
        <w:t xml:space="preserve"> arising from </w:t>
      </w:r>
      <w:r w:rsidR="00097E80">
        <w:t xml:space="preserve">the </w:t>
      </w:r>
      <w:r w:rsidRPr="00F964FD">
        <w:t xml:space="preserve">loading of sea-going </w:t>
      </w:r>
      <w:r w:rsidRPr="00F964FD">
        <w:lastRenderedPageBreak/>
        <w:t>vessels at the White Oil Docks were emitted, unabated, through a high level (approx. 60m) vent stack, which used fans to disperse the vapour.</w:t>
      </w:r>
    </w:p>
    <w:p w14:paraId="3B9D41D7" w14:textId="26ACBF99" w:rsidR="001942CE" w:rsidRDefault="00596DCB" w:rsidP="007C6E45">
      <w:pPr>
        <w:spacing w:before="120"/>
      </w:pPr>
      <w:r>
        <w:t xml:space="preserve">The strategy proposed by the operator to achieve compliance </w:t>
      </w:r>
      <w:r w:rsidR="00A0689F" w:rsidRPr="00A0689F">
        <w:t>relied on the reduction of throughput at the White Oil Docks to below the applicability threshold of 1 million m</w:t>
      </w:r>
      <w:r w:rsidR="00A0689F" w:rsidRPr="0020547C">
        <w:rPr>
          <w:vertAlign w:val="superscript"/>
        </w:rPr>
        <w:t>3</w:t>
      </w:r>
      <w:r w:rsidR="00A0689F" w:rsidRPr="00A0689F">
        <w:t xml:space="preserve">/y by 31/12/2020. This was dependent on the completion of the operator’s </w:t>
      </w:r>
      <w:r w:rsidR="001942CE">
        <w:t>separate</w:t>
      </w:r>
      <w:r w:rsidR="00A0689F" w:rsidRPr="00A0689F">
        <w:t xml:space="preserve"> project to transfer most of the loading and unloading operations from </w:t>
      </w:r>
      <w:r w:rsidR="00751A41">
        <w:t xml:space="preserve">the </w:t>
      </w:r>
      <w:r w:rsidR="00A0689F" w:rsidRPr="00A0689F">
        <w:t xml:space="preserve">White Oil Docks to the Tranmere Oil Terminal (referred in the following as the ‘Mogas Export Project’), where a </w:t>
      </w:r>
      <w:r w:rsidR="00751A41">
        <w:t>vapour recovery unit (</w:t>
      </w:r>
      <w:r w:rsidR="00712420">
        <w:t>“</w:t>
      </w:r>
      <w:r w:rsidR="00A0689F" w:rsidRPr="00A0689F">
        <w:t>VRU</w:t>
      </w:r>
      <w:r w:rsidR="00712420">
        <w:t>”</w:t>
      </w:r>
      <w:r w:rsidR="00751A41">
        <w:t>)</w:t>
      </w:r>
      <w:r w:rsidR="00A0689F" w:rsidRPr="00A0689F">
        <w:t xml:space="preserve"> would be installed, thus complying with BAT 52.  </w:t>
      </w:r>
    </w:p>
    <w:p w14:paraId="1353AB0F" w14:textId="6F1167AD" w:rsidR="00596DCB" w:rsidRDefault="006B06DA" w:rsidP="007C6E45">
      <w:pPr>
        <w:spacing w:before="120"/>
      </w:pPr>
      <w:proofErr w:type="gramStart"/>
      <w:r>
        <w:t>T</w:t>
      </w:r>
      <w:r w:rsidR="00596DCB">
        <w:t>he Mogas Export Project,</w:t>
      </w:r>
      <w:proofErr w:type="gramEnd"/>
      <w:r w:rsidR="00596DCB">
        <w:t xml:space="preserve"> </w:t>
      </w:r>
      <w:r w:rsidR="00A010C2">
        <w:t xml:space="preserve">was explained by the operator to be </w:t>
      </w:r>
      <w:r w:rsidR="000B191B">
        <w:t xml:space="preserve">an </w:t>
      </w:r>
      <w:r w:rsidR="00596DCB">
        <w:t xml:space="preserve">independent </w:t>
      </w:r>
      <w:r w:rsidR="000B191B">
        <w:t xml:space="preserve">project </w:t>
      </w:r>
      <w:r w:rsidR="00596DCB">
        <w:t>driven by commercial / business needs</w:t>
      </w:r>
      <w:r w:rsidR="00506CDD">
        <w:t xml:space="preserve"> that would be implemented regardless of the BAT requirements for the White Oil Docks set out in BAT 52.  The project would </w:t>
      </w:r>
      <w:r w:rsidR="00A010C2">
        <w:t>enabl</w:t>
      </w:r>
      <w:r w:rsidR="00506CDD">
        <w:t>e</w:t>
      </w:r>
      <w:r w:rsidR="00A010C2">
        <w:t xml:space="preserve"> </w:t>
      </w:r>
      <w:r w:rsidR="00596DCB">
        <w:t>cargo packet size</w:t>
      </w:r>
      <w:r w:rsidR="00506CDD">
        <w:t>s</w:t>
      </w:r>
      <w:r w:rsidR="00596DCB">
        <w:t xml:space="preserve"> for gasoline exports to be increased</w:t>
      </w:r>
      <w:r w:rsidR="00710A84">
        <w:t xml:space="preserve">, </w:t>
      </w:r>
      <w:r w:rsidR="00596DCB">
        <w:t xml:space="preserve">sales of gasoline to a wider market and </w:t>
      </w:r>
      <w:r w:rsidR="00946F4A">
        <w:t xml:space="preserve">the </w:t>
      </w:r>
      <w:r w:rsidR="00710A84">
        <w:t xml:space="preserve">reduction of </w:t>
      </w:r>
      <w:r w:rsidR="00596DCB">
        <w:t>shipping costs per parcel</w:t>
      </w:r>
      <w:r w:rsidR="00946F4A">
        <w:t>.</w:t>
      </w:r>
    </w:p>
    <w:p w14:paraId="3486B837" w14:textId="3DAE0FA4" w:rsidR="00ED2E6E" w:rsidRDefault="00ED2E6E" w:rsidP="007C6E45">
      <w:pPr>
        <w:spacing w:before="120"/>
      </w:pPr>
      <w:r>
        <w:t>T</w:t>
      </w:r>
      <w:r w:rsidRPr="00ED2E6E">
        <w:t xml:space="preserve">he operator </w:t>
      </w:r>
      <w:r w:rsidR="00914599">
        <w:t xml:space="preserve">did not </w:t>
      </w:r>
      <w:r w:rsidRPr="00ED2E6E">
        <w:t xml:space="preserve">meet </w:t>
      </w:r>
      <w:r>
        <w:t xml:space="preserve">the derogation </w:t>
      </w:r>
      <w:r w:rsidRPr="00ED2E6E">
        <w:t>deadline</w:t>
      </w:r>
      <w:r w:rsidR="00795E5A">
        <w:t>, for the reasons described below,</w:t>
      </w:r>
      <w:r w:rsidRPr="00ED2E6E">
        <w:t xml:space="preserve"> and applied for a further derogation.</w:t>
      </w:r>
    </w:p>
    <w:p w14:paraId="5798E193" w14:textId="47026B14" w:rsidR="002F2C31" w:rsidRPr="00E12D70" w:rsidRDefault="002F2C31" w:rsidP="007C6E45">
      <w:pPr>
        <w:spacing w:before="120"/>
        <w:rPr>
          <w:u w:val="single"/>
        </w:rPr>
      </w:pPr>
      <w:r>
        <w:rPr>
          <w:u w:val="single"/>
        </w:rPr>
        <w:t xml:space="preserve">Second </w:t>
      </w:r>
      <w:r w:rsidRPr="00E12D70">
        <w:rPr>
          <w:u w:val="single"/>
        </w:rPr>
        <w:t>derogation</w:t>
      </w:r>
    </w:p>
    <w:p w14:paraId="1F1299BF" w14:textId="0D348DAD" w:rsidR="002F2C31" w:rsidRDefault="002F2C31" w:rsidP="007C6E45">
      <w:pPr>
        <w:spacing w:before="120"/>
      </w:pPr>
      <w:r w:rsidRPr="00E12D70">
        <w:t>EPR/FP3139FN/V0</w:t>
      </w:r>
      <w:r>
        <w:t>11</w:t>
      </w:r>
      <w:r w:rsidRPr="00E12D70">
        <w:t xml:space="preserve">, </w:t>
      </w:r>
      <w:r>
        <w:t xml:space="preserve">granted on 12/05/2022, </w:t>
      </w:r>
      <w:r w:rsidRPr="00E12D70">
        <w:t>valid until 31/</w:t>
      </w:r>
      <w:r>
        <w:t>08/</w:t>
      </w:r>
      <w:r w:rsidR="00410145">
        <w:t>2024</w:t>
      </w:r>
    </w:p>
    <w:p w14:paraId="3DC7F4D8" w14:textId="119ABE4C" w:rsidR="00ED76D2" w:rsidRDefault="0027236C" w:rsidP="007C6E45">
      <w:pPr>
        <w:spacing w:before="120"/>
      </w:pPr>
      <w:r w:rsidRPr="0027236C">
        <w:t xml:space="preserve">There </w:t>
      </w:r>
      <w:r>
        <w:t>wa</w:t>
      </w:r>
      <w:r w:rsidRPr="0027236C">
        <w:t xml:space="preserve">s no change to the </w:t>
      </w:r>
      <w:r>
        <w:t xml:space="preserve">operator’s </w:t>
      </w:r>
      <w:r w:rsidRPr="0027236C">
        <w:t xml:space="preserve">proposals or strategy for achieving compliance </w:t>
      </w:r>
      <w:r w:rsidR="00B526DD">
        <w:t xml:space="preserve">with BAT 52, </w:t>
      </w:r>
      <w:r w:rsidRPr="0027236C">
        <w:t xml:space="preserve">over those approved for the </w:t>
      </w:r>
      <w:r w:rsidR="00A6781D">
        <w:t>first</w:t>
      </w:r>
      <w:r w:rsidRPr="0027236C">
        <w:t xml:space="preserve"> derogation.  </w:t>
      </w:r>
      <w:r w:rsidR="006C1C16" w:rsidRPr="006C1C16">
        <w:t xml:space="preserve">The </w:t>
      </w:r>
      <w:r w:rsidR="004F7DF8">
        <w:t xml:space="preserve">second </w:t>
      </w:r>
      <w:r w:rsidR="008438B5">
        <w:t>derogation was granted</w:t>
      </w:r>
      <w:r w:rsidR="009E1A5F">
        <w:t xml:space="preserve"> to </w:t>
      </w:r>
      <w:r w:rsidR="004F7DF8">
        <w:t xml:space="preserve">provide additional time for the operator </w:t>
      </w:r>
      <w:r w:rsidR="00C651FD">
        <w:t xml:space="preserve">to complete </w:t>
      </w:r>
      <w:r w:rsidR="004F7DF8">
        <w:t xml:space="preserve">delivery of the </w:t>
      </w:r>
      <w:r w:rsidR="00C651FD">
        <w:t xml:space="preserve">Mogas Export Project.  </w:t>
      </w:r>
    </w:p>
    <w:p w14:paraId="6FD14E34" w14:textId="788335BC" w:rsidR="002E73B7" w:rsidRPr="007E19C0" w:rsidRDefault="00C651FD" w:rsidP="007C6E45">
      <w:pPr>
        <w:spacing w:before="120"/>
      </w:pPr>
      <w:r>
        <w:t xml:space="preserve">The operator </w:t>
      </w:r>
      <w:r w:rsidR="006C1C16" w:rsidRPr="006C1C16">
        <w:t xml:space="preserve">provided evidence of the progress they had made </w:t>
      </w:r>
      <w:r w:rsidR="00ED76D2">
        <w:t xml:space="preserve">with the Mogas Export Project </w:t>
      </w:r>
      <w:r>
        <w:t xml:space="preserve">but </w:t>
      </w:r>
      <w:r w:rsidR="006C1C16">
        <w:t xml:space="preserve">cited </w:t>
      </w:r>
      <w:r w:rsidR="00CB2FB5">
        <w:t>disruption caused by</w:t>
      </w:r>
      <w:r w:rsidR="00DF105C">
        <w:t xml:space="preserve"> the COVID-19 pandemic on the availability of engineering personnel</w:t>
      </w:r>
      <w:r w:rsidR="00E96271">
        <w:t xml:space="preserve"> </w:t>
      </w:r>
      <w:r w:rsidR="00D25AD9" w:rsidRPr="00D25AD9">
        <w:t xml:space="preserve">and its effects on global market conditions for oil refining with a negative impact on the </w:t>
      </w:r>
      <w:r w:rsidR="00C35A23">
        <w:t>o</w:t>
      </w:r>
      <w:r w:rsidR="00D25AD9" w:rsidRPr="00D25AD9">
        <w:t>perator’s business</w:t>
      </w:r>
      <w:r w:rsidR="00C35A23">
        <w:t xml:space="preserve"> as the </w:t>
      </w:r>
      <w:r w:rsidR="002424EB">
        <w:t>cause of</w:t>
      </w:r>
      <w:r w:rsidR="00C35A23">
        <w:t xml:space="preserve"> not meeting the derogation deadline.</w:t>
      </w:r>
      <w:r w:rsidR="00D20F29">
        <w:t xml:space="preserve">  </w:t>
      </w:r>
    </w:p>
    <w:p w14:paraId="24EAD396" w14:textId="0FDEC251" w:rsidR="00332F7A" w:rsidRPr="00332F7A" w:rsidRDefault="00332F7A" w:rsidP="007C6E45">
      <w:pPr>
        <w:spacing w:before="120"/>
        <w:rPr>
          <w:u w:val="single"/>
        </w:rPr>
      </w:pPr>
      <w:r w:rsidRPr="00332F7A">
        <w:rPr>
          <w:u w:val="single"/>
        </w:rPr>
        <w:t>Current derogation request</w:t>
      </w:r>
    </w:p>
    <w:p w14:paraId="76E3EC71" w14:textId="7AF47199" w:rsidR="003C59ED" w:rsidRDefault="003C59ED" w:rsidP="007C6E45">
      <w:pPr>
        <w:spacing w:before="120"/>
      </w:pPr>
      <w:r>
        <w:t xml:space="preserve">The </w:t>
      </w:r>
      <w:r w:rsidR="00952314">
        <w:t>o</w:t>
      </w:r>
      <w:r>
        <w:t xml:space="preserve">perator has requested a further derogation </w:t>
      </w:r>
      <w:r w:rsidR="00952314">
        <w:t>from the requirements of BAT</w:t>
      </w:r>
      <w:r w:rsidR="00346B28">
        <w:t> </w:t>
      </w:r>
      <w:r w:rsidR="00952314">
        <w:t>52</w:t>
      </w:r>
      <w:r w:rsidR="00042563">
        <w:t xml:space="preserve"> until </w:t>
      </w:r>
      <w:r w:rsidR="00542F73" w:rsidRPr="00542F73">
        <w:t>31/10/2025</w:t>
      </w:r>
      <w:r w:rsidR="00542F73">
        <w:t xml:space="preserve">.  </w:t>
      </w:r>
    </w:p>
    <w:p w14:paraId="14BACC5A" w14:textId="21ADBB56" w:rsidR="001D0224" w:rsidRDefault="001D0224" w:rsidP="007C6E45">
      <w:pPr>
        <w:spacing w:before="120"/>
      </w:pPr>
      <w:r w:rsidRPr="001D0224">
        <w:t xml:space="preserve">There </w:t>
      </w:r>
      <w:r w:rsidR="006C1718">
        <w:t>is</w:t>
      </w:r>
      <w:r w:rsidRPr="001D0224">
        <w:t xml:space="preserve"> </w:t>
      </w:r>
      <w:r w:rsidR="006C1718">
        <w:t xml:space="preserve">again </w:t>
      </w:r>
      <w:r w:rsidRPr="001D0224">
        <w:t xml:space="preserve">no change to the operator’s proposals or strategy for achieving compliance with BAT 52, over those approved for the first </w:t>
      </w:r>
      <w:r w:rsidR="00346B28">
        <w:t xml:space="preserve">and second </w:t>
      </w:r>
      <w:r w:rsidRPr="001D0224">
        <w:t>derogation</w:t>
      </w:r>
      <w:r w:rsidR="00346B28">
        <w:t>s</w:t>
      </w:r>
      <w:r w:rsidRPr="001D0224">
        <w:t xml:space="preserve">.  </w:t>
      </w:r>
    </w:p>
    <w:p w14:paraId="296B0DE8" w14:textId="38A1A7AE" w:rsidR="00F3635C" w:rsidRDefault="00F3635C" w:rsidP="007C6E45">
      <w:pPr>
        <w:spacing w:before="120"/>
      </w:pPr>
      <w:r>
        <w:t xml:space="preserve">In accordance with the requirements of improvement conditions IC54 to IC58, which were included in the permit following variation </w:t>
      </w:r>
      <w:r w:rsidRPr="00A6781D">
        <w:t>EPR/FP3139FN/V0</w:t>
      </w:r>
      <w:r>
        <w:t xml:space="preserve">11, the operator has provided six-monthly progress reports on </w:t>
      </w:r>
      <w:r w:rsidR="00E55303">
        <w:t xml:space="preserve">the </w:t>
      </w:r>
      <w:r>
        <w:t xml:space="preserve">delivery of the Mogas </w:t>
      </w:r>
      <w:r>
        <w:lastRenderedPageBreak/>
        <w:t xml:space="preserve">Export Project.  Submissions for IC54 to IC57 indicated that the project was on track to be commissioned by 31/08/2024. </w:t>
      </w:r>
    </w:p>
    <w:p w14:paraId="1217E2DF" w14:textId="1D6FB9A3" w:rsidR="007F48AB" w:rsidRDefault="00F3635C" w:rsidP="007C6E45">
      <w:pPr>
        <w:spacing w:before="120"/>
      </w:pPr>
      <w:r>
        <w:t xml:space="preserve">However, the IC58 submission (received 30/05/2024) reported that, in February 2024, the operator became aware that the company that was due to supply a critical piece of equipment (a marine loading arm) at Tranmere Oil Terminal had </w:t>
      </w:r>
      <w:proofErr w:type="gramStart"/>
      <w:r>
        <w:t>entered into</w:t>
      </w:r>
      <w:proofErr w:type="gramEnd"/>
      <w:r>
        <w:t xml:space="preserve"> administration.  The operator has consequently had to restart the process of obtaining a replacement loading arm from an alternative supplier, </w:t>
      </w:r>
      <w:r w:rsidR="007D1A07">
        <w:t xml:space="preserve">causing </w:t>
      </w:r>
      <w:r>
        <w:t xml:space="preserve">unavoidable delays to the project commissioning date. </w:t>
      </w:r>
    </w:p>
    <w:p w14:paraId="0B01401F" w14:textId="46BDEC82" w:rsidR="00F3635C" w:rsidRDefault="007F48AB" w:rsidP="007C6E45">
      <w:pPr>
        <w:spacing w:before="120"/>
      </w:pPr>
      <w:r>
        <w:t xml:space="preserve">Construction of all aspects of the Mogas Export </w:t>
      </w:r>
      <w:r w:rsidR="00B33EAA">
        <w:t>P</w:t>
      </w:r>
      <w:r>
        <w:t>roject</w:t>
      </w:r>
      <w:r w:rsidR="00B33EAA">
        <w:t>,</w:t>
      </w:r>
      <w:r>
        <w:t xml:space="preserve"> other than the marine loading arm</w:t>
      </w:r>
      <w:r w:rsidR="009B7598">
        <w:t>,</w:t>
      </w:r>
      <w:r>
        <w:t xml:space="preserve"> has continued in line with </w:t>
      </w:r>
      <w:r w:rsidR="009B7598">
        <w:t xml:space="preserve">an </w:t>
      </w:r>
      <w:r>
        <w:t xml:space="preserve">earlier completion date. </w:t>
      </w:r>
      <w:r w:rsidR="00FE3AAC">
        <w:t xml:space="preserve">The additional time requested is </w:t>
      </w:r>
      <w:r w:rsidR="000D0A57">
        <w:t xml:space="preserve">solely </w:t>
      </w:r>
      <w:r w:rsidR="00FE3AAC">
        <w:t xml:space="preserve">to enable </w:t>
      </w:r>
      <w:r w:rsidR="00541724">
        <w:t>the</w:t>
      </w:r>
      <w:r w:rsidR="00FE3AAC">
        <w:t xml:space="preserve"> operator to </w:t>
      </w:r>
      <w:r w:rsidR="0064611F">
        <w:t>source a replacement loading arm</w:t>
      </w:r>
      <w:r w:rsidR="000F4820">
        <w:t xml:space="preserve"> to enable completion of the Mogas Export Project</w:t>
      </w:r>
      <w:r w:rsidR="0064611F">
        <w:t>.</w:t>
      </w:r>
    </w:p>
    <w:p w14:paraId="55441D43" w14:textId="7522D6FB" w:rsidR="00C841D5" w:rsidRDefault="00C841D5" w:rsidP="007C6E45">
      <w:pPr>
        <w:spacing w:before="120"/>
      </w:pPr>
      <w:r w:rsidRPr="00C841D5">
        <w:t xml:space="preserve">The marine loading arm is used to load </w:t>
      </w:r>
      <w:r w:rsidR="004D1126">
        <w:t>volatile liquid hydrocarbons</w:t>
      </w:r>
      <w:r w:rsidRPr="00C841D5">
        <w:t xml:space="preserve"> from the terminal linework onto a ship.  The operator </w:t>
      </w:r>
      <w:r w:rsidR="00EA3717">
        <w:t>explained</w:t>
      </w:r>
      <w:r w:rsidRPr="00C841D5">
        <w:t xml:space="preserve"> that, due to the quality requirements for gasoline, diesel and crude (the products to be loaded at Tranmere Oil Terminal) it is not possible to use an existing crude or diesel loading facility for the loading of gasoline</w:t>
      </w:r>
      <w:r w:rsidR="00EA3717">
        <w:t>.  M</w:t>
      </w:r>
      <w:r w:rsidRPr="00C841D5">
        <w:t xml:space="preserve">arine loading arms are best practice equipment for loading volatile liquids onto a ship to ensure safe operation and to minimise the risk of releases.  At Tranmere Oil Terminal, the marine loading arms are designed for the </w:t>
      </w:r>
      <w:proofErr w:type="gramStart"/>
      <w:r w:rsidRPr="00C841D5">
        <w:t>particular weather</w:t>
      </w:r>
      <w:proofErr w:type="gramEnd"/>
      <w:r w:rsidRPr="00C841D5">
        <w:t xml:space="preserve"> conditions and tidal ranges experienced at the location.  It is for </w:t>
      </w:r>
      <w:r w:rsidR="00EF2C08">
        <w:t xml:space="preserve">this </w:t>
      </w:r>
      <w:r w:rsidRPr="00C841D5">
        <w:t>reason that a marine loading arm must be used to load gasoline at Tranmere Oil Terminal.</w:t>
      </w:r>
    </w:p>
    <w:p w14:paraId="6BFD2BCC" w14:textId="1969A884" w:rsidR="00FD31B9" w:rsidRDefault="009E5341" w:rsidP="007C6E45">
      <w:pPr>
        <w:spacing w:before="120"/>
      </w:pPr>
      <w:r>
        <w:t xml:space="preserve">The operator’s revised project timeline takes account of delivery and installation of the new marine loading arm with </w:t>
      </w:r>
      <w:r w:rsidR="00FA6233">
        <w:t>commissioning of the overall project by 31/10/2025.</w:t>
      </w:r>
    </w:p>
    <w:p w14:paraId="18FC75AF" w14:textId="30097AC8" w:rsidR="00F3635C" w:rsidRPr="00A7218E" w:rsidRDefault="006A2714" w:rsidP="007C6E45">
      <w:pPr>
        <w:spacing w:before="120"/>
        <w:rPr>
          <w:b/>
          <w:bCs/>
        </w:rPr>
      </w:pPr>
      <w:r>
        <w:t>In parallel, a</w:t>
      </w:r>
      <w:r w:rsidR="00A6254F">
        <w:t xml:space="preserve">n </w:t>
      </w:r>
      <w:r w:rsidR="00F3635C">
        <w:t xml:space="preserve">application to vary the Tranmere Oil Terminal permit </w:t>
      </w:r>
      <w:r w:rsidR="00837F58" w:rsidRPr="00A7218E">
        <w:t xml:space="preserve">(EPR/TP3301MD/V004) </w:t>
      </w:r>
      <w:r w:rsidR="00A7218E" w:rsidRPr="00A7218E">
        <w:t>t</w:t>
      </w:r>
      <w:r w:rsidR="00F3635C" w:rsidRPr="00A7218E">
        <w:t>o enable the transfer of loading and unloading</w:t>
      </w:r>
      <w:r w:rsidR="00F3635C">
        <w:t xml:space="preserve"> operations from </w:t>
      </w:r>
      <w:r w:rsidR="001F7860">
        <w:t xml:space="preserve">the </w:t>
      </w:r>
      <w:r w:rsidR="00F3635C">
        <w:t xml:space="preserve">White Oil Docks is currently </w:t>
      </w:r>
      <w:r w:rsidR="002C54F2">
        <w:t xml:space="preserve">in </w:t>
      </w:r>
      <w:r w:rsidR="00F3635C">
        <w:t>determination</w:t>
      </w:r>
      <w:r w:rsidR="00733FC0">
        <w:t xml:space="preserve"> by the Environment Agency</w:t>
      </w:r>
      <w:r w:rsidR="00F3635C">
        <w:t xml:space="preserve">.  </w:t>
      </w:r>
      <w:r w:rsidR="004014D1">
        <w:t xml:space="preserve">The application </w:t>
      </w:r>
      <w:r w:rsidR="00053339">
        <w:t>details the installation of a VRU at the Tranmere Oil Terminal.</w:t>
      </w:r>
    </w:p>
    <w:p w14:paraId="3BDB1AEC" w14:textId="781D5317" w:rsidR="00490432" w:rsidRDefault="00031CB0" w:rsidP="007C6E45">
      <w:pPr>
        <w:spacing w:before="120"/>
        <w:rPr>
          <w:u w:val="single"/>
        </w:rPr>
      </w:pPr>
      <w:bookmarkStart w:id="6" w:name="_Toc103241364"/>
      <w:r w:rsidRPr="001F1B86">
        <w:rPr>
          <w:u w:val="single"/>
        </w:rPr>
        <w:t>Emission Limit Values (</w:t>
      </w:r>
      <w:r w:rsidR="00171470">
        <w:rPr>
          <w:u w:val="single"/>
        </w:rPr>
        <w:t>“</w:t>
      </w:r>
      <w:r w:rsidRPr="001F1B86">
        <w:rPr>
          <w:u w:val="single"/>
        </w:rPr>
        <w:t>ELVs</w:t>
      </w:r>
      <w:r w:rsidR="00171470">
        <w:rPr>
          <w:u w:val="single"/>
        </w:rPr>
        <w:t>”</w:t>
      </w:r>
      <w:r w:rsidRPr="001F1B86">
        <w:rPr>
          <w:u w:val="single"/>
        </w:rPr>
        <w:t>)</w:t>
      </w:r>
      <w:bookmarkEnd w:id="6"/>
    </w:p>
    <w:p w14:paraId="2F5A9B2F" w14:textId="77777777" w:rsidR="00CD3272" w:rsidRDefault="00031CB0" w:rsidP="007C6E45">
      <w:pPr>
        <w:spacing w:before="120"/>
        <w:rPr>
          <w:color w:val="000000"/>
        </w:rPr>
      </w:pPr>
      <w:r w:rsidRPr="00AD4683">
        <w:rPr>
          <w:color w:val="000000"/>
        </w:rPr>
        <w:t xml:space="preserve">The </w:t>
      </w:r>
      <w:r w:rsidR="00733FC0">
        <w:rPr>
          <w:color w:val="000000"/>
        </w:rPr>
        <w:t>o</w:t>
      </w:r>
      <w:r w:rsidRPr="00AD4683">
        <w:rPr>
          <w:color w:val="000000"/>
        </w:rPr>
        <w:t xml:space="preserve">perator </w:t>
      </w:r>
      <w:r w:rsidR="00733FC0">
        <w:rPr>
          <w:color w:val="000000"/>
        </w:rPr>
        <w:t xml:space="preserve">has </w:t>
      </w:r>
      <w:r w:rsidRPr="00AD4683">
        <w:rPr>
          <w:color w:val="000000"/>
        </w:rPr>
        <w:t>proposed that no ELV</w:t>
      </w:r>
      <w:r>
        <w:rPr>
          <w:color w:val="000000"/>
        </w:rPr>
        <w:t>s</w:t>
      </w:r>
      <w:r w:rsidRPr="00AD4683">
        <w:rPr>
          <w:color w:val="000000"/>
        </w:rPr>
        <w:t xml:space="preserve"> </w:t>
      </w:r>
      <w:r>
        <w:rPr>
          <w:color w:val="000000"/>
        </w:rPr>
        <w:t>are</w:t>
      </w:r>
      <w:r w:rsidRPr="00AD4683">
        <w:rPr>
          <w:color w:val="000000"/>
        </w:rPr>
        <w:t xml:space="preserve"> applied to the emission point in the scope of the derogation application </w:t>
      </w:r>
      <w:r w:rsidR="00CD3272">
        <w:rPr>
          <w:color w:val="000000"/>
        </w:rPr>
        <w:t xml:space="preserve">(White Oil Docks stack) </w:t>
      </w:r>
      <w:r w:rsidRPr="00AD4683">
        <w:rPr>
          <w:color w:val="000000"/>
        </w:rPr>
        <w:t>until 31/</w:t>
      </w:r>
      <w:r w:rsidR="00AB6939">
        <w:rPr>
          <w:color w:val="000000"/>
        </w:rPr>
        <w:t>10/2025</w:t>
      </w:r>
      <w:r w:rsidRPr="00AD4683">
        <w:rPr>
          <w:color w:val="000000"/>
        </w:rPr>
        <w:t>.</w:t>
      </w:r>
    </w:p>
    <w:p w14:paraId="352727C7" w14:textId="12E7B020" w:rsidR="005570CD" w:rsidRDefault="00031CB0" w:rsidP="007C6E45">
      <w:pPr>
        <w:spacing w:before="120"/>
        <w:rPr>
          <w:color w:val="000000"/>
        </w:rPr>
      </w:pPr>
      <w:r w:rsidRPr="00AD4683">
        <w:rPr>
          <w:color w:val="000000"/>
        </w:rPr>
        <w:t xml:space="preserve">After this date, the </w:t>
      </w:r>
      <w:r w:rsidR="00AB6939">
        <w:rPr>
          <w:color w:val="000000"/>
        </w:rPr>
        <w:t>o</w:t>
      </w:r>
      <w:r w:rsidRPr="00AD4683">
        <w:rPr>
          <w:color w:val="000000"/>
        </w:rPr>
        <w:t>perator has proposed that the loading/unloading throughput at the White Oil Docks is reduced to approximately 35% of the current rate by the effect of moving the majority of the loading/unloading operations to the Tranmere Oil Terminal where new infrastructure, including abatement of emissions</w:t>
      </w:r>
      <w:r w:rsidR="009D13CC">
        <w:rPr>
          <w:color w:val="000000"/>
        </w:rPr>
        <w:t xml:space="preserve"> (</w:t>
      </w:r>
      <w:r w:rsidR="00C129B1" w:rsidRPr="00C129B1">
        <w:rPr>
          <w:color w:val="000000"/>
        </w:rPr>
        <w:t>Vapour Recovery Unit</w:t>
      </w:r>
      <w:r w:rsidR="009D13CC">
        <w:rPr>
          <w:color w:val="000000"/>
        </w:rPr>
        <w:t>)</w:t>
      </w:r>
      <w:r w:rsidRPr="00AD4683">
        <w:rPr>
          <w:color w:val="000000"/>
        </w:rPr>
        <w:t xml:space="preserve">, will be installed and regulated under a separate environmental permit. </w:t>
      </w:r>
    </w:p>
    <w:p w14:paraId="36F79EAB" w14:textId="6677618D" w:rsidR="00031CB0" w:rsidRPr="00490432" w:rsidRDefault="00031CB0" w:rsidP="007C6E45">
      <w:pPr>
        <w:spacing w:before="120"/>
        <w:rPr>
          <w:u w:val="single"/>
        </w:rPr>
      </w:pPr>
      <w:r w:rsidRPr="00AD4683">
        <w:rPr>
          <w:color w:val="000000"/>
        </w:rPr>
        <w:lastRenderedPageBreak/>
        <w:t>As the reduced throughput at the White Oil Docks will correspond to less than 1</w:t>
      </w:r>
      <w:r w:rsidR="005570CD">
        <w:rPr>
          <w:color w:val="000000"/>
        </w:rPr>
        <w:t> </w:t>
      </w:r>
      <w:r w:rsidRPr="00AD4683">
        <w:rPr>
          <w:color w:val="000000"/>
        </w:rPr>
        <w:t>million m</w:t>
      </w:r>
      <w:r w:rsidRPr="00AD4683">
        <w:rPr>
          <w:color w:val="000000"/>
          <w:vertAlign w:val="superscript"/>
        </w:rPr>
        <w:t>3</w:t>
      </w:r>
      <w:r w:rsidRPr="00AD4683">
        <w:rPr>
          <w:color w:val="000000"/>
        </w:rPr>
        <w:t>/y after implementing the proposed changes, the requirement of BAT</w:t>
      </w:r>
      <w:r w:rsidR="005570CD">
        <w:rPr>
          <w:color w:val="000000"/>
        </w:rPr>
        <w:t> </w:t>
      </w:r>
      <w:r w:rsidRPr="00AD4683">
        <w:rPr>
          <w:color w:val="000000"/>
        </w:rPr>
        <w:t xml:space="preserve">52 and the associated BAT-AELs </w:t>
      </w:r>
      <w:r w:rsidR="005570CD">
        <w:rPr>
          <w:color w:val="000000"/>
        </w:rPr>
        <w:t xml:space="preserve">will no longer </w:t>
      </w:r>
      <w:r w:rsidRPr="00AD4683">
        <w:rPr>
          <w:color w:val="000000"/>
        </w:rPr>
        <w:t xml:space="preserve">apply to </w:t>
      </w:r>
      <w:r w:rsidR="00B90FEA">
        <w:rPr>
          <w:color w:val="000000"/>
        </w:rPr>
        <w:t xml:space="preserve">the White Oil Docks and the associated </w:t>
      </w:r>
      <w:r w:rsidRPr="00AD4683">
        <w:rPr>
          <w:color w:val="000000"/>
        </w:rPr>
        <w:t>emission point.</w:t>
      </w:r>
      <w:r w:rsidRPr="00AD4683">
        <w:rPr>
          <w:b/>
          <w:color w:val="000000"/>
        </w:rPr>
        <w:t xml:space="preserve"> </w:t>
      </w:r>
    </w:p>
    <w:p w14:paraId="75DE9AFE" w14:textId="3E9BDCDE" w:rsidR="003213E4" w:rsidRDefault="00031CB0" w:rsidP="007C6E45">
      <w:pPr>
        <w:keepNext/>
        <w:spacing w:before="240"/>
        <w:rPr>
          <w:color w:val="000000"/>
        </w:rPr>
      </w:pPr>
      <w:r>
        <w:rPr>
          <w:color w:val="000000"/>
        </w:rPr>
        <w:t xml:space="preserve">The current position, the </w:t>
      </w:r>
      <w:r w:rsidRPr="00AD4683">
        <w:rPr>
          <w:color w:val="000000"/>
        </w:rPr>
        <w:t xml:space="preserve">BAT-AEL values </w:t>
      </w:r>
      <w:r>
        <w:rPr>
          <w:color w:val="000000"/>
        </w:rPr>
        <w:t xml:space="preserve">and the </w:t>
      </w:r>
      <w:r w:rsidR="000E0EEB">
        <w:rPr>
          <w:color w:val="000000"/>
        </w:rPr>
        <w:t>o</w:t>
      </w:r>
      <w:r>
        <w:rPr>
          <w:color w:val="000000"/>
        </w:rPr>
        <w:t>perator’s proposed position i</w:t>
      </w:r>
      <w:r w:rsidRPr="00AD4683">
        <w:rPr>
          <w:color w:val="000000"/>
        </w:rPr>
        <w:t>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00"/>
        <w:gridCol w:w="4253"/>
        <w:gridCol w:w="1554"/>
      </w:tblGrid>
      <w:tr w:rsidR="00031CB0" w:rsidRPr="00F4038A" w14:paraId="349BACB4" w14:textId="77777777" w:rsidTr="00327B4F">
        <w:tc>
          <w:tcPr>
            <w:tcW w:w="8637" w:type="dxa"/>
            <w:gridSpan w:val="4"/>
            <w:shd w:val="clear" w:color="auto" w:fill="auto"/>
          </w:tcPr>
          <w:p w14:paraId="1C98FFD7" w14:textId="77777777" w:rsidR="00031CB0" w:rsidRPr="00F4038A" w:rsidRDefault="00031CB0" w:rsidP="007C6E45">
            <w:pPr>
              <w:autoSpaceDE w:val="0"/>
              <w:autoSpaceDN w:val="0"/>
              <w:adjustRightInd w:val="0"/>
            </w:pPr>
            <w:r w:rsidRPr="00F4038A">
              <w:rPr>
                <w:b/>
              </w:rPr>
              <w:t xml:space="preserve">Emission Limit Value (ELV) </w:t>
            </w:r>
            <w:r w:rsidRPr="00F4038A">
              <w:rPr>
                <w:b/>
                <w:bCs/>
                <w:color w:val="000000"/>
              </w:rPr>
              <w:t>comparison</w:t>
            </w:r>
            <w:r w:rsidRPr="00F4038A">
              <w:rPr>
                <w:b/>
              </w:rPr>
              <w:t xml:space="preserve"> table</w:t>
            </w:r>
          </w:p>
        </w:tc>
      </w:tr>
      <w:tr w:rsidR="00031CB0" w:rsidRPr="00F4038A" w14:paraId="301CB199" w14:textId="77777777" w:rsidTr="006C6BD3">
        <w:tc>
          <w:tcPr>
            <w:tcW w:w="1430" w:type="dxa"/>
            <w:shd w:val="clear" w:color="auto" w:fill="auto"/>
          </w:tcPr>
          <w:p w14:paraId="533D47D0" w14:textId="77777777" w:rsidR="00031CB0" w:rsidRPr="00F4038A" w:rsidRDefault="00031CB0" w:rsidP="007C6E45">
            <w:pPr>
              <w:autoSpaceDE w:val="0"/>
              <w:autoSpaceDN w:val="0"/>
              <w:adjustRightInd w:val="0"/>
              <w:rPr>
                <w:b/>
              </w:rPr>
            </w:pPr>
            <w:r w:rsidRPr="00F4038A">
              <w:rPr>
                <w:b/>
              </w:rPr>
              <w:t>Averaging period</w:t>
            </w:r>
          </w:p>
        </w:tc>
        <w:tc>
          <w:tcPr>
            <w:tcW w:w="1400" w:type="dxa"/>
            <w:shd w:val="clear" w:color="auto" w:fill="auto"/>
          </w:tcPr>
          <w:p w14:paraId="70F8C8E8" w14:textId="77777777" w:rsidR="00031CB0" w:rsidRPr="00F4038A" w:rsidRDefault="00031CB0" w:rsidP="007C6E45">
            <w:pPr>
              <w:autoSpaceDE w:val="0"/>
              <w:autoSpaceDN w:val="0"/>
              <w:adjustRightInd w:val="0"/>
              <w:rPr>
                <w:b/>
              </w:rPr>
            </w:pPr>
            <w:r w:rsidRPr="00F4038A">
              <w:rPr>
                <w:b/>
              </w:rPr>
              <w:t>Current</w:t>
            </w:r>
          </w:p>
          <w:p w14:paraId="13405E07" w14:textId="77777777" w:rsidR="00031CB0" w:rsidRPr="00F4038A" w:rsidRDefault="00031CB0" w:rsidP="007C6E45">
            <w:pPr>
              <w:autoSpaceDE w:val="0"/>
              <w:autoSpaceDN w:val="0"/>
              <w:adjustRightInd w:val="0"/>
              <w:rPr>
                <w:b/>
              </w:rPr>
            </w:pPr>
            <w:r w:rsidRPr="00F4038A">
              <w:rPr>
                <w:b/>
              </w:rPr>
              <w:t>(mg/Nm</w:t>
            </w:r>
            <w:r w:rsidRPr="00F4038A">
              <w:rPr>
                <w:b/>
                <w:vertAlign w:val="superscript"/>
              </w:rPr>
              <w:t>3</w:t>
            </w:r>
            <w:r w:rsidRPr="00F4038A">
              <w:rPr>
                <w:b/>
              </w:rPr>
              <w:t>)</w:t>
            </w:r>
          </w:p>
        </w:tc>
        <w:tc>
          <w:tcPr>
            <w:tcW w:w="4253" w:type="dxa"/>
            <w:shd w:val="clear" w:color="auto" w:fill="auto"/>
          </w:tcPr>
          <w:p w14:paraId="2763DBD5" w14:textId="79CEBD87" w:rsidR="00031CB0" w:rsidRPr="00F4038A" w:rsidRDefault="00031CB0" w:rsidP="007C6E45">
            <w:pPr>
              <w:autoSpaceDE w:val="0"/>
              <w:autoSpaceDN w:val="0"/>
              <w:adjustRightInd w:val="0"/>
              <w:rPr>
                <w:b/>
              </w:rPr>
            </w:pPr>
            <w:r w:rsidRPr="00F4038A">
              <w:rPr>
                <w:b/>
              </w:rPr>
              <w:t>BAT</w:t>
            </w:r>
            <w:r w:rsidR="00B90FEA">
              <w:rPr>
                <w:b/>
              </w:rPr>
              <w:t>-</w:t>
            </w:r>
            <w:r w:rsidRPr="00F4038A">
              <w:rPr>
                <w:b/>
              </w:rPr>
              <w:t>AELs</w:t>
            </w:r>
          </w:p>
          <w:p w14:paraId="3CF53114" w14:textId="77777777" w:rsidR="00031CB0" w:rsidRPr="00F4038A" w:rsidRDefault="00031CB0" w:rsidP="007C6E45">
            <w:pPr>
              <w:autoSpaceDE w:val="0"/>
              <w:autoSpaceDN w:val="0"/>
              <w:adjustRightInd w:val="0"/>
              <w:rPr>
                <w:b/>
              </w:rPr>
            </w:pPr>
            <w:r w:rsidRPr="00F4038A">
              <w:rPr>
                <w:b/>
              </w:rPr>
              <w:t>(mg/Nm</w:t>
            </w:r>
            <w:r w:rsidRPr="00F4038A">
              <w:rPr>
                <w:b/>
                <w:vertAlign w:val="superscript"/>
              </w:rPr>
              <w:t>3</w:t>
            </w:r>
            <w:r w:rsidRPr="00F4038A">
              <w:rPr>
                <w:b/>
              </w:rPr>
              <w:t>)</w:t>
            </w:r>
          </w:p>
        </w:tc>
        <w:tc>
          <w:tcPr>
            <w:tcW w:w="1554" w:type="dxa"/>
            <w:shd w:val="clear" w:color="auto" w:fill="auto"/>
          </w:tcPr>
          <w:p w14:paraId="256896AC" w14:textId="77777777" w:rsidR="00031CB0" w:rsidRPr="00F4038A" w:rsidRDefault="00031CB0" w:rsidP="007C6E45">
            <w:pPr>
              <w:autoSpaceDE w:val="0"/>
              <w:autoSpaceDN w:val="0"/>
              <w:adjustRightInd w:val="0"/>
              <w:rPr>
                <w:b/>
              </w:rPr>
            </w:pPr>
            <w:r w:rsidRPr="00F4038A">
              <w:rPr>
                <w:b/>
              </w:rPr>
              <w:t>Operator Proposed</w:t>
            </w:r>
          </w:p>
          <w:p w14:paraId="3869061F" w14:textId="77777777" w:rsidR="00031CB0" w:rsidRPr="00F4038A" w:rsidRDefault="00031CB0" w:rsidP="007C6E45">
            <w:pPr>
              <w:autoSpaceDE w:val="0"/>
              <w:autoSpaceDN w:val="0"/>
              <w:adjustRightInd w:val="0"/>
              <w:rPr>
                <w:b/>
              </w:rPr>
            </w:pPr>
            <w:r w:rsidRPr="00F4038A">
              <w:rPr>
                <w:b/>
              </w:rPr>
              <w:t>(mg/Nm</w:t>
            </w:r>
            <w:r w:rsidRPr="00F4038A">
              <w:rPr>
                <w:b/>
                <w:vertAlign w:val="superscript"/>
              </w:rPr>
              <w:t>3</w:t>
            </w:r>
            <w:r w:rsidRPr="00F4038A">
              <w:rPr>
                <w:b/>
              </w:rPr>
              <w:t>)</w:t>
            </w:r>
          </w:p>
        </w:tc>
      </w:tr>
      <w:tr w:rsidR="00031CB0" w:rsidRPr="00F4038A" w14:paraId="2AA4190E" w14:textId="77777777" w:rsidTr="006C6BD3">
        <w:tc>
          <w:tcPr>
            <w:tcW w:w="1430" w:type="dxa"/>
            <w:shd w:val="clear" w:color="auto" w:fill="auto"/>
          </w:tcPr>
          <w:p w14:paraId="57D6085B" w14:textId="77777777" w:rsidR="00031CB0" w:rsidRPr="00F4038A" w:rsidRDefault="00031CB0" w:rsidP="007C6E45">
            <w:pPr>
              <w:autoSpaceDE w:val="0"/>
              <w:autoSpaceDN w:val="0"/>
              <w:adjustRightInd w:val="0"/>
              <w:rPr>
                <w:b/>
              </w:rPr>
            </w:pPr>
            <w:r w:rsidRPr="00F4038A">
              <w:rPr>
                <w:b/>
              </w:rPr>
              <w:t>Hourly average</w:t>
            </w:r>
          </w:p>
        </w:tc>
        <w:tc>
          <w:tcPr>
            <w:tcW w:w="1400" w:type="dxa"/>
            <w:shd w:val="clear" w:color="auto" w:fill="auto"/>
          </w:tcPr>
          <w:p w14:paraId="490B79BA" w14:textId="77777777" w:rsidR="00031CB0" w:rsidRPr="00F4038A" w:rsidRDefault="00031CB0" w:rsidP="007C6E45">
            <w:pPr>
              <w:autoSpaceDE w:val="0"/>
              <w:autoSpaceDN w:val="0"/>
              <w:adjustRightInd w:val="0"/>
            </w:pPr>
            <w:r w:rsidRPr="00F4038A">
              <w:t>No limit set</w:t>
            </w:r>
          </w:p>
        </w:tc>
        <w:tc>
          <w:tcPr>
            <w:tcW w:w="4253" w:type="dxa"/>
            <w:shd w:val="clear" w:color="auto" w:fill="auto"/>
          </w:tcPr>
          <w:p w14:paraId="7D9F894D" w14:textId="67552F83" w:rsidR="00327B4F" w:rsidRPr="004F49D0" w:rsidRDefault="00884AF0" w:rsidP="007C6E45">
            <w:pPr>
              <w:autoSpaceDE w:val="0"/>
              <w:autoSpaceDN w:val="0"/>
              <w:adjustRightInd w:val="0"/>
            </w:pPr>
            <w:r>
              <w:t>N</w:t>
            </w:r>
            <w:r w:rsidR="006C6BD3">
              <w:t>M</w:t>
            </w:r>
            <w:r w:rsidR="00327B4F">
              <w:t>VOC</w:t>
            </w:r>
            <w:r w:rsidR="00031CB0" w:rsidRPr="00F4038A">
              <w:t>: 0.15 -10 g/Nm</w:t>
            </w:r>
            <w:r w:rsidR="00031CB0" w:rsidRPr="00F4038A">
              <w:rPr>
                <w:vertAlign w:val="superscript"/>
              </w:rPr>
              <w:t>3</w:t>
            </w:r>
          </w:p>
          <w:p w14:paraId="1F559111" w14:textId="7DD8B4DD" w:rsidR="00031CB0" w:rsidRPr="00F4038A" w:rsidRDefault="00031CB0" w:rsidP="007C6E45">
            <w:pPr>
              <w:autoSpaceDE w:val="0"/>
              <w:autoSpaceDN w:val="0"/>
              <w:adjustRightInd w:val="0"/>
            </w:pPr>
            <w:r w:rsidRPr="00F4038A">
              <w:t>Benzene: 1 mg/Nm</w:t>
            </w:r>
            <w:r w:rsidRPr="00F4038A">
              <w:rPr>
                <w:vertAlign w:val="superscript"/>
              </w:rPr>
              <w:t>3</w:t>
            </w:r>
          </w:p>
        </w:tc>
        <w:tc>
          <w:tcPr>
            <w:tcW w:w="1554" w:type="dxa"/>
            <w:shd w:val="clear" w:color="auto" w:fill="auto"/>
          </w:tcPr>
          <w:p w14:paraId="30AAFC76" w14:textId="77777777" w:rsidR="00031CB0" w:rsidRPr="00F4038A" w:rsidRDefault="00031CB0" w:rsidP="007C6E45">
            <w:pPr>
              <w:autoSpaceDE w:val="0"/>
              <w:autoSpaceDN w:val="0"/>
              <w:adjustRightInd w:val="0"/>
            </w:pPr>
            <w:r w:rsidRPr="00F4038A">
              <w:t>No limit proposed</w:t>
            </w:r>
          </w:p>
        </w:tc>
      </w:tr>
      <w:tr w:rsidR="00031CB0" w:rsidRPr="00F4038A" w14:paraId="78FB60F8" w14:textId="77777777" w:rsidTr="006C6BD3">
        <w:tc>
          <w:tcPr>
            <w:tcW w:w="1430" w:type="dxa"/>
            <w:shd w:val="clear" w:color="auto" w:fill="auto"/>
          </w:tcPr>
          <w:p w14:paraId="6BF16DA5" w14:textId="54B8B5E1" w:rsidR="00031CB0" w:rsidRPr="00F4038A" w:rsidRDefault="00031CB0" w:rsidP="007C6E45">
            <w:pPr>
              <w:autoSpaceDE w:val="0"/>
              <w:autoSpaceDN w:val="0"/>
              <w:adjustRightInd w:val="0"/>
              <w:rPr>
                <w:b/>
              </w:rPr>
            </w:pPr>
            <w:r w:rsidRPr="00F4038A">
              <w:rPr>
                <w:b/>
              </w:rPr>
              <w:t>Correction factors</w:t>
            </w:r>
          </w:p>
        </w:tc>
        <w:tc>
          <w:tcPr>
            <w:tcW w:w="1400" w:type="dxa"/>
            <w:shd w:val="clear" w:color="auto" w:fill="auto"/>
          </w:tcPr>
          <w:p w14:paraId="280836F9" w14:textId="77777777" w:rsidR="00031CB0" w:rsidRPr="00F4038A" w:rsidRDefault="00031CB0" w:rsidP="007C6E45">
            <w:pPr>
              <w:autoSpaceDE w:val="0"/>
              <w:autoSpaceDN w:val="0"/>
              <w:adjustRightInd w:val="0"/>
            </w:pPr>
            <w:r w:rsidRPr="00F4038A">
              <w:t>Not applicable</w:t>
            </w:r>
          </w:p>
        </w:tc>
        <w:tc>
          <w:tcPr>
            <w:tcW w:w="4253" w:type="dxa"/>
            <w:shd w:val="clear" w:color="auto" w:fill="auto"/>
          </w:tcPr>
          <w:p w14:paraId="5E31B4D0" w14:textId="64139F5A" w:rsidR="00031CB0" w:rsidRPr="00F4038A" w:rsidRDefault="006C6BD3" w:rsidP="007C6E45">
            <w:pPr>
              <w:autoSpaceDE w:val="0"/>
              <w:autoSpaceDN w:val="0"/>
              <w:adjustRightInd w:val="0"/>
            </w:pPr>
            <w:r>
              <w:t>D</w:t>
            </w:r>
            <w:r w:rsidR="00031CB0" w:rsidRPr="00F4038A">
              <w:t>ry gas, temperature of 273,15 K, pressure of 101,3 kPa</w:t>
            </w:r>
          </w:p>
        </w:tc>
        <w:tc>
          <w:tcPr>
            <w:tcW w:w="1554" w:type="dxa"/>
            <w:shd w:val="clear" w:color="auto" w:fill="auto"/>
          </w:tcPr>
          <w:p w14:paraId="33F27EE8" w14:textId="77777777" w:rsidR="00031CB0" w:rsidRPr="00F4038A" w:rsidRDefault="00031CB0" w:rsidP="007C6E45">
            <w:pPr>
              <w:autoSpaceDE w:val="0"/>
              <w:autoSpaceDN w:val="0"/>
              <w:adjustRightInd w:val="0"/>
            </w:pPr>
            <w:r w:rsidRPr="00F4038A">
              <w:t>Not applicable</w:t>
            </w:r>
          </w:p>
        </w:tc>
      </w:tr>
    </w:tbl>
    <w:p w14:paraId="6F13DB32" w14:textId="77777777" w:rsidR="000B25A0" w:rsidRPr="000B25A0" w:rsidRDefault="000B25A0" w:rsidP="007C6E45">
      <w:pPr>
        <w:spacing w:before="120"/>
      </w:pPr>
    </w:p>
    <w:p w14:paraId="06E96FA3" w14:textId="55E48732" w:rsidR="00031CB0" w:rsidRDefault="00CB0EDA" w:rsidP="007C6E45">
      <w:pPr>
        <w:spacing w:before="120"/>
      </w:pPr>
      <w:r>
        <w:t>As for the previous derogation</w:t>
      </w:r>
      <w:r w:rsidR="00DF68A0">
        <w:t>s</w:t>
      </w:r>
      <w:r>
        <w:t xml:space="preserve">, </w:t>
      </w:r>
      <w:r w:rsidR="00031CB0" w:rsidRPr="000B25A0">
        <w:t>there is no abatement of emissions</w:t>
      </w:r>
      <w:r w:rsidR="0011224E">
        <w:t xml:space="preserve"> and therefore no </w:t>
      </w:r>
      <w:r w:rsidR="00EE1F01" w:rsidRPr="004E34CD">
        <w:t xml:space="preserve">means </w:t>
      </w:r>
      <w:r w:rsidR="00EE1F01">
        <w:t>to limit, reduce or control emissions</w:t>
      </w:r>
      <w:r w:rsidR="00EE1F01" w:rsidRPr="004E34CD">
        <w:t>.</w:t>
      </w:r>
      <w:r w:rsidR="00EE1F01">
        <w:t xml:space="preserve">  E</w:t>
      </w:r>
      <w:r w:rsidR="00EE1F01" w:rsidRPr="00EE1F01">
        <w:t xml:space="preserve">missions are solely dependent on the equilibrium distribution of volatile species among the liquid and gaseous phases at the given temperature and the loading rates of the operations.  </w:t>
      </w:r>
      <w:r w:rsidR="008E2215">
        <w:t>T</w:t>
      </w:r>
      <w:r w:rsidR="00031CB0" w:rsidRPr="000B25A0">
        <w:t xml:space="preserve">he </w:t>
      </w:r>
      <w:r w:rsidR="007E62D4">
        <w:t>o</w:t>
      </w:r>
      <w:r w:rsidR="00031CB0" w:rsidRPr="000B25A0">
        <w:t xml:space="preserve">perator </w:t>
      </w:r>
      <w:r w:rsidR="007E62D4">
        <w:t xml:space="preserve">has </w:t>
      </w:r>
      <w:r w:rsidR="008E2215">
        <w:t xml:space="preserve">therefore </w:t>
      </w:r>
      <w:r w:rsidR="00031CB0" w:rsidRPr="000B25A0">
        <w:t>proposed that no ELVs are specified during the time-limited derogation period</w:t>
      </w:r>
      <w:r w:rsidR="00106C16">
        <w:t xml:space="preserve">. </w:t>
      </w:r>
      <w:r w:rsidR="004E34CD">
        <w:t xml:space="preserve"> </w:t>
      </w:r>
    </w:p>
    <w:p w14:paraId="778A5D6F" w14:textId="49099506" w:rsidR="00DB7A13" w:rsidRDefault="00DB7A13" w:rsidP="007C6E45">
      <w:pPr>
        <w:spacing w:before="120"/>
      </w:pPr>
      <w:r>
        <w:t xml:space="preserve">The air dispersion modelling and assessment of current (unabated) emissions from the White Oils Docks </w:t>
      </w:r>
      <w:r w:rsidR="004B6EF5">
        <w:t>vent stack</w:t>
      </w:r>
      <w:r>
        <w:t xml:space="preserve"> submitted with the application (Dispersion modelling of emissions of all VOCs, Essar Stanlow Refinery, Final report, reference FM1336/B3/21, dated 25th November 2021) is the same as previously assessed for the second, similar time-limited derogation from BAT 52 (EPR/FP3139FN/V011) granted on 12/05/2022.  </w:t>
      </w:r>
    </w:p>
    <w:p w14:paraId="122F6C94" w14:textId="28B0334B" w:rsidR="00DB7A13" w:rsidRDefault="00DB7A13" w:rsidP="007C6E45">
      <w:pPr>
        <w:spacing w:before="120"/>
      </w:pPr>
      <w:r>
        <w:t xml:space="preserve">The conclusion of the assessment </w:t>
      </w:r>
      <w:r w:rsidR="00F74683">
        <w:t xml:space="preserve">was </w:t>
      </w:r>
      <w:r>
        <w:t xml:space="preserve">that for all NMVOCs emitted from the White Oil Docks, long and short-term process contributions at sensitive receptors </w:t>
      </w:r>
      <w:r w:rsidR="00F74683">
        <w:t xml:space="preserve">were </w:t>
      </w:r>
      <w:r>
        <w:t xml:space="preserve">considered </w:t>
      </w:r>
      <w:r w:rsidR="00F74683">
        <w:t xml:space="preserve">not to be </w:t>
      </w:r>
      <w:r>
        <w:t>significant</w:t>
      </w:r>
      <w:r w:rsidR="00A86B5F">
        <w:t xml:space="preserve">. The Environment Agency was </w:t>
      </w:r>
      <w:r w:rsidR="00A86B5F" w:rsidRPr="00A86B5F">
        <w:t xml:space="preserve">satisfied that the allowing the proposed derogation </w:t>
      </w:r>
      <w:r w:rsidR="007630F3">
        <w:t>would have not</w:t>
      </w:r>
      <w:r w:rsidR="00A86B5F" w:rsidRPr="00A86B5F">
        <w:t xml:space="preserve"> cause</w:t>
      </w:r>
      <w:r w:rsidR="007630F3">
        <w:t>d</w:t>
      </w:r>
      <w:r w:rsidR="00A86B5F" w:rsidRPr="00A86B5F">
        <w:t xml:space="preserve"> any significant pollution or prevent</w:t>
      </w:r>
      <w:r w:rsidR="007630F3">
        <w:t>ed</w:t>
      </w:r>
      <w:r w:rsidR="00A86B5F" w:rsidRPr="00A86B5F">
        <w:t xml:space="preserve"> a high level of protection of the environment </w:t>
      </w:r>
      <w:proofErr w:type="gramStart"/>
      <w:r w:rsidR="00A86B5F" w:rsidRPr="00A86B5F">
        <w:t>as a whole to</w:t>
      </w:r>
      <w:proofErr w:type="gramEnd"/>
      <w:r w:rsidR="00A86B5F" w:rsidRPr="00A86B5F">
        <w:t xml:space="preserve"> be achieved</w:t>
      </w:r>
      <w:r w:rsidR="007630F3">
        <w:t>.</w:t>
      </w:r>
    </w:p>
    <w:p w14:paraId="09DACA68" w14:textId="53D4B436" w:rsidR="00D36360" w:rsidRDefault="00DB7A13" w:rsidP="007C6E45">
      <w:pPr>
        <w:spacing w:before="120"/>
      </w:pPr>
      <w:r>
        <w:t>The operator confirm</w:t>
      </w:r>
      <w:r w:rsidR="00144816">
        <w:t>ed</w:t>
      </w:r>
      <w:r>
        <w:t xml:space="preserve"> that they are not aware of any factors that would change the impact of these emissions during the period of the proposed derogation.</w:t>
      </w:r>
    </w:p>
    <w:p w14:paraId="5F0BD837" w14:textId="16E6B6EE" w:rsidR="00144816" w:rsidRDefault="00144816" w:rsidP="007C6E45">
      <w:pPr>
        <w:spacing w:before="120"/>
      </w:pPr>
      <w:r w:rsidRPr="00476F95">
        <w:lastRenderedPageBreak/>
        <w:t xml:space="preserve">We are satisfied that the assessment and its conclusions are still representative of emissions from the White Oils </w:t>
      </w:r>
      <w:proofErr w:type="gramStart"/>
      <w:r w:rsidRPr="00476F95">
        <w:t>Docks</w:t>
      </w:r>
      <w:proofErr w:type="gramEnd"/>
      <w:r w:rsidRPr="00476F95">
        <w:t xml:space="preserve"> and</w:t>
      </w:r>
      <w:r w:rsidR="00CD628D">
        <w:t xml:space="preserve"> we</w:t>
      </w:r>
      <w:r w:rsidRPr="00476F95">
        <w:t xml:space="preserve"> have not reassessed it for this derogation application</w:t>
      </w:r>
      <w:r w:rsidR="007B112A">
        <w:t>.</w:t>
      </w:r>
      <w:r w:rsidR="007630F3">
        <w:t xml:space="preserve"> We still consider </w:t>
      </w:r>
      <w:r w:rsidR="00D077C8">
        <w:t>the a</w:t>
      </w:r>
      <w:r w:rsidR="00D077C8" w:rsidRPr="00426D9C">
        <w:t xml:space="preserve">llowing the proposed derogation </w:t>
      </w:r>
      <w:r w:rsidR="00D077C8">
        <w:t xml:space="preserve">will </w:t>
      </w:r>
      <w:r w:rsidR="00D077C8" w:rsidRPr="00426D9C">
        <w:t xml:space="preserve">not cause any significant pollution or prevent a high level of protection of the environment </w:t>
      </w:r>
      <w:proofErr w:type="gramStart"/>
      <w:r w:rsidR="00D077C8" w:rsidRPr="00426D9C">
        <w:t>as a whole to</w:t>
      </w:r>
      <w:proofErr w:type="gramEnd"/>
      <w:r w:rsidR="00D077C8" w:rsidRPr="00426D9C">
        <w:t xml:space="preserve"> be achieved</w:t>
      </w:r>
      <w:r w:rsidR="00D077C8">
        <w:t>.</w:t>
      </w:r>
    </w:p>
    <w:p w14:paraId="0D94FCEB" w14:textId="77777777" w:rsidR="00A27F26" w:rsidRDefault="00031CB0" w:rsidP="007C6E45">
      <w:pPr>
        <w:spacing w:before="120"/>
        <w:rPr>
          <w:u w:val="single"/>
        </w:rPr>
      </w:pPr>
      <w:bookmarkStart w:id="7" w:name="_Toc103241367"/>
      <w:r w:rsidRPr="00980632">
        <w:rPr>
          <w:u w:val="single"/>
        </w:rPr>
        <w:t>Derogation criteria</w:t>
      </w:r>
      <w:bookmarkEnd w:id="7"/>
    </w:p>
    <w:p w14:paraId="62EFF8E5" w14:textId="764CF6A5" w:rsidR="007B112A" w:rsidRDefault="00C0570A" w:rsidP="007C6E45">
      <w:pPr>
        <w:spacing w:before="120"/>
        <w:rPr>
          <w:color w:val="000000"/>
        </w:rPr>
      </w:pPr>
      <w:r w:rsidRPr="00C0570A">
        <w:t>As for</w:t>
      </w:r>
      <w:r>
        <w:rPr>
          <w:u w:val="single"/>
        </w:rPr>
        <w:t xml:space="preserve"> </w:t>
      </w:r>
      <w:r w:rsidR="00980632">
        <w:rPr>
          <w:color w:val="000000"/>
        </w:rPr>
        <w:t>the previous derogation</w:t>
      </w:r>
      <w:r w:rsidR="00A73BEA">
        <w:rPr>
          <w:color w:val="000000"/>
        </w:rPr>
        <w:t>s</w:t>
      </w:r>
      <w:r w:rsidR="00980632">
        <w:rPr>
          <w:color w:val="000000"/>
        </w:rPr>
        <w:t xml:space="preserve">, </w:t>
      </w:r>
      <w:r w:rsidR="00040A2F">
        <w:rPr>
          <w:color w:val="000000"/>
        </w:rPr>
        <w:t>t</w:t>
      </w:r>
      <w:r w:rsidR="00040A2F" w:rsidRPr="00040A2F">
        <w:rPr>
          <w:color w:val="000000"/>
        </w:rPr>
        <w:t xml:space="preserve">he </w:t>
      </w:r>
      <w:r w:rsidR="00E2492A">
        <w:rPr>
          <w:color w:val="000000"/>
        </w:rPr>
        <w:t xml:space="preserve">operator </w:t>
      </w:r>
      <w:r w:rsidR="00A73BEA">
        <w:rPr>
          <w:color w:val="000000"/>
        </w:rPr>
        <w:t>reference</w:t>
      </w:r>
      <w:r w:rsidR="00E2492A">
        <w:rPr>
          <w:color w:val="000000"/>
        </w:rPr>
        <w:t>d</w:t>
      </w:r>
      <w:r w:rsidR="00A73BEA">
        <w:rPr>
          <w:color w:val="000000"/>
        </w:rPr>
        <w:t xml:space="preserve"> </w:t>
      </w:r>
      <w:hyperlink r:id="rId15" w:history="1">
        <w:r w:rsidR="00A73BEA" w:rsidRPr="00C11D1A">
          <w:rPr>
            <w:rStyle w:val="Hyperlink"/>
          </w:rPr>
          <w:t>DEFRA guidance note ‘Industrial emissions directive Guidance on Part A installations</w:t>
        </w:r>
      </w:hyperlink>
      <w:r w:rsidR="00A73BEA" w:rsidRPr="00A73BEA">
        <w:rPr>
          <w:color w:val="000000"/>
        </w:rPr>
        <w:t>’</w:t>
      </w:r>
      <w:r w:rsidR="00E2492A">
        <w:rPr>
          <w:color w:val="000000"/>
        </w:rPr>
        <w:t xml:space="preserve"> to justify that</w:t>
      </w:r>
      <w:r w:rsidR="00C87067">
        <w:rPr>
          <w:color w:val="000000"/>
        </w:rPr>
        <w:t xml:space="preserve"> the </w:t>
      </w:r>
      <w:r w:rsidR="00040A2F" w:rsidRPr="00040A2F">
        <w:rPr>
          <w:color w:val="000000"/>
        </w:rPr>
        <w:t>cost</w:t>
      </w:r>
      <w:r w:rsidR="00C87067">
        <w:rPr>
          <w:color w:val="000000"/>
        </w:rPr>
        <w:t>s</w:t>
      </w:r>
      <w:r w:rsidR="00040A2F" w:rsidRPr="00040A2F">
        <w:rPr>
          <w:color w:val="000000"/>
        </w:rPr>
        <w:t xml:space="preserve"> </w:t>
      </w:r>
      <w:r w:rsidR="00327F64">
        <w:rPr>
          <w:color w:val="000000"/>
        </w:rPr>
        <w:t xml:space="preserve">of BAT 52 compliance </w:t>
      </w:r>
      <w:r w:rsidR="00E2492A">
        <w:rPr>
          <w:color w:val="000000"/>
        </w:rPr>
        <w:t xml:space="preserve">at the White Oil Docks </w:t>
      </w:r>
      <w:r w:rsidR="00327F64">
        <w:rPr>
          <w:color w:val="000000"/>
        </w:rPr>
        <w:t>w</w:t>
      </w:r>
      <w:r w:rsidR="00040A2F" w:rsidRPr="00040A2F">
        <w:rPr>
          <w:color w:val="000000"/>
        </w:rPr>
        <w:t xml:space="preserve">ould be higher than normally encountered due to </w:t>
      </w:r>
      <w:r w:rsidR="00040A2F" w:rsidRPr="00AB4BCE">
        <w:rPr>
          <w:color w:val="000000"/>
        </w:rPr>
        <w:t>the geographical location.  In addition, the technical characteristics are such</w:t>
      </w:r>
      <w:r w:rsidR="00040A2F" w:rsidRPr="00040A2F">
        <w:rPr>
          <w:color w:val="000000"/>
        </w:rPr>
        <w:t xml:space="preserve"> that the intended remaining operational lifetime of a VRU </w:t>
      </w:r>
      <w:r w:rsidR="00D22F8A">
        <w:rPr>
          <w:color w:val="000000"/>
        </w:rPr>
        <w:t xml:space="preserve">installed </w:t>
      </w:r>
      <w:r w:rsidR="00040A2F" w:rsidRPr="00040A2F">
        <w:rPr>
          <w:color w:val="000000"/>
        </w:rPr>
        <w:t xml:space="preserve">at </w:t>
      </w:r>
      <w:r w:rsidR="00A9369B">
        <w:rPr>
          <w:color w:val="000000"/>
        </w:rPr>
        <w:t xml:space="preserve">the </w:t>
      </w:r>
      <w:r w:rsidR="00040A2F" w:rsidRPr="00040A2F">
        <w:rPr>
          <w:color w:val="000000"/>
        </w:rPr>
        <w:t xml:space="preserve">White Oil Docks </w:t>
      </w:r>
      <w:r w:rsidR="00D22F8A">
        <w:rPr>
          <w:color w:val="000000"/>
        </w:rPr>
        <w:t xml:space="preserve">would be </w:t>
      </w:r>
      <w:r w:rsidR="00040A2F" w:rsidRPr="00040A2F">
        <w:rPr>
          <w:color w:val="000000"/>
        </w:rPr>
        <w:t xml:space="preserve">limited. </w:t>
      </w:r>
    </w:p>
    <w:p w14:paraId="1CC94CB1" w14:textId="7831A11F" w:rsidR="007B112A" w:rsidRDefault="005D270E" w:rsidP="007C6E45">
      <w:pPr>
        <w:spacing w:before="120"/>
        <w:rPr>
          <w:color w:val="000000"/>
        </w:rPr>
      </w:pPr>
      <w:proofErr w:type="gramStart"/>
      <w:r>
        <w:rPr>
          <w:color w:val="000000"/>
        </w:rPr>
        <w:t>With regard to</w:t>
      </w:r>
      <w:proofErr w:type="gramEnd"/>
      <w:r>
        <w:rPr>
          <w:color w:val="000000"/>
        </w:rPr>
        <w:t xml:space="preserve"> geographical location, t</w:t>
      </w:r>
      <w:r w:rsidR="00914FCB">
        <w:rPr>
          <w:color w:val="000000"/>
        </w:rPr>
        <w:t xml:space="preserve">he </w:t>
      </w:r>
      <w:r w:rsidR="00A70445" w:rsidRPr="00A70445">
        <w:rPr>
          <w:color w:val="000000"/>
        </w:rPr>
        <w:t xml:space="preserve">Department for Environment Food and Rural Affairs (“DEFRA”) </w:t>
      </w:r>
      <w:r w:rsidR="00914FCB">
        <w:rPr>
          <w:color w:val="000000"/>
        </w:rPr>
        <w:t xml:space="preserve">note </w:t>
      </w:r>
      <w:r w:rsidR="00000675">
        <w:rPr>
          <w:color w:val="000000"/>
        </w:rPr>
        <w:t>states:</w:t>
      </w:r>
    </w:p>
    <w:p w14:paraId="00AAC02C" w14:textId="77777777" w:rsidR="007B112A" w:rsidRDefault="00914FCB" w:rsidP="007C6E45">
      <w:pPr>
        <w:spacing w:before="120"/>
        <w:rPr>
          <w:color w:val="000000"/>
        </w:rPr>
      </w:pPr>
      <w:r w:rsidRPr="00000675">
        <w:rPr>
          <w:i/>
          <w:iCs/>
          <w:color w:val="000000"/>
        </w:rPr>
        <w:t>The geographical location of the installation may have a bearing on costs: for example, construction of energy supply costs may be higher than would normally be encountered if the installation is in a remote location.’</w:t>
      </w:r>
    </w:p>
    <w:p w14:paraId="079123A2" w14:textId="77777777" w:rsidR="007B112A" w:rsidRDefault="00040A2F" w:rsidP="007C6E45">
      <w:pPr>
        <w:spacing w:before="120"/>
        <w:rPr>
          <w:color w:val="000000"/>
        </w:rPr>
      </w:pPr>
      <w:r w:rsidRPr="00040A2F">
        <w:rPr>
          <w:color w:val="000000"/>
        </w:rPr>
        <w:t xml:space="preserve">The geographical location and configuration of the White Oil Docks means it is more technically difficult to install a VRU and would significantly increase construction costs. </w:t>
      </w:r>
    </w:p>
    <w:p w14:paraId="2C665DEA" w14:textId="2B292861" w:rsidR="007B112A" w:rsidRDefault="00040A2F" w:rsidP="007C6E45">
      <w:pPr>
        <w:spacing w:before="120"/>
        <w:rPr>
          <w:color w:val="000000"/>
        </w:rPr>
      </w:pPr>
      <w:r w:rsidRPr="00040A2F">
        <w:rPr>
          <w:color w:val="000000"/>
        </w:rPr>
        <w:t xml:space="preserve">The White Oil Docks are located on Stanlow Island which is not connected by land to the rest of the Stanlow site. </w:t>
      </w:r>
      <w:proofErr w:type="gramStart"/>
      <w:r w:rsidRPr="00040A2F">
        <w:rPr>
          <w:color w:val="000000"/>
        </w:rPr>
        <w:t>In order to</w:t>
      </w:r>
      <w:proofErr w:type="gramEnd"/>
      <w:r w:rsidRPr="00040A2F">
        <w:rPr>
          <w:color w:val="000000"/>
        </w:rPr>
        <w:t xml:space="preserve"> install a VRU at this location, floating cranes would be required to transport the abatement equipment and all other materials for construction. This significantly increases the cost of the project compared with the proposed derogation scenario</w:t>
      </w:r>
      <w:r w:rsidR="00B63443">
        <w:rPr>
          <w:color w:val="000000"/>
        </w:rPr>
        <w:t xml:space="preserve"> (</w:t>
      </w:r>
      <w:r w:rsidR="00F70952">
        <w:rPr>
          <w:color w:val="000000"/>
        </w:rPr>
        <w:t xml:space="preserve">moving </w:t>
      </w:r>
      <w:proofErr w:type="gramStart"/>
      <w:r w:rsidR="00F70952">
        <w:rPr>
          <w:color w:val="000000"/>
        </w:rPr>
        <w:t xml:space="preserve">the </w:t>
      </w:r>
      <w:r w:rsidRPr="00040A2F">
        <w:rPr>
          <w:color w:val="000000"/>
        </w:rPr>
        <w:t>majority of</w:t>
      </w:r>
      <w:proofErr w:type="gramEnd"/>
      <w:r w:rsidRPr="00040A2F">
        <w:rPr>
          <w:color w:val="000000"/>
        </w:rPr>
        <w:t xml:space="preserve"> loading/unloading operations to the Tranmere Oil Terminal and installation of a VRU at Tranmere Oil Terminal</w:t>
      </w:r>
      <w:r w:rsidR="00F70952">
        <w:rPr>
          <w:color w:val="000000"/>
        </w:rPr>
        <w:t>)</w:t>
      </w:r>
      <w:r w:rsidRPr="00040A2F">
        <w:rPr>
          <w:color w:val="000000"/>
        </w:rPr>
        <w:t>.</w:t>
      </w:r>
    </w:p>
    <w:p w14:paraId="572FE648" w14:textId="52F1ADF0" w:rsidR="007B112A" w:rsidRDefault="004B788B" w:rsidP="007C6E45">
      <w:pPr>
        <w:spacing w:before="120"/>
        <w:rPr>
          <w:color w:val="000000"/>
        </w:rPr>
      </w:pPr>
      <w:r w:rsidRPr="004B788B">
        <w:rPr>
          <w:color w:val="000000"/>
        </w:rPr>
        <w:t>We agree that the geographic location of the installation is likely to have an impact on the cost to install the equipment needed to achieve compliance with the techniques described by BAT 52 and the associated emission levels BAT-AELs.</w:t>
      </w:r>
    </w:p>
    <w:p w14:paraId="5D1CB10D" w14:textId="77777777" w:rsidR="007B112A" w:rsidRDefault="005D270E" w:rsidP="007C6E45">
      <w:pPr>
        <w:spacing w:before="120"/>
        <w:rPr>
          <w:color w:val="000000"/>
        </w:rPr>
      </w:pPr>
      <w:proofErr w:type="gramStart"/>
      <w:r>
        <w:rPr>
          <w:color w:val="000000"/>
        </w:rPr>
        <w:t>With regard to</w:t>
      </w:r>
      <w:proofErr w:type="gramEnd"/>
      <w:r>
        <w:rPr>
          <w:color w:val="000000"/>
        </w:rPr>
        <w:t xml:space="preserve"> technical characteristics, t</w:t>
      </w:r>
      <w:r w:rsidR="00CD7F81" w:rsidRPr="00CD7F81">
        <w:rPr>
          <w:color w:val="000000"/>
        </w:rPr>
        <w:t>he DEFRA note states:</w:t>
      </w:r>
    </w:p>
    <w:p w14:paraId="3260719E" w14:textId="77777777" w:rsidR="00490432" w:rsidRDefault="00511BD3" w:rsidP="007C6E45">
      <w:pPr>
        <w:spacing w:before="120"/>
        <w:rPr>
          <w:color w:val="000000"/>
        </w:rPr>
      </w:pPr>
      <w:r w:rsidRPr="00511BD3">
        <w:rPr>
          <w:i/>
          <w:iCs/>
          <w:color w:val="000000"/>
        </w:rPr>
        <w:t>Technical characteristics which may be particularly relevant include:</w:t>
      </w:r>
    </w:p>
    <w:p w14:paraId="029B049F" w14:textId="77777777" w:rsidR="00490432" w:rsidRPr="00490432" w:rsidRDefault="005D270E" w:rsidP="007C6E45">
      <w:pPr>
        <w:pStyle w:val="ListParagraph"/>
        <w:numPr>
          <w:ilvl w:val="0"/>
          <w:numId w:val="26"/>
        </w:numPr>
        <w:spacing w:before="120"/>
        <w:rPr>
          <w:color w:val="000000"/>
        </w:rPr>
      </w:pPr>
      <w:r w:rsidRPr="00490432">
        <w:rPr>
          <w:i/>
          <w:iCs/>
          <w:color w:val="000000"/>
        </w:rPr>
        <w:t>The configuration of the plant on a given site, making it more difficult and costly to comply</w:t>
      </w:r>
    </w:p>
    <w:p w14:paraId="1EE9D1CA" w14:textId="77777777" w:rsidR="00A73637" w:rsidRPr="00A73637" w:rsidRDefault="005D270E" w:rsidP="007C6E45">
      <w:pPr>
        <w:pStyle w:val="ListParagraph"/>
        <w:numPr>
          <w:ilvl w:val="0"/>
          <w:numId w:val="26"/>
        </w:numPr>
        <w:spacing w:before="120"/>
        <w:rPr>
          <w:color w:val="000000"/>
        </w:rPr>
      </w:pPr>
      <w:r w:rsidRPr="00490432">
        <w:rPr>
          <w:i/>
          <w:iCs/>
          <w:color w:val="000000"/>
        </w:rPr>
        <w:t>The intended remaining operational lifetime of the installation as a whole or of the part of it giving rise to the emission of the pollutant(s), where the operator is prepared to commit to a timetable for closure.’</w:t>
      </w:r>
    </w:p>
    <w:p w14:paraId="0677F26D" w14:textId="50B31E58" w:rsidR="00A73637" w:rsidRDefault="0073404D" w:rsidP="007C6E45">
      <w:pPr>
        <w:spacing w:before="120"/>
        <w:rPr>
          <w:color w:val="000000"/>
        </w:rPr>
      </w:pPr>
      <w:r w:rsidRPr="00A73637">
        <w:rPr>
          <w:color w:val="000000"/>
        </w:rPr>
        <w:lastRenderedPageBreak/>
        <w:t xml:space="preserve">The </w:t>
      </w:r>
      <w:r w:rsidR="000E138F" w:rsidRPr="00A73637">
        <w:rPr>
          <w:color w:val="000000"/>
        </w:rPr>
        <w:t>o</w:t>
      </w:r>
      <w:r w:rsidRPr="00A73637">
        <w:rPr>
          <w:color w:val="000000"/>
        </w:rPr>
        <w:t xml:space="preserve">perator </w:t>
      </w:r>
      <w:r w:rsidR="006179A4">
        <w:rPr>
          <w:color w:val="000000"/>
        </w:rPr>
        <w:t>states</w:t>
      </w:r>
      <w:r w:rsidR="00113872" w:rsidRPr="00A73637">
        <w:rPr>
          <w:color w:val="000000"/>
        </w:rPr>
        <w:t xml:space="preserve"> that</w:t>
      </w:r>
      <w:r w:rsidRPr="00A73637">
        <w:rPr>
          <w:color w:val="000000"/>
        </w:rPr>
        <w:t xml:space="preserve"> the intended remaining operational lifetime of equipment newly installed at the White Oil Docks to comply with BAT </w:t>
      </w:r>
      <w:r w:rsidR="00AD23AE">
        <w:rPr>
          <w:color w:val="000000"/>
        </w:rPr>
        <w:t>52</w:t>
      </w:r>
      <w:r w:rsidRPr="00A73637">
        <w:rPr>
          <w:color w:val="000000"/>
        </w:rPr>
        <w:t xml:space="preserve"> would be limited, </w:t>
      </w:r>
      <w:r w:rsidR="00AD23AE">
        <w:rPr>
          <w:color w:val="000000"/>
        </w:rPr>
        <w:t>because</w:t>
      </w:r>
      <w:r w:rsidRPr="00A73637">
        <w:rPr>
          <w:color w:val="000000"/>
        </w:rPr>
        <w:t xml:space="preserve"> it is their intention</w:t>
      </w:r>
      <w:r w:rsidR="005270BA">
        <w:rPr>
          <w:color w:val="000000"/>
        </w:rPr>
        <w:t xml:space="preserve"> to implement the Mogas Export Project </w:t>
      </w:r>
      <w:r w:rsidR="005270BA" w:rsidRPr="005270BA">
        <w:rPr>
          <w:color w:val="000000"/>
        </w:rPr>
        <w:t xml:space="preserve">regardless of the BAT requirements for the White Oil Docks.  </w:t>
      </w:r>
      <w:r w:rsidRPr="00A73637">
        <w:rPr>
          <w:color w:val="000000"/>
        </w:rPr>
        <w:t xml:space="preserve"> </w:t>
      </w:r>
      <w:r w:rsidR="00A605CE" w:rsidRPr="00A73637">
        <w:rPr>
          <w:color w:val="000000"/>
        </w:rPr>
        <w:t xml:space="preserve">  </w:t>
      </w:r>
    </w:p>
    <w:p w14:paraId="17F96F2D" w14:textId="77777777" w:rsidR="00B11028" w:rsidRDefault="00AB1E35" w:rsidP="007C6E45">
      <w:pPr>
        <w:spacing w:before="120"/>
        <w:rPr>
          <w:color w:val="000000"/>
        </w:rPr>
      </w:pPr>
      <w:r w:rsidRPr="00AB1E35">
        <w:rPr>
          <w:color w:val="000000"/>
        </w:rPr>
        <w:t xml:space="preserve">We </w:t>
      </w:r>
      <w:r>
        <w:rPr>
          <w:color w:val="000000"/>
        </w:rPr>
        <w:t>agree</w:t>
      </w:r>
      <w:r w:rsidRPr="00AB1E35">
        <w:rPr>
          <w:color w:val="000000"/>
        </w:rPr>
        <w:t xml:space="preserve"> that the technical configuration of the plant, </w:t>
      </w:r>
      <w:proofErr w:type="gramStart"/>
      <w:r w:rsidRPr="00AB1E35">
        <w:rPr>
          <w:color w:val="000000"/>
        </w:rPr>
        <w:t>as a result of</w:t>
      </w:r>
      <w:proofErr w:type="gramEnd"/>
      <w:r w:rsidRPr="00AB1E35">
        <w:rPr>
          <w:color w:val="000000"/>
        </w:rPr>
        <w:t xml:space="preserve"> its geographic location described above, is likely to make it more difficult and costly to comply with BAT 52 and the BAT-AELs.</w:t>
      </w:r>
    </w:p>
    <w:p w14:paraId="6EF4E831" w14:textId="21B6DA91" w:rsidR="00B11028" w:rsidRDefault="00AB1E35" w:rsidP="007C6E45">
      <w:pPr>
        <w:spacing w:before="120"/>
        <w:rPr>
          <w:color w:val="000000"/>
        </w:rPr>
      </w:pPr>
      <w:r w:rsidRPr="00AB1E35">
        <w:rPr>
          <w:color w:val="000000"/>
        </w:rPr>
        <w:t xml:space="preserve">We note that the geographic and technical criteria partially </w:t>
      </w:r>
      <w:r w:rsidR="00A73637" w:rsidRPr="00AB1E35">
        <w:rPr>
          <w:color w:val="000000"/>
        </w:rPr>
        <w:t>overlap,</w:t>
      </w:r>
      <w:r w:rsidRPr="00AB1E35">
        <w:rPr>
          <w:color w:val="000000"/>
        </w:rPr>
        <w:t xml:space="preserve"> and we consider that the technical </w:t>
      </w:r>
      <w:r w:rsidR="00136498">
        <w:rPr>
          <w:color w:val="000000"/>
        </w:rPr>
        <w:t xml:space="preserve">characteristics </w:t>
      </w:r>
      <w:r w:rsidRPr="00AB1E35">
        <w:rPr>
          <w:color w:val="000000"/>
        </w:rPr>
        <w:t xml:space="preserve">criterion is more appropriate to describe this element of the derogation request. We have therefore decided to take forward the technical criterion as the basis of this derogation request. </w:t>
      </w:r>
    </w:p>
    <w:p w14:paraId="5D34B3EA" w14:textId="46E4D67A" w:rsidR="00AB1E35" w:rsidRDefault="00AB1E35" w:rsidP="007C6E45">
      <w:pPr>
        <w:spacing w:before="120"/>
        <w:rPr>
          <w:color w:val="000000"/>
        </w:rPr>
      </w:pPr>
      <w:r w:rsidRPr="00AB1E35">
        <w:rPr>
          <w:color w:val="000000"/>
        </w:rPr>
        <w:t xml:space="preserve">Based on the information provided by the </w:t>
      </w:r>
      <w:r w:rsidR="00F95214">
        <w:rPr>
          <w:color w:val="000000"/>
        </w:rPr>
        <w:t>o</w:t>
      </w:r>
      <w:r w:rsidRPr="00AB1E35">
        <w:rPr>
          <w:color w:val="000000"/>
        </w:rPr>
        <w:t xml:space="preserve">perator, we also agree, as a second argument based on the technical characteristics of the installation, that the requirement for new </w:t>
      </w:r>
      <w:r w:rsidR="00F95214">
        <w:rPr>
          <w:color w:val="000000"/>
        </w:rPr>
        <w:t xml:space="preserve">abatement </w:t>
      </w:r>
      <w:r w:rsidRPr="00AB1E35">
        <w:rPr>
          <w:color w:val="000000"/>
        </w:rPr>
        <w:t>equipment to be installed at the White Oil Docks to comply with BAT 52</w:t>
      </w:r>
      <w:r w:rsidR="00562399">
        <w:rPr>
          <w:color w:val="000000"/>
        </w:rPr>
        <w:t>,</w:t>
      </w:r>
      <w:r w:rsidRPr="00AB1E35">
        <w:rPr>
          <w:color w:val="000000"/>
        </w:rPr>
        <w:t xml:space="preserve"> and the BAT-AELs</w:t>
      </w:r>
      <w:r w:rsidR="00562399">
        <w:rPr>
          <w:color w:val="000000"/>
        </w:rPr>
        <w:t>,</w:t>
      </w:r>
      <w:r w:rsidRPr="00AB1E35">
        <w:rPr>
          <w:color w:val="000000"/>
        </w:rPr>
        <w:t xml:space="preserve"> could be </w:t>
      </w:r>
      <w:r w:rsidR="00562399">
        <w:rPr>
          <w:color w:val="000000"/>
        </w:rPr>
        <w:t>time-</w:t>
      </w:r>
      <w:r w:rsidRPr="00AB1E35">
        <w:rPr>
          <w:color w:val="000000"/>
        </w:rPr>
        <w:t>limited in</w:t>
      </w:r>
      <w:r w:rsidR="00562399">
        <w:rPr>
          <w:color w:val="000000"/>
        </w:rPr>
        <w:t xml:space="preserve"> nature</w:t>
      </w:r>
      <w:r w:rsidRPr="00AB1E35">
        <w:rPr>
          <w:color w:val="000000"/>
        </w:rPr>
        <w:t xml:space="preserve">, given the </w:t>
      </w:r>
      <w:r w:rsidR="00794A47">
        <w:rPr>
          <w:color w:val="000000"/>
        </w:rPr>
        <w:t xml:space="preserve">operator’s </w:t>
      </w:r>
      <w:r w:rsidRPr="00AB1E35">
        <w:rPr>
          <w:color w:val="000000"/>
        </w:rPr>
        <w:t xml:space="preserve">intention </w:t>
      </w:r>
      <w:r w:rsidR="00794A47">
        <w:rPr>
          <w:color w:val="000000"/>
        </w:rPr>
        <w:t>to implement the Mogas Export Project,</w:t>
      </w:r>
      <w:r w:rsidR="003D4AE5">
        <w:rPr>
          <w:color w:val="000000"/>
        </w:rPr>
        <w:t xml:space="preserve"> the effect of which will be to reduce the throughput at </w:t>
      </w:r>
      <w:r w:rsidRPr="00AB1E35">
        <w:rPr>
          <w:color w:val="000000"/>
        </w:rPr>
        <w:t xml:space="preserve">the White Oil Docks will </w:t>
      </w:r>
      <w:r w:rsidR="00B26764">
        <w:rPr>
          <w:color w:val="000000"/>
        </w:rPr>
        <w:t xml:space="preserve">to </w:t>
      </w:r>
      <w:r w:rsidRPr="00AB1E35">
        <w:rPr>
          <w:color w:val="000000"/>
        </w:rPr>
        <w:t>below the 1</w:t>
      </w:r>
      <w:r w:rsidR="00B26764">
        <w:rPr>
          <w:color w:val="000000"/>
        </w:rPr>
        <w:t> </w:t>
      </w:r>
      <w:r w:rsidRPr="00AB1E35">
        <w:rPr>
          <w:color w:val="000000"/>
        </w:rPr>
        <w:t xml:space="preserve">million m3/y </w:t>
      </w:r>
      <w:r w:rsidR="00B26764">
        <w:rPr>
          <w:color w:val="000000"/>
        </w:rPr>
        <w:t xml:space="preserve">BAT 52 </w:t>
      </w:r>
      <w:r w:rsidRPr="00AB1E35">
        <w:rPr>
          <w:color w:val="000000"/>
        </w:rPr>
        <w:t>applicability threshold</w:t>
      </w:r>
      <w:r w:rsidR="00B26764">
        <w:rPr>
          <w:color w:val="000000"/>
        </w:rPr>
        <w:t>.   At that point</w:t>
      </w:r>
      <w:r w:rsidR="007C6C23">
        <w:rPr>
          <w:color w:val="000000"/>
        </w:rPr>
        <w:t xml:space="preserve">, BAT 52 will no longer apply to the White Oil Docks and a </w:t>
      </w:r>
      <w:r w:rsidR="009E1EEF">
        <w:rPr>
          <w:color w:val="000000"/>
        </w:rPr>
        <w:t xml:space="preserve">VRU will </w:t>
      </w:r>
      <w:r w:rsidR="007C6C23">
        <w:rPr>
          <w:color w:val="000000"/>
        </w:rPr>
        <w:t xml:space="preserve">not be </w:t>
      </w:r>
      <w:r w:rsidR="009E1EEF">
        <w:rPr>
          <w:color w:val="000000"/>
        </w:rPr>
        <w:t>required</w:t>
      </w:r>
      <w:r w:rsidRPr="00AB1E35">
        <w:rPr>
          <w:color w:val="000000"/>
        </w:rPr>
        <w:t>.</w:t>
      </w:r>
    </w:p>
    <w:p w14:paraId="2576397F" w14:textId="77777777" w:rsidR="00461C42" w:rsidRDefault="004B108A" w:rsidP="007C6E45">
      <w:pPr>
        <w:keepNext/>
        <w:keepLines/>
        <w:spacing w:before="240" w:line="276" w:lineRule="auto"/>
        <w:rPr>
          <w:color w:val="000000"/>
        </w:rPr>
      </w:pPr>
      <w:r w:rsidRPr="004B108A">
        <w:rPr>
          <w:color w:val="000000"/>
        </w:rPr>
        <w:t>The Environment Agency had previously accepted these two grounds for derogation based on the technical characteristics of the installation, as part of the derogation granted to the operator on 26/09/2018 (variation EPR/FP3139FN/V009)</w:t>
      </w:r>
      <w:r w:rsidR="003A4982">
        <w:rPr>
          <w:color w:val="000000"/>
        </w:rPr>
        <w:t xml:space="preserve"> and on 12/05/2022 </w:t>
      </w:r>
      <w:r w:rsidR="00A25D56">
        <w:rPr>
          <w:color w:val="000000"/>
        </w:rPr>
        <w:t xml:space="preserve">(variation </w:t>
      </w:r>
      <w:r w:rsidR="00A25D56" w:rsidRPr="004B108A">
        <w:rPr>
          <w:color w:val="000000"/>
        </w:rPr>
        <w:t>EPR/FP3139FN/V0</w:t>
      </w:r>
      <w:r w:rsidR="00953358">
        <w:rPr>
          <w:color w:val="000000"/>
        </w:rPr>
        <w:t>11)</w:t>
      </w:r>
      <w:r w:rsidRPr="004B108A">
        <w:rPr>
          <w:color w:val="000000"/>
        </w:rPr>
        <w:t xml:space="preserve">. </w:t>
      </w:r>
    </w:p>
    <w:p w14:paraId="78A2F4EE" w14:textId="77777777" w:rsidR="00121B65" w:rsidRDefault="0046572C" w:rsidP="007C6E45">
      <w:pPr>
        <w:spacing w:before="120"/>
        <w:rPr>
          <w:u w:val="single"/>
        </w:rPr>
      </w:pPr>
      <w:bookmarkStart w:id="8" w:name="_Toc103241368"/>
      <w:r>
        <w:rPr>
          <w:u w:val="single"/>
        </w:rPr>
        <w:t>Review of options for BAT Compliance</w:t>
      </w:r>
      <w:bookmarkEnd w:id="8"/>
    </w:p>
    <w:p w14:paraId="4B819A2E" w14:textId="1AFF05FC" w:rsidR="00121B65" w:rsidRDefault="00C6116D" w:rsidP="007C6E45">
      <w:pPr>
        <w:spacing w:before="120"/>
        <w:rPr>
          <w:u w:val="single"/>
        </w:rPr>
      </w:pPr>
      <w:r w:rsidRPr="00121B65">
        <w:rPr>
          <w:color w:val="000000"/>
        </w:rPr>
        <w:t xml:space="preserve">The operator considered four options for either achieving compliance with the BAT-AELs or </w:t>
      </w:r>
      <w:r w:rsidR="00A81082" w:rsidRPr="00121B65">
        <w:rPr>
          <w:color w:val="000000"/>
        </w:rPr>
        <w:t xml:space="preserve">for </w:t>
      </w:r>
      <w:r w:rsidRPr="00121B65">
        <w:rPr>
          <w:color w:val="000000"/>
        </w:rPr>
        <w:t>modifying operations such that BAT 52 no longer applies (</w:t>
      </w:r>
      <w:r w:rsidR="00A81082" w:rsidRPr="00121B65">
        <w:rPr>
          <w:color w:val="000000"/>
        </w:rPr>
        <w:t xml:space="preserve">i.e. by </w:t>
      </w:r>
      <w:r w:rsidRPr="00121B65">
        <w:rPr>
          <w:color w:val="000000"/>
        </w:rPr>
        <w:t>reducing throughput at the White Oil Docks to less than 1 million m</w:t>
      </w:r>
      <w:r w:rsidRPr="00FB7B14">
        <w:rPr>
          <w:color w:val="000000"/>
          <w:vertAlign w:val="superscript"/>
        </w:rPr>
        <w:t>3</w:t>
      </w:r>
      <w:r w:rsidRPr="00121B65">
        <w:rPr>
          <w:color w:val="000000"/>
        </w:rPr>
        <w:t xml:space="preserve">/y).  </w:t>
      </w:r>
    </w:p>
    <w:p w14:paraId="6CE57D94" w14:textId="0C93EE3F" w:rsidR="00121B65" w:rsidRDefault="00C6116D" w:rsidP="007C6E45">
      <w:pPr>
        <w:spacing w:before="120"/>
        <w:rPr>
          <w:u w:val="single"/>
        </w:rPr>
      </w:pPr>
      <w:r w:rsidRPr="00121B65">
        <w:rPr>
          <w:color w:val="000000"/>
        </w:rPr>
        <w:t>Two options would potentially make the installation immediately compliant with BAT</w:t>
      </w:r>
      <w:r w:rsidR="003D4C7A">
        <w:rPr>
          <w:color w:val="000000"/>
        </w:rPr>
        <w:t> </w:t>
      </w:r>
      <w:r w:rsidRPr="00121B65">
        <w:rPr>
          <w:color w:val="000000"/>
        </w:rPr>
        <w:t xml:space="preserve">52; another option could achieve compliance by the end of October 2026, whereas the proposed </w:t>
      </w:r>
      <w:r w:rsidR="000B311C" w:rsidRPr="00121B65">
        <w:rPr>
          <w:color w:val="000000"/>
        </w:rPr>
        <w:t xml:space="preserve">derogation </w:t>
      </w:r>
      <w:r w:rsidRPr="00121B65">
        <w:rPr>
          <w:color w:val="000000"/>
        </w:rPr>
        <w:t>option will achieve compliance by the end of October 2025:</w:t>
      </w:r>
    </w:p>
    <w:p w14:paraId="24BDA514" w14:textId="576A46D3" w:rsidR="00121B65" w:rsidRPr="006C1A17" w:rsidRDefault="00F47D44" w:rsidP="007C6E45">
      <w:pPr>
        <w:pStyle w:val="ListParagraph"/>
        <w:numPr>
          <w:ilvl w:val="0"/>
          <w:numId w:val="27"/>
        </w:numPr>
        <w:spacing w:before="120"/>
        <w:rPr>
          <w:u w:val="single"/>
        </w:rPr>
      </w:pPr>
      <w:r w:rsidRPr="00F15AE5">
        <w:rPr>
          <w:b/>
          <w:bCs/>
          <w:color w:val="000000"/>
        </w:rPr>
        <w:t xml:space="preserve">Option 1 - </w:t>
      </w:r>
      <w:r w:rsidR="00C6116D" w:rsidRPr="00F15AE5">
        <w:rPr>
          <w:b/>
          <w:bCs/>
          <w:color w:val="000000"/>
        </w:rPr>
        <w:t>Proposed derogation</w:t>
      </w:r>
      <w:r w:rsidR="00C6116D" w:rsidRPr="00F15AE5">
        <w:rPr>
          <w:color w:val="000000"/>
        </w:rPr>
        <w:t xml:space="preserve"> –</w:t>
      </w:r>
      <w:r w:rsidR="003276A1" w:rsidRPr="00F15AE5">
        <w:rPr>
          <w:color w:val="000000"/>
        </w:rPr>
        <w:t xml:space="preserve"> </w:t>
      </w:r>
      <w:r w:rsidR="00C6116D" w:rsidRPr="00F15AE5">
        <w:rPr>
          <w:color w:val="000000"/>
        </w:rPr>
        <w:t xml:space="preserve">loading/unloading operations </w:t>
      </w:r>
      <w:r w:rsidR="003276A1" w:rsidRPr="00F15AE5">
        <w:rPr>
          <w:color w:val="000000"/>
        </w:rPr>
        <w:t xml:space="preserve">are continued </w:t>
      </w:r>
      <w:r w:rsidR="00C6116D" w:rsidRPr="00F15AE5">
        <w:rPr>
          <w:color w:val="000000"/>
        </w:rPr>
        <w:t xml:space="preserve">at </w:t>
      </w:r>
      <w:r w:rsidR="0025494D" w:rsidRPr="00F15AE5">
        <w:rPr>
          <w:color w:val="000000"/>
        </w:rPr>
        <w:t xml:space="preserve">current rates at </w:t>
      </w:r>
      <w:r w:rsidR="00C6116D" w:rsidRPr="00F15AE5">
        <w:rPr>
          <w:color w:val="000000"/>
        </w:rPr>
        <w:t>White Oil Docks, without a VRU</w:t>
      </w:r>
      <w:r w:rsidR="003276A1" w:rsidRPr="00F15AE5">
        <w:rPr>
          <w:color w:val="000000"/>
        </w:rPr>
        <w:t>,</w:t>
      </w:r>
      <w:r w:rsidR="00C6116D" w:rsidRPr="00F15AE5">
        <w:rPr>
          <w:color w:val="000000"/>
        </w:rPr>
        <w:t xml:space="preserve"> until October</w:t>
      </w:r>
      <w:r w:rsidR="00816D85">
        <w:rPr>
          <w:color w:val="000000"/>
        </w:rPr>
        <w:t> </w:t>
      </w:r>
      <w:r w:rsidR="00C6116D" w:rsidRPr="00F15AE5">
        <w:rPr>
          <w:color w:val="000000"/>
        </w:rPr>
        <w:t xml:space="preserve">2025.  </w:t>
      </w:r>
      <w:r w:rsidR="005E2847" w:rsidRPr="00F15AE5">
        <w:rPr>
          <w:color w:val="000000"/>
        </w:rPr>
        <w:t xml:space="preserve">From November 2025, </w:t>
      </w:r>
      <w:r w:rsidR="0066592B" w:rsidRPr="00F15AE5">
        <w:rPr>
          <w:color w:val="000000"/>
        </w:rPr>
        <w:t xml:space="preserve">approximately 65% of </w:t>
      </w:r>
      <w:r w:rsidR="00C6116D" w:rsidRPr="00F15AE5">
        <w:rPr>
          <w:color w:val="000000"/>
        </w:rPr>
        <w:t xml:space="preserve">loading/unloading operations </w:t>
      </w:r>
      <w:r w:rsidR="005E2847" w:rsidRPr="00F15AE5">
        <w:rPr>
          <w:color w:val="000000"/>
        </w:rPr>
        <w:t xml:space="preserve">are transferred </w:t>
      </w:r>
      <w:r w:rsidR="00C6116D" w:rsidRPr="00F15AE5">
        <w:rPr>
          <w:color w:val="000000"/>
        </w:rPr>
        <w:t xml:space="preserve">to Tranmere Oil Terminal.  </w:t>
      </w:r>
      <w:r w:rsidR="005E2847" w:rsidRPr="00F15AE5">
        <w:rPr>
          <w:color w:val="000000"/>
        </w:rPr>
        <w:t>At that point, t</w:t>
      </w:r>
      <w:r w:rsidR="00C6116D" w:rsidRPr="00F15AE5">
        <w:rPr>
          <w:color w:val="000000"/>
        </w:rPr>
        <w:t xml:space="preserve">hroughput at White Oil Docks </w:t>
      </w:r>
      <w:r w:rsidR="005E2847" w:rsidRPr="00F15AE5">
        <w:rPr>
          <w:color w:val="000000"/>
        </w:rPr>
        <w:t xml:space="preserve">is </w:t>
      </w:r>
      <w:r w:rsidR="00C6116D" w:rsidRPr="00F15AE5">
        <w:rPr>
          <w:color w:val="000000"/>
        </w:rPr>
        <w:t>reduced to below 1 million</w:t>
      </w:r>
      <w:r w:rsidR="002733C3">
        <w:rPr>
          <w:color w:val="000000"/>
        </w:rPr>
        <w:t> </w:t>
      </w:r>
      <w:r w:rsidR="00C6116D" w:rsidRPr="00F15AE5">
        <w:rPr>
          <w:color w:val="000000"/>
        </w:rPr>
        <w:t>m</w:t>
      </w:r>
      <w:r w:rsidR="00C6116D" w:rsidRPr="002733C3">
        <w:rPr>
          <w:color w:val="000000"/>
          <w:vertAlign w:val="superscript"/>
        </w:rPr>
        <w:t>3</w:t>
      </w:r>
      <w:r w:rsidR="00C6116D" w:rsidRPr="00F15AE5">
        <w:rPr>
          <w:color w:val="000000"/>
        </w:rPr>
        <w:t xml:space="preserve">/y.  BAT 52 is no longer applicable at the White Oil Docks.  </w:t>
      </w:r>
      <w:r w:rsidR="00C6116D" w:rsidRPr="00F15AE5">
        <w:rPr>
          <w:b/>
          <w:bCs/>
          <w:color w:val="000000"/>
        </w:rPr>
        <w:t>Compliance by 31/10/2025</w:t>
      </w:r>
      <w:r w:rsidR="00C6116D" w:rsidRPr="00F15AE5">
        <w:rPr>
          <w:color w:val="000000"/>
        </w:rPr>
        <w:t>.</w:t>
      </w:r>
    </w:p>
    <w:p w14:paraId="0C55005A" w14:textId="1E8C1670" w:rsidR="006C1A17" w:rsidRPr="00F15AE5" w:rsidRDefault="006C1A17" w:rsidP="007C6E45">
      <w:pPr>
        <w:pStyle w:val="ListParagraph"/>
        <w:numPr>
          <w:ilvl w:val="0"/>
          <w:numId w:val="27"/>
        </w:numPr>
        <w:spacing w:before="120"/>
        <w:rPr>
          <w:color w:val="000000"/>
        </w:rPr>
      </w:pPr>
      <w:r w:rsidRPr="00F15AE5">
        <w:rPr>
          <w:b/>
          <w:bCs/>
          <w:color w:val="000000"/>
        </w:rPr>
        <w:lastRenderedPageBreak/>
        <w:t xml:space="preserve">Option </w:t>
      </w:r>
      <w:r w:rsidR="00284E80">
        <w:rPr>
          <w:b/>
          <w:bCs/>
          <w:color w:val="000000"/>
        </w:rPr>
        <w:t>2</w:t>
      </w:r>
      <w:r w:rsidRPr="00F15AE5">
        <w:rPr>
          <w:b/>
          <w:bCs/>
          <w:color w:val="000000"/>
        </w:rPr>
        <w:t xml:space="preserve"> - BAT-AEL</w:t>
      </w:r>
      <w:r w:rsidRPr="00F15AE5">
        <w:rPr>
          <w:color w:val="000000"/>
        </w:rPr>
        <w:t xml:space="preserve"> (</w:t>
      </w:r>
      <w:r w:rsidRPr="00F15AE5">
        <w:rPr>
          <w:b/>
          <w:bCs/>
          <w:color w:val="000000"/>
        </w:rPr>
        <w:t xml:space="preserve">limit loading/unloading) </w:t>
      </w:r>
      <w:r w:rsidRPr="00F15AE5">
        <w:rPr>
          <w:color w:val="000000"/>
        </w:rPr>
        <w:t>– loading/unloading is reduced at White Oil Docks to less than 1 million m</w:t>
      </w:r>
      <w:r w:rsidRPr="00F15AE5">
        <w:rPr>
          <w:color w:val="000000"/>
          <w:vertAlign w:val="superscript"/>
        </w:rPr>
        <w:t>3</w:t>
      </w:r>
      <w:r w:rsidRPr="00F15AE5">
        <w:rPr>
          <w:color w:val="000000"/>
        </w:rPr>
        <w:t xml:space="preserve">/y.  BAT 52 is no longer applicable at the White Oil Docks.  </w:t>
      </w:r>
      <w:r w:rsidRPr="00F15AE5">
        <w:rPr>
          <w:b/>
          <w:bCs/>
          <w:color w:val="000000"/>
        </w:rPr>
        <w:t>Immediate compliance.</w:t>
      </w:r>
    </w:p>
    <w:p w14:paraId="6700BCAD" w14:textId="3417794A" w:rsidR="001732D5" w:rsidRPr="00F15AE5" w:rsidRDefault="00F47D44" w:rsidP="007C6E45">
      <w:pPr>
        <w:pStyle w:val="ListParagraph"/>
        <w:numPr>
          <w:ilvl w:val="0"/>
          <w:numId w:val="27"/>
        </w:numPr>
        <w:spacing w:before="120"/>
        <w:rPr>
          <w:b/>
          <w:bCs/>
          <w:u w:val="single"/>
        </w:rPr>
      </w:pPr>
      <w:r w:rsidRPr="00F15AE5">
        <w:rPr>
          <w:b/>
          <w:bCs/>
          <w:color w:val="000000"/>
        </w:rPr>
        <w:t xml:space="preserve">Option </w:t>
      </w:r>
      <w:r w:rsidR="00284E80">
        <w:rPr>
          <w:b/>
          <w:bCs/>
          <w:color w:val="000000"/>
        </w:rPr>
        <w:t>3</w:t>
      </w:r>
      <w:r w:rsidRPr="00F15AE5">
        <w:rPr>
          <w:b/>
          <w:bCs/>
          <w:color w:val="000000"/>
        </w:rPr>
        <w:t xml:space="preserve"> - </w:t>
      </w:r>
      <w:r w:rsidR="001732D5" w:rsidRPr="00F15AE5">
        <w:rPr>
          <w:b/>
          <w:bCs/>
          <w:color w:val="000000"/>
        </w:rPr>
        <w:t>Install VRU at White Oil Docks</w:t>
      </w:r>
      <w:r w:rsidR="001732D5" w:rsidRPr="00F15AE5">
        <w:rPr>
          <w:color w:val="000000"/>
        </w:rPr>
        <w:t xml:space="preserve"> –</w:t>
      </w:r>
      <w:r w:rsidR="0001277C" w:rsidRPr="00F15AE5">
        <w:rPr>
          <w:color w:val="000000"/>
        </w:rPr>
        <w:t xml:space="preserve"> </w:t>
      </w:r>
      <w:r w:rsidR="001732D5" w:rsidRPr="00F15AE5">
        <w:rPr>
          <w:color w:val="000000"/>
        </w:rPr>
        <w:t xml:space="preserve">loading/unloading operations </w:t>
      </w:r>
      <w:r w:rsidR="0001277C" w:rsidRPr="00F15AE5">
        <w:rPr>
          <w:color w:val="000000"/>
        </w:rPr>
        <w:t xml:space="preserve">is continued </w:t>
      </w:r>
      <w:r w:rsidR="00705602" w:rsidRPr="00F15AE5">
        <w:rPr>
          <w:color w:val="000000"/>
        </w:rPr>
        <w:t xml:space="preserve">at current rates, </w:t>
      </w:r>
      <w:r w:rsidR="0001277C" w:rsidRPr="00F15AE5">
        <w:rPr>
          <w:color w:val="000000"/>
        </w:rPr>
        <w:t>unabated</w:t>
      </w:r>
      <w:r w:rsidR="00705602" w:rsidRPr="00F15AE5">
        <w:rPr>
          <w:color w:val="000000"/>
        </w:rPr>
        <w:t>,</w:t>
      </w:r>
      <w:r w:rsidR="0001277C" w:rsidRPr="00F15AE5">
        <w:rPr>
          <w:color w:val="000000"/>
        </w:rPr>
        <w:t xml:space="preserve"> </w:t>
      </w:r>
      <w:r w:rsidR="001732D5" w:rsidRPr="00F15AE5">
        <w:rPr>
          <w:color w:val="000000"/>
        </w:rPr>
        <w:t xml:space="preserve">at White Oil Docks until a VRU is installed.  The operator reports that the earliest that a </w:t>
      </w:r>
      <w:r w:rsidR="00705602" w:rsidRPr="00F15AE5">
        <w:rPr>
          <w:color w:val="000000"/>
        </w:rPr>
        <w:t xml:space="preserve">‘fast-tracked’ </w:t>
      </w:r>
      <w:r w:rsidR="001732D5" w:rsidRPr="00F15AE5">
        <w:rPr>
          <w:color w:val="000000"/>
        </w:rPr>
        <w:t>project to install a VRU at White Oil Docks could be completed is 31/10/</w:t>
      </w:r>
      <w:r w:rsidR="00836A07" w:rsidRPr="00F15AE5">
        <w:rPr>
          <w:color w:val="000000"/>
        </w:rPr>
        <w:t>20</w:t>
      </w:r>
      <w:r w:rsidR="001732D5" w:rsidRPr="00F15AE5">
        <w:rPr>
          <w:color w:val="000000"/>
        </w:rPr>
        <w:t xml:space="preserve">26. </w:t>
      </w:r>
      <w:r w:rsidR="001732D5" w:rsidRPr="00F15AE5">
        <w:rPr>
          <w:b/>
          <w:bCs/>
          <w:color w:val="000000"/>
        </w:rPr>
        <w:t>Compliance by 31/10/2026.</w:t>
      </w:r>
    </w:p>
    <w:p w14:paraId="646B3274" w14:textId="7704AB12" w:rsidR="00C6116D" w:rsidRPr="00F15AE5" w:rsidRDefault="00121B65" w:rsidP="007C6E45">
      <w:pPr>
        <w:pStyle w:val="ListParagraph"/>
        <w:numPr>
          <w:ilvl w:val="0"/>
          <w:numId w:val="27"/>
        </w:numPr>
        <w:spacing w:before="120"/>
        <w:rPr>
          <w:b/>
          <w:bCs/>
          <w:color w:val="000000"/>
        </w:rPr>
      </w:pPr>
      <w:r w:rsidRPr="00F15AE5">
        <w:rPr>
          <w:b/>
          <w:bCs/>
          <w:color w:val="000000"/>
        </w:rPr>
        <w:t xml:space="preserve">Option 4 - </w:t>
      </w:r>
      <w:r w:rsidR="00C6116D" w:rsidRPr="00F15AE5">
        <w:rPr>
          <w:b/>
          <w:bCs/>
          <w:color w:val="000000"/>
        </w:rPr>
        <w:t>Limit loading/unloading until transfer to Tranmere</w:t>
      </w:r>
      <w:r w:rsidR="00C6116D" w:rsidRPr="00F15AE5">
        <w:rPr>
          <w:color w:val="000000"/>
        </w:rPr>
        <w:t xml:space="preserve"> –</w:t>
      </w:r>
      <w:r w:rsidR="004E6EA2" w:rsidRPr="00F15AE5">
        <w:rPr>
          <w:color w:val="000000"/>
        </w:rPr>
        <w:t xml:space="preserve"> </w:t>
      </w:r>
      <w:r w:rsidR="00C6116D" w:rsidRPr="00F15AE5">
        <w:rPr>
          <w:color w:val="000000"/>
        </w:rPr>
        <w:t>loading/</w:t>
      </w:r>
      <w:r w:rsidR="00D46707" w:rsidRPr="00F15AE5">
        <w:rPr>
          <w:color w:val="000000"/>
        </w:rPr>
        <w:t xml:space="preserve"> </w:t>
      </w:r>
      <w:r w:rsidR="00C6116D" w:rsidRPr="00F15AE5">
        <w:rPr>
          <w:color w:val="000000"/>
        </w:rPr>
        <w:t xml:space="preserve">unloading </w:t>
      </w:r>
      <w:r w:rsidR="004E6EA2" w:rsidRPr="00F15AE5">
        <w:rPr>
          <w:color w:val="000000"/>
        </w:rPr>
        <w:t xml:space="preserve">is reduced </w:t>
      </w:r>
      <w:r w:rsidR="00D11007" w:rsidRPr="00F15AE5">
        <w:rPr>
          <w:color w:val="000000"/>
        </w:rPr>
        <w:t xml:space="preserve">at </w:t>
      </w:r>
      <w:r w:rsidR="00C6116D" w:rsidRPr="00F15AE5">
        <w:rPr>
          <w:color w:val="000000"/>
        </w:rPr>
        <w:t>White Oil Docks to less than 1</w:t>
      </w:r>
      <w:r w:rsidR="003F6D8E">
        <w:rPr>
          <w:color w:val="000000"/>
        </w:rPr>
        <w:t> </w:t>
      </w:r>
      <w:r w:rsidR="00C6116D" w:rsidRPr="00F15AE5">
        <w:rPr>
          <w:color w:val="000000"/>
        </w:rPr>
        <w:t>million</w:t>
      </w:r>
      <w:r w:rsidR="003F6D8E">
        <w:rPr>
          <w:color w:val="000000"/>
        </w:rPr>
        <w:t> </w:t>
      </w:r>
      <w:r w:rsidR="00C6116D" w:rsidRPr="00F15AE5">
        <w:rPr>
          <w:color w:val="000000"/>
        </w:rPr>
        <w:t>m</w:t>
      </w:r>
      <w:r w:rsidR="00C6116D" w:rsidRPr="00F45FB4">
        <w:rPr>
          <w:color w:val="000000"/>
          <w:vertAlign w:val="superscript"/>
        </w:rPr>
        <w:t>3</w:t>
      </w:r>
      <w:r w:rsidR="00C6116D" w:rsidRPr="00F15AE5">
        <w:rPr>
          <w:color w:val="000000"/>
        </w:rPr>
        <w:t xml:space="preserve">/y until the end of October 2025.  </w:t>
      </w:r>
      <w:r w:rsidR="008446AF" w:rsidRPr="00F15AE5">
        <w:rPr>
          <w:color w:val="000000"/>
        </w:rPr>
        <w:t xml:space="preserve">From November 2025, </w:t>
      </w:r>
      <w:proofErr w:type="gramStart"/>
      <w:r w:rsidR="008446AF" w:rsidRPr="00F15AE5">
        <w:rPr>
          <w:color w:val="000000"/>
        </w:rPr>
        <w:t>the majority of</w:t>
      </w:r>
      <w:proofErr w:type="gramEnd"/>
      <w:r w:rsidR="008446AF" w:rsidRPr="00F15AE5">
        <w:rPr>
          <w:color w:val="000000"/>
        </w:rPr>
        <w:t xml:space="preserve"> loading/unloading operations are transferred to Tranmere Oil Terminal.  At that point, throughput at White Oil Docks is reduced to below 1 million m</w:t>
      </w:r>
      <w:r w:rsidR="008446AF" w:rsidRPr="00F15AE5">
        <w:rPr>
          <w:color w:val="000000"/>
          <w:vertAlign w:val="superscript"/>
        </w:rPr>
        <w:t>3</w:t>
      </w:r>
      <w:r w:rsidR="008446AF" w:rsidRPr="00F15AE5">
        <w:rPr>
          <w:color w:val="000000"/>
        </w:rPr>
        <w:t xml:space="preserve">/y.  BAT 52 is no longer applicable at the White Oil Docks.  </w:t>
      </w:r>
      <w:r w:rsidR="00C6116D" w:rsidRPr="00F15AE5">
        <w:rPr>
          <w:b/>
          <w:bCs/>
          <w:color w:val="000000"/>
        </w:rPr>
        <w:t>Immediate compliance.</w:t>
      </w:r>
    </w:p>
    <w:p w14:paraId="174AD6D5" w14:textId="5D88FBF7" w:rsidR="004D5E0F" w:rsidRDefault="00733809" w:rsidP="007C6E45">
      <w:pPr>
        <w:spacing w:before="120"/>
        <w:rPr>
          <w:color w:val="000000"/>
        </w:rPr>
      </w:pPr>
      <w:r w:rsidRPr="00FA27C1">
        <w:rPr>
          <w:color w:val="000000"/>
        </w:rPr>
        <w:t xml:space="preserve">The operator provided a </w:t>
      </w:r>
      <w:r w:rsidR="00F45FB4">
        <w:rPr>
          <w:color w:val="000000"/>
        </w:rPr>
        <w:t>CBA</w:t>
      </w:r>
      <w:r w:rsidRPr="00FA27C1">
        <w:rPr>
          <w:color w:val="000000"/>
        </w:rPr>
        <w:t xml:space="preserve"> of the four options </w:t>
      </w:r>
      <w:r w:rsidR="004D5E0F" w:rsidRPr="00FA27C1">
        <w:rPr>
          <w:color w:val="000000"/>
        </w:rPr>
        <w:t>using the</w:t>
      </w:r>
      <w:r w:rsidR="00AA61D6">
        <w:rPr>
          <w:color w:val="000000"/>
        </w:rPr>
        <w:t xml:space="preserve"> Environment Agency’s CBA </w:t>
      </w:r>
      <w:r w:rsidR="004D5E0F" w:rsidRPr="00FA27C1">
        <w:rPr>
          <w:color w:val="000000"/>
        </w:rPr>
        <w:t xml:space="preserve">tool. </w:t>
      </w:r>
      <w:r w:rsidR="00AA61D6">
        <w:rPr>
          <w:color w:val="000000"/>
        </w:rPr>
        <w:t xml:space="preserve"> A</w:t>
      </w:r>
      <w:r w:rsidR="004D5E0F" w:rsidRPr="00FA27C1">
        <w:rPr>
          <w:color w:val="000000"/>
        </w:rPr>
        <w:t xml:space="preserve">s the </w:t>
      </w:r>
      <w:proofErr w:type="gramStart"/>
      <w:r w:rsidR="004D5E0F" w:rsidRPr="00FA27C1">
        <w:rPr>
          <w:color w:val="000000"/>
        </w:rPr>
        <w:t>time period</w:t>
      </w:r>
      <w:proofErr w:type="gramEnd"/>
      <w:r w:rsidR="004D5E0F" w:rsidRPr="00FA27C1">
        <w:rPr>
          <w:color w:val="000000"/>
        </w:rPr>
        <w:t>/duration of the derogation is the only change, assessment has been made for the renewed period of not complying with BAT-AELs.</w:t>
      </w:r>
    </w:p>
    <w:p w14:paraId="2D2078A8" w14:textId="77777777" w:rsidR="004D5E0F" w:rsidRDefault="004D5E0F" w:rsidP="007C6E45">
      <w:pPr>
        <w:spacing w:before="120"/>
        <w:rPr>
          <w:color w:val="000000"/>
        </w:rPr>
      </w:pPr>
      <w:r w:rsidRPr="00FA27C1">
        <w:rPr>
          <w:color w:val="000000"/>
        </w:rPr>
        <w:t>The operator referred to the BAT Reference Document for the Refining of Mineral Oil and Gas to derive appropriate cost data for the installation of a VRU and electricity usage.   The cost of capping imports and exports was determined by the operator’s economist.  Air pollutant emissions (tonnes/year NMVOCs) have been calculated based on current NMVOC emission rates from the White Oil Docks vent.</w:t>
      </w:r>
    </w:p>
    <w:p w14:paraId="6B5C13D6" w14:textId="0B6DC79B" w:rsidR="00585F1C" w:rsidRDefault="00585F1C" w:rsidP="007C6E45">
      <w:pPr>
        <w:spacing w:before="120"/>
        <w:rPr>
          <w:color w:val="000000"/>
        </w:rPr>
      </w:pPr>
      <w:r w:rsidRPr="00FA27C1">
        <w:rPr>
          <w:color w:val="000000"/>
        </w:rPr>
        <w:t xml:space="preserve">We audited the CBA submitted </w:t>
      </w:r>
      <w:r>
        <w:rPr>
          <w:color w:val="000000"/>
        </w:rPr>
        <w:t xml:space="preserve">with the variation application </w:t>
      </w:r>
      <w:r w:rsidRPr="00FA27C1">
        <w:rPr>
          <w:color w:val="000000"/>
        </w:rPr>
        <w:t>by the operator.  We are satisfied that the operator has assessed an adequate range of technically viable options to achieve compliance with BAT 52 and the BAT-AELs.</w:t>
      </w:r>
      <w:r>
        <w:rPr>
          <w:color w:val="000000"/>
        </w:rPr>
        <w:t xml:space="preserve">  </w:t>
      </w:r>
      <w:r w:rsidR="0000418C" w:rsidRPr="00643932">
        <w:rPr>
          <w:color w:val="000000"/>
        </w:rPr>
        <w:t xml:space="preserve">We are satisfied with the </w:t>
      </w:r>
      <w:r w:rsidR="0000418C">
        <w:rPr>
          <w:color w:val="000000"/>
        </w:rPr>
        <w:t>o</w:t>
      </w:r>
      <w:r w:rsidR="0000418C" w:rsidRPr="00643932">
        <w:rPr>
          <w:color w:val="000000"/>
        </w:rPr>
        <w:t xml:space="preserve">perator’s approach and justification for the data input for each of the options. </w:t>
      </w:r>
      <w:r w:rsidRPr="00FA27C1">
        <w:rPr>
          <w:color w:val="000000"/>
        </w:rPr>
        <w:t>We identified errors in the CBA</w:t>
      </w:r>
      <w:r w:rsidR="00927829">
        <w:rPr>
          <w:color w:val="000000"/>
        </w:rPr>
        <w:t>, including that the operator had used a</w:t>
      </w:r>
      <w:r w:rsidR="0032723D">
        <w:rPr>
          <w:color w:val="000000"/>
        </w:rPr>
        <w:t xml:space="preserve">n </w:t>
      </w:r>
      <w:r w:rsidR="003E0D0E">
        <w:rPr>
          <w:color w:val="000000"/>
        </w:rPr>
        <w:t>out-of-date</w:t>
      </w:r>
      <w:r w:rsidR="0032723D">
        <w:rPr>
          <w:color w:val="000000"/>
        </w:rPr>
        <w:t xml:space="preserve"> </w:t>
      </w:r>
      <w:r w:rsidR="00927829">
        <w:rPr>
          <w:color w:val="000000"/>
        </w:rPr>
        <w:t>version of the tool</w:t>
      </w:r>
      <w:r w:rsidR="006B0430">
        <w:rPr>
          <w:color w:val="000000"/>
        </w:rPr>
        <w:t xml:space="preserve"> (the current version </w:t>
      </w:r>
      <w:r w:rsidR="0017447F">
        <w:rPr>
          <w:color w:val="000000"/>
        </w:rPr>
        <w:t xml:space="preserve">v6.25 </w:t>
      </w:r>
      <w:r w:rsidR="006B0430">
        <w:rPr>
          <w:color w:val="000000"/>
        </w:rPr>
        <w:t>contains updated cost data</w:t>
      </w:r>
      <w:r w:rsidR="00BF1965">
        <w:rPr>
          <w:color w:val="000000"/>
        </w:rPr>
        <w:t>,</w:t>
      </w:r>
      <w:r w:rsidR="00BF1965" w:rsidRPr="00BF1965">
        <w:rPr>
          <w:color w:val="000000"/>
        </w:rPr>
        <w:t xml:space="preserve"> </w:t>
      </w:r>
      <w:r w:rsidR="00BF1965" w:rsidRPr="00EA3AF1">
        <w:rPr>
          <w:color w:val="000000"/>
        </w:rPr>
        <w:t>which is based on HM Treasury’s Green Book guidance</w:t>
      </w:r>
      <w:r w:rsidR="006B0430">
        <w:rPr>
          <w:color w:val="000000"/>
        </w:rPr>
        <w:t>)</w:t>
      </w:r>
      <w:r w:rsidR="00927829">
        <w:rPr>
          <w:color w:val="000000"/>
        </w:rPr>
        <w:t xml:space="preserve">.  The </w:t>
      </w:r>
      <w:r w:rsidRPr="00FA27C1">
        <w:rPr>
          <w:color w:val="000000"/>
        </w:rPr>
        <w:t xml:space="preserve">operator subsequently submitted a revised </w:t>
      </w:r>
      <w:r w:rsidR="006B0430">
        <w:rPr>
          <w:color w:val="000000"/>
        </w:rPr>
        <w:t xml:space="preserve">CBA </w:t>
      </w:r>
      <w:r w:rsidR="00927829">
        <w:rPr>
          <w:color w:val="000000"/>
        </w:rPr>
        <w:t xml:space="preserve">using </w:t>
      </w:r>
      <w:r w:rsidR="00556746">
        <w:rPr>
          <w:color w:val="000000"/>
        </w:rPr>
        <w:t xml:space="preserve">the current </w:t>
      </w:r>
      <w:r w:rsidR="006B0430">
        <w:rPr>
          <w:color w:val="000000"/>
        </w:rPr>
        <w:t>version</w:t>
      </w:r>
      <w:r w:rsidR="00556746">
        <w:rPr>
          <w:color w:val="000000"/>
        </w:rPr>
        <w:t xml:space="preserve"> </w:t>
      </w:r>
      <w:r w:rsidR="006B0430">
        <w:rPr>
          <w:color w:val="000000"/>
        </w:rPr>
        <w:t xml:space="preserve">of the tool </w:t>
      </w:r>
      <w:r w:rsidRPr="00FA27C1">
        <w:rPr>
          <w:color w:val="000000"/>
        </w:rPr>
        <w:t xml:space="preserve">on 21/01/2025.  </w:t>
      </w:r>
    </w:p>
    <w:p w14:paraId="177B15CD" w14:textId="2F89D58A" w:rsidR="0060302D" w:rsidRDefault="008D261A" w:rsidP="007C6E45">
      <w:pPr>
        <w:spacing w:before="120"/>
        <w:rPr>
          <w:color w:val="000000"/>
        </w:rPr>
      </w:pPr>
      <w:r>
        <w:rPr>
          <w:color w:val="000000"/>
        </w:rPr>
        <w:t>The</w:t>
      </w:r>
      <w:r w:rsidR="001377B6">
        <w:rPr>
          <w:color w:val="000000"/>
        </w:rPr>
        <w:t xml:space="preserve"> operator’s</w:t>
      </w:r>
      <w:r>
        <w:rPr>
          <w:color w:val="000000"/>
        </w:rPr>
        <w:t xml:space="preserve"> results are </w:t>
      </w:r>
      <w:r w:rsidR="00CA5DBF">
        <w:rPr>
          <w:color w:val="000000"/>
        </w:rPr>
        <w:t>presented</w:t>
      </w:r>
      <w:r>
        <w:rPr>
          <w:color w:val="000000"/>
        </w:rPr>
        <w:t xml:space="preserve"> in terms of NPV</w:t>
      </w:r>
      <w:r w:rsidR="00D758A0">
        <w:rPr>
          <w:color w:val="000000"/>
        </w:rPr>
        <w:t xml:space="preserve"> using central assumptions</w:t>
      </w:r>
      <w:r w:rsidR="00427A25">
        <w:rPr>
          <w:color w:val="000000"/>
        </w:rPr>
        <w:t>:</w:t>
      </w:r>
    </w:p>
    <w:tbl>
      <w:tblPr>
        <w:tblStyle w:val="TableGrid"/>
        <w:tblW w:w="8926" w:type="dxa"/>
        <w:tblInd w:w="0" w:type="dxa"/>
        <w:tblLook w:val="04A0" w:firstRow="1" w:lastRow="0" w:firstColumn="1" w:lastColumn="0" w:noHBand="0" w:noVBand="1"/>
      </w:tblPr>
      <w:tblGrid>
        <w:gridCol w:w="1696"/>
        <w:gridCol w:w="1560"/>
        <w:gridCol w:w="1559"/>
        <w:gridCol w:w="1701"/>
        <w:gridCol w:w="2410"/>
      </w:tblGrid>
      <w:tr w:rsidR="00482006" w:rsidRPr="0060302D" w14:paraId="01E221BD" w14:textId="77777777" w:rsidTr="00F005C4">
        <w:trPr>
          <w:trHeight w:val="681"/>
        </w:trPr>
        <w:tc>
          <w:tcPr>
            <w:tcW w:w="1696" w:type="dxa"/>
            <w:shd w:val="clear" w:color="auto" w:fill="auto"/>
            <w:vAlign w:val="center"/>
          </w:tcPr>
          <w:p w14:paraId="0880F5A7" w14:textId="77777777" w:rsidR="00482006" w:rsidRPr="0060302D" w:rsidRDefault="00482006" w:rsidP="007C6E45">
            <w:pPr>
              <w:spacing w:after="0"/>
              <w:rPr>
                <w:b/>
                <w:bCs/>
                <w:color w:val="auto"/>
              </w:rPr>
            </w:pPr>
          </w:p>
        </w:tc>
        <w:tc>
          <w:tcPr>
            <w:tcW w:w="1560" w:type="dxa"/>
            <w:shd w:val="clear" w:color="auto" w:fill="auto"/>
            <w:vAlign w:val="center"/>
          </w:tcPr>
          <w:p w14:paraId="40BD7282" w14:textId="77777777" w:rsidR="00482006" w:rsidRPr="0060302D" w:rsidRDefault="00482006" w:rsidP="007C6E45">
            <w:pPr>
              <w:spacing w:after="0"/>
              <w:rPr>
                <w:b/>
                <w:bCs/>
                <w:color w:val="auto"/>
              </w:rPr>
            </w:pPr>
            <w:r w:rsidRPr="0060302D">
              <w:rPr>
                <w:b/>
                <w:bCs/>
                <w:color w:val="auto"/>
              </w:rPr>
              <w:t>Proposed derogation</w:t>
            </w:r>
          </w:p>
        </w:tc>
        <w:tc>
          <w:tcPr>
            <w:tcW w:w="1559" w:type="dxa"/>
            <w:shd w:val="clear" w:color="auto" w:fill="auto"/>
            <w:vAlign w:val="center"/>
          </w:tcPr>
          <w:p w14:paraId="3EDEB447" w14:textId="77777777" w:rsidR="00482006" w:rsidRPr="0060302D" w:rsidRDefault="00482006" w:rsidP="007C6E45">
            <w:pPr>
              <w:spacing w:after="0"/>
              <w:rPr>
                <w:b/>
                <w:bCs/>
                <w:color w:val="auto"/>
              </w:rPr>
            </w:pPr>
            <w:r w:rsidRPr="0060302D">
              <w:rPr>
                <w:b/>
                <w:bCs/>
                <w:color w:val="auto"/>
              </w:rPr>
              <w:t>BAT-AEL</w:t>
            </w:r>
          </w:p>
        </w:tc>
        <w:tc>
          <w:tcPr>
            <w:tcW w:w="1701" w:type="dxa"/>
            <w:shd w:val="clear" w:color="auto" w:fill="auto"/>
            <w:vAlign w:val="center"/>
          </w:tcPr>
          <w:p w14:paraId="0D6930D4" w14:textId="23CA7A65" w:rsidR="00482006" w:rsidRPr="0060302D" w:rsidRDefault="00482006" w:rsidP="007C6E45">
            <w:pPr>
              <w:spacing w:after="0"/>
              <w:rPr>
                <w:b/>
                <w:bCs/>
                <w:color w:val="auto"/>
              </w:rPr>
            </w:pPr>
            <w:r w:rsidRPr="0060302D">
              <w:rPr>
                <w:b/>
                <w:bCs/>
                <w:color w:val="auto"/>
              </w:rPr>
              <w:t>Install VRU at White Oil Docks</w:t>
            </w:r>
          </w:p>
        </w:tc>
        <w:tc>
          <w:tcPr>
            <w:tcW w:w="2410" w:type="dxa"/>
            <w:shd w:val="clear" w:color="auto" w:fill="auto"/>
            <w:vAlign w:val="center"/>
          </w:tcPr>
          <w:p w14:paraId="00B6D37A" w14:textId="3286E537" w:rsidR="00482006" w:rsidRPr="0060302D" w:rsidRDefault="00482006" w:rsidP="007C6E45">
            <w:pPr>
              <w:spacing w:after="0"/>
              <w:rPr>
                <w:b/>
                <w:bCs/>
                <w:color w:val="auto"/>
              </w:rPr>
            </w:pPr>
            <w:r w:rsidRPr="0060302D">
              <w:rPr>
                <w:b/>
                <w:bCs/>
                <w:color w:val="auto"/>
              </w:rPr>
              <w:t>Limit loading/unloading until transfer to Tranmere</w:t>
            </w:r>
          </w:p>
        </w:tc>
      </w:tr>
      <w:tr w:rsidR="00482006" w:rsidRPr="0060302D" w14:paraId="185DFE5C" w14:textId="77777777" w:rsidTr="00F005C4">
        <w:trPr>
          <w:trHeight w:val="472"/>
        </w:trPr>
        <w:tc>
          <w:tcPr>
            <w:tcW w:w="1696" w:type="dxa"/>
            <w:tcBorders>
              <w:bottom w:val="single" w:sz="4" w:space="0" w:color="auto"/>
            </w:tcBorders>
            <w:shd w:val="clear" w:color="auto" w:fill="auto"/>
            <w:vAlign w:val="center"/>
          </w:tcPr>
          <w:p w14:paraId="2B74151A" w14:textId="08F5D03C" w:rsidR="00482006" w:rsidRPr="0060302D" w:rsidRDefault="00482006" w:rsidP="007C6E45">
            <w:pPr>
              <w:spacing w:after="0"/>
              <w:rPr>
                <w:color w:val="auto"/>
              </w:rPr>
            </w:pPr>
            <w:r>
              <w:rPr>
                <w:color w:val="auto"/>
              </w:rPr>
              <w:t>NPV - central (£ millions)</w:t>
            </w:r>
          </w:p>
        </w:tc>
        <w:tc>
          <w:tcPr>
            <w:tcW w:w="1560" w:type="dxa"/>
            <w:tcBorders>
              <w:bottom w:val="single" w:sz="4" w:space="0" w:color="auto"/>
            </w:tcBorders>
            <w:shd w:val="clear" w:color="auto" w:fill="auto"/>
            <w:vAlign w:val="center"/>
          </w:tcPr>
          <w:p w14:paraId="64C2F504" w14:textId="77777777" w:rsidR="00482006" w:rsidRPr="0060302D" w:rsidRDefault="00482006" w:rsidP="007C6E45">
            <w:pPr>
              <w:spacing w:after="0"/>
              <w:rPr>
                <w:color w:val="auto"/>
              </w:rPr>
            </w:pPr>
            <w:r w:rsidRPr="0060302D">
              <w:rPr>
                <w:color w:val="auto"/>
              </w:rPr>
              <w:t>0.00</w:t>
            </w:r>
          </w:p>
        </w:tc>
        <w:tc>
          <w:tcPr>
            <w:tcW w:w="1559" w:type="dxa"/>
            <w:tcBorders>
              <w:bottom w:val="single" w:sz="4" w:space="0" w:color="auto"/>
            </w:tcBorders>
            <w:shd w:val="clear" w:color="auto" w:fill="auto"/>
            <w:vAlign w:val="center"/>
          </w:tcPr>
          <w:p w14:paraId="263E7C29" w14:textId="77777777" w:rsidR="00482006" w:rsidRPr="0060302D" w:rsidRDefault="00482006" w:rsidP="007C6E45">
            <w:pPr>
              <w:spacing w:after="0"/>
              <w:rPr>
                <w:color w:val="auto"/>
              </w:rPr>
            </w:pPr>
            <w:r w:rsidRPr="0060302D">
              <w:rPr>
                <w:color w:val="auto"/>
              </w:rPr>
              <w:t>-55.62</w:t>
            </w:r>
          </w:p>
        </w:tc>
        <w:tc>
          <w:tcPr>
            <w:tcW w:w="1701" w:type="dxa"/>
            <w:tcBorders>
              <w:bottom w:val="single" w:sz="4" w:space="0" w:color="auto"/>
            </w:tcBorders>
            <w:shd w:val="clear" w:color="auto" w:fill="auto"/>
            <w:vAlign w:val="center"/>
          </w:tcPr>
          <w:p w14:paraId="4AB0E91A" w14:textId="7C14467E" w:rsidR="00482006" w:rsidRPr="0060302D" w:rsidRDefault="00482006" w:rsidP="007C6E45">
            <w:pPr>
              <w:spacing w:after="0"/>
              <w:rPr>
                <w:color w:val="auto"/>
              </w:rPr>
            </w:pPr>
            <w:r w:rsidRPr="0060302D">
              <w:rPr>
                <w:color w:val="auto"/>
              </w:rPr>
              <w:t>-3.78</w:t>
            </w:r>
          </w:p>
        </w:tc>
        <w:tc>
          <w:tcPr>
            <w:tcW w:w="2410" w:type="dxa"/>
            <w:tcBorders>
              <w:bottom w:val="single" w:sz="4" w:space="0" w:color="auto"/>
            </w:tcBorders>
            <w:shd w:val="clear" w:color="auto" w:fill="auto"/>
            <w:vAlign w:val="center"/>
          </w:tcPr>
          <w:p w14:paraId="462E0557" w14:textId="4FABF138" w:rsidR="00482006" w:rsidRPr="0060302D" w:rsidRDefault="00482006" w:rsidP="007C6E45">
            <w:pPr>
              <w:spacing w:after="0"/>
              <w:rPr>
                <w:color w:val="auto"/>
              </w:rPr>
            </w:pPr>
            <w:r w:rsidRPr="0060302D">
              <w:rPr>
                <w:color w:val="auto"/>
              </w:rPr>
              <w:t>-34.11</w:t>
            </w:r>
          </w:p>
        </w:tc>
      </w:tr>
    </w:tbl>
    <w:p w14:paraId="2384880B" w14:textId="0B53D30B" w:rsidR="004F231F" w:rsidRPr="00091276" w:rsidRDefault="00091276" w:rsidP="007C6E45">
      <w:pPr>
        <w:spacing w:before="120"/>
        <w:rPr>
          <w:color w:val="000000"/>
        </w:rPr>
      </w:pPr>
      <w:r>
        <w:rPr>
          <w:color w:val="000000"/>
        </w:rPr>
        <w:lastRenderedPageBreak/>
        <w:t xml:space="preserve">We are satisfied that the operator’s </w:t>
      </w:r>
      <w:r w:rsidRPr="009C137A">
        <w:rPr>
          <w:color w:val="000000"/>
        </w:rPr>
        <w:t>CBA</w:t>
      </w:r>
      <w:r w:rsidRPr="00302F03">
        <w:rPr>
          <w:color w:val="000000"/>
        </w:rPr>
        <w:t xml:space="preserve"> demonstrate</w:t>
      </w:r>
      <w:r>
        <w:rPr>
          <w:color w:val="000000"/>
        </w:rPr>
        <w:t>s</w:t>
      </w:r>
      <w:r w:rsidRPr="00302F03">
        <w:rPr>
          <w:color w:val="000000"/>
        </w:rPr>
        <w:t xml:space="preserve"> that the </w:t>
      </w:r>
      <w:r w:rsidRPr="00C92255">
        <w:rPr>
          <w:color w:val="000000"/>
        </w:rPr>
        <w:t>cost</w:t>
      </w:r>
      <w:r w:rsidR="001E4639">
        <w:rPr>
          <w:color w:val="000000"/>
        </w:rPr>
        <w:t>s</w:t>
      </w:r>
      <w:r w:rsidRPr="00C92255">
        <w:rPr>
          <w:color w:val="000000"/>
        </w:rPr>
        <w:t xml:space="preserve"> of </w:t>
      </w:r>
      <w:r>
        <w:rPr>
          <w:color w:val="000000"/>
        </w:rPr>
        <w:t xml:space="preserve">immediate </w:t>
      </w:r>
      <w:r w:rsidRPr="00C92255">
        <w:rPr>
          <w:color w:val="000000"/>
        </w:rPr>
        <w:t>compliance</w:t>
      </w:r>
      <w:r w:rsidR="001E4639">
        <w:rPr>
          <w:color w:val="000000"/>
        </w:rPr>
        <w:t xml:space="preserve"> (options </w:t>
      </w:r>
      <w:r w:rsidR="00DE1377">
        <w:rPr>
          <w:color w:val="000000"/>
        </w:rPr>
        <w:t>2</w:t>
      </w:r>
      <w:r w:rsidR="001E4639">
        <w:rPr>
          <w:color w:val="000000"/>
        </w:rPr>
        <w:t xml:space="preserve"> and 4)</w:t>
      </w:r>
      <w:r w:rsidRPr="00C92255">
        <w:rPr>
          <w:color w:val="000000"/>
        </w:rPr>
        <w:t xml:space="preserve"> </w:t>
      </w:r>
      <w:r w:rsidR="001E4639">
        <w:rPr>
          <w:color w:val="000000"/>
        </w:rPr>
        <w:t>outweigh</w:t>
      </w:r>
      <w:r w:rsidR="000F76A0" w:rsidRPr="00091276">
        <w:rPr>
          <w:color w:val="000000"/>
        </w:rPr>
        <w:t xml:space="preserve"> the monetised </w:t>
      </w:r>
      <w:r w:rsidR="00323E8A" w:rsidRPr="00091276">
        <w:rPr>
          <w:color w:val="000000"/>
        </w:rPr>
        <w:t xml:space="preserve">environmental </w:t>
      </w:r>
      <w:r w:rsidR="000F76A0" w:rsidRPr="00091276">
        <w:rPr>
          <w:color w:val="000000"/>
        </w:rPr>
        <w:t>benefits in comparison with the proposed derogation (i.e. NPV&lt;0)</w:t>
      </w:r>
      <w:r w:rsidR="004F231F" w:rsidRPr="00091276">
        <w:rPr>
          <w:color w:val="000000"/>
        </w:rPr>
        <w:t>:</w:t>
      </w:r>
    </w:p>
    <w:p w14:paraId="31697FA6" w14:textId="61A090EF" w:rsidR="00023CD1" w:rsidRPr="00F15AE5" w:rsidRDefault="004F231F" w:rsidP="007C6E45">
      <w:pPr>
        <w:pStyle w:val="ListParagraph"/>
        <w:numPr>
          <w:ilvl w:val="0"/>
          <w:numId w:val="28"/>
        </w:numPr>
        <w:spacing w:before="120"/>
        <w:rPr>
          <w:color w:val="000000"/>
        </w:rPr>
      </w:pPr>
      <w:r w:rsidRPr="00F15AE5">
        <w:rPr>
          <w:b/>
          <w:bCs/>
          <w:color w:val="000000"/>
        </w:rPr>
        <w:t xml:space="preserve">Option </w:t>
      </w:r>
      <w:r w:rsidR="00DE1377">
        <w:rPr>
          <w:b/>
          <w:bCs/>
          <w:color w:val="000000"/>
        </w:rPr>
        <w:t>2</w:t>
      </w:r>
      <w:r w:rsidRPr="00F15AE5">
        <w:rPr>
          <w:b/>
          <w:bCs/>
          <w:color w:val="000000"/>
        </w:rPr>
        <w:t xml:space="preserve"> - BAT-AEL</w:t>
      </w:r>
      <w:r w:rsidR="00C84867" w:rsidRPr="00F15AE5">
        <w:rPr>
          <w:b/>
          <w:bCs/>
          <w:color w:val="000000"/>
        </w:rPr>
        <w:t xml:space="preserve"> (limit loading/unloading)</w:t>
      </w:r>
      <w:r w:rsidRPr="00F15AE5">
        <w:rPr>
          <w:b/>
          <w:bCs/>
          <w:color w:val="000000"/>
        </w:rPr>
        <w:t>:</w:t>
      </w:r>
      <w:r w:rsidRPr="00F15AE5">
        <w:rPr>
          <w:color w:val="000000"/>
        </w:rPr>
        <w:t xml:space="preserve"> </w:t>
      </w:r>
      <w:bookmarkStart w:id="9" w:name="_Hlk193114651"/>
      <w:r w:rsidR="00860ABF" w:rsidRPr="00F15AE5">
        <w:rPr>
          <w:color w:val="000000"/>
        </w:rPr>
        <w:t xml:space="preserve">the CBA using central assumptions shows a negative NPV </w:t>
      </w:r>
      <w:r w:rsidR="00012B43" w:rsidRPr="00F15AE5">
        <w:rPr>
          <w:color w:val="000000"/>
        </w:rPr>
        <w:t>of</w:t>
      </w:r>
      <w:r w:rsidR="00860ABF" w:rsidRPr="00F15AE5">
        <w:rPr>
          <w:color w:val="000000"/>
        </w:rPr>
        <w:t xml:space="preserve"> £</w:t>
      </w:r>
      <w:r w:rsidR="00E72F2E" w:rsidRPr="00F15AE5">
        <w:rPr>
          <w:color w:val="000000"/>
        </w:rPr>
        <w:t>55.62</w:t>
      </w:r>
      <w:r w:rsidR="00860ABF" w:rsidRPr="00F15AE5">
        <w:rPr>
          <w:color w:val="000000"/>
        </w:rPr>
        <w:t xml:space="preserve"> million and therefore the cost of compliance is disproportionate compared to the environmental benefit achieved</w:t>
      </w:r>
      <w:r w:rsidR="001C6530" w:rsidRPr="00F15AE5">
        <w:rPr>
          <w:color w:val="000000"/>
        </w:rPr>
        <w:t>.</w:t>
      </w:r>
      <w:bookmarkEnd w:id="9"/>
    </w:p>
    <w:p w14:paraId="68AB4F6E" w14:textId="556F3E58" w:rsidR="004D5E0F" w:rsidRPr="00F15AE5" w:rsidRDefault="00023CD1" w:rsidP="007C6E45">
      <w:pPr>
        <w:pStyle w:val="ListParagraph"/>
        <w:numPr>
          <w:ilvl w:val="0"/>
          <w:numId w:val="28"/>
        </w:numPr>
        <w:spacing w:before="120"/>
        <w:rPr>
          <w:color w:val="000000"/>
        </w:rPr>
      </w:pPr>
      <w:r w:rsidRPr="00F15AE5">
        <w:rPr>
          <w:b/>
          <w:bCs/>
          <w:color w:val="000000"/>
        </w:rPr>
        <w:t>Option 4 - Limit loading/unloading until transfer to Tranmere</w:t>
      </w:r>
      <w:r w:rsidR="00012B43" w:rsidRPr="00F15AE5">
        <w:rPr>
          <w:color w:val="000000"/>
        </w:rPr>
        <w:t xml:space="preserve"> </w:t>
      </w:r>
      <w:r w:rsidRPr="00F15AE5">
        <w:rPr>
          <w:color w:val="000000"/>
        </w:rPr>
        <w:t xml:space="preserve">- </w:t>
      </w:r>
      <w:r w:rsidR="00012B43" w:rsidRPr="00F15AE5">
        <w:rPr>
          <w:color w:val="000000"/>
        </w:rPr>
        <w:t xml:space="preserve">the CBA using central assumptions shows a negative NPV </w:t>
      </w:r>
      <w:r w:rsidR="0005485B" w:rsidRPr="00F15AE5">
        <w:rPr>
          <w:color w:val="000000"/>
        </w:rPr>
        <w:t>of</w:t>
      </w:r>
      <w:r w:rsidR="00012B43" w:rsidRPr="00F15AE5">
        <w:rPr>
          <w:color w:val="000000"/>
        </w:rPr>
        <w:t xml:space="preserve"> £34.11 million and therefore the cost of compliance is disproportionate compared to the environmental benefit achieved.</w:t>
      </w:r>
    </w:p>
    <w:p w14:paraId="67E414C8" w14:textId="77777777" w:rsidR="006647A0" w:rsidRDefault="006647A0" w:rsidP="007C6E45">
      <w:pPr>
        <w:pStyle w:val="ListParagraph"/>
        <w:keepNext/>
        <w:numPr>
          <w:ilvl w:val="0"/>
          <w:numId w:val="0"/>
        </w:numPr>
        <w:spacing w:after="200" w:line="276" w:lineRule="auto"/>
        <w:contextualSpacing w:val="0"/>
        <w:rPr>
          <w:bCs/>
        </w:rPr>
      </w:pPr>
    </w:p>
    <w:p w14:paraId="78ADE17F" w14:textId="0FE88FDF" w:rsidR="00B02606" w:rsidRPr="00864280" w:rsidRDefault="00B02606" w:rsidP="007C6E45">
      <w:pPr>
        <w:pStyle w:val="ListParagraph"/>
        <w:keepNext/>
        <w:numPr>
          <w:ilvl w:val="0"/>
          <w:numId w:val="0"/>
        </w:numPr>
        <w:spacing w:after="200" w:line="276" w:lineRule="auto"/>
        <w:contextualSpacing w:val="0"/>
        <w:rPr>
          <w:u w:val="single"/>
        </w:rPr>
      </w:pPr>
      <w:r w:rsidRPr="006F1B48">
        <w:rPr>
          <w:bCs/>
        </w:rPr>
        <w:t>W</w:t>
      </w:r>
      <w:r w:rsidRPr="00B61AEA">
        <w:rPr>
          <w:bCs/>
        </w:rPr>
        <w:t xml:space="preserve">e </w:t>
      </w:r>
      <w:r>
        <w:rPr>
          <w:bCs/>
        </w:rPr>
        <w:t>are satisfied</w:t>
      </w:r>
      <w:r w:rsidRPr="00B61AEA">
        <w:rPr>
          <w:bCs/>
        </w:rPr>
        <w:t xml:space="preserve"> that </w:t>
      </w:r>
      <w:r w:rsidRPr="00B61AEA">
        <w:rPr>
          <w:bCs/>
          <w:color w:val="000000"/>
        </w:rPr>
        <w:t>the</w:t>
      </w:r>
      <w:r w:rsidRPr="003D28CA">
        <w:rPr>
          <w:color w:val="000000"/>
        </w:rPr>
        <w:t xml:space="preserve"> </w:t>
      </w:r>
      <w:r>
        <w:rPr>
          <w:color w:val="000000"/>
        </w:rPr>
        <w:t>o</w:t>
      </w:r>
      <w:r w:rsidRPr="003D28CA">
        <w:rPr>
          <w:color w:val="000000"/>
        </w:rPr>
        <w:t>perator has</w:t>
      </w:r>
      <w:r w:rsidRPr="003D28CA">
        <w:rPr>
          <w:color w:val="FF0000"/>
        </w:rPr>
        <w:t xml:space="preserve"> </w:t>
      </w:r>
      <w:r w:rsidRPr="003D28CA">
        <w:rPr>
          <w:color w:val="000000"/>
        </w:rPr>
        <w:t xml:space="preserve">provided a credible argument that the increased costs linked to the </w:t>
      </w:r>
      <w:r w:rsidRPr="0064743A">
        <w:t xml:space="preserve">technical characteristics </w:t>
      </w:r>
      <w:r>
        <w:t xml:space="preserve">of the White Oil Docks </w:t>
      </w:r>
      <w:r w:rsidRPr="0064743A">
        <w:t xml:space="preserve">are disproportionate for achieving </w:t>
      </w:r>
      <w:r>
        <w:t xml:space="preserve">immediate compliance with </w:t>
      </w:r>
      <w:r w:rsidRPr="0064743A">
        <w:t>the BAT</w:t>
      </w:r>
      <w:r>
        <w:t>-</w:t>
      </w:r>
      <w:r w:rsidRPr="0064743A">
        <w:t xml:space="preserve">AEL. </w:t>
      </w:r>
    </w:p>
    <w:p w14:paraId="2AC49681" w14:textId="52CDB637" w:rsidR="000D79F4" w:rsidRPr="00091276" w:rsidRDefault="000D79F4" w:rsidP="007C6E45">
      <w:pPr>
        <w:spacing w:before="120"/>
        <w:rPr>
          <w:color w:val="000000"/>
        </w:rPr>
      </w:pPr>
      <w:r w:rsidRPr="00091276">
        <w:rPr>
          <w:color w:val="000000"/>
        </w:rPr>
        <w:t>Whilst the CBA using central assumptions also shows a negative NPV for Option</w:t>
      </w:r>
      <w:r w:rsidR="00532B8B">
        <w:rPr>
          <w:color w:val="000000"/>
        </w:rPr>
        <w:t> </w:t>
      </w:r>
      <w:r w:rsidR="00546B1B">
        <w:rPr>
          <w:color w:val="000000"/>
        </w:rPr>
        <w:t>3</w:t>
      </w:r>
      <w:r w:rsidRPr="00091276">
        <w:rPr>
          <w:color w:val="000000"/>
        </w:rPr>
        <w:t xml:space="preserve"> ‘Install VRU at White Oil Docks’, the figures are less significant than for the other options considered (£3.78 million).  This could suggest that this is also a potentially viable option, as an alternative to the proposed derogation.  However, this option will not achieve compliance until 31/10/2026 at the earliest, one year after the requested derogation date.  </w:t>
      </w:r>
    </w:p>
    <w:p w14:paraId="52CE8D15" w14:textId="42FADC2B" w:rsidR="000D79F4" w:rsidRDefault="000D79F4" w:rsidP="007C6E45">
      <w:pPr>
        <w:spacing w:before="120"/>
        <w:rPr>
          <w:color w:val="000000"/>
        </w:rPr>
      </w:pPr>
      <w:r w:rsidRPr="00091276">
        <w:rPr>
          <w:color w:val="000000"/>
        </w:rPr>
        <w:t xml:space="preserve">In addition, the proposed derogation option is well progressed and approaching completion, as demonstrated by the progress reports submitted under improvement conditions IC54 to IC57 and the duly made application to vary the Tranmere Oil Terminal permit.  A complete change in compliance strategy at this stage, involving the installation of a VRU at White Oil Docks, would introduce new uncertainties in project delivery, potentially impacting on delivery even beyond the operator’s ‘fast tracked’ estimated compliance date of 31/10/2026.  </w:t>
      </w:r>
      <w:r w:rsidR="009D53A7">
        <w:rPr>
          <w:color w:val="000000"/>
        </w:rPr>
        <w:t xml:space="preserve">For example, </w:t>
      </w:r>
      <w:r w:rsidR="009D53A7" w:rsidRPr="009D53A7">
        <w:rPr>
          <w:color w:val="000000"/>
        </w:rPr>
        <w:t xml:space="preserve">this compliance date stated by the operator does not </w:t>
      </w:r>
      <w:r w:rsidR="006B3D02">
        <w:rPr>
          <w:color w:val="000000"/>
        </w:rPr>
        <w:t xml:space="preserve">consider </w:t>
      </w:r>
      <w:r w:rsidR="009D53A7" w:rsidRPr="009D53A7">
        <w:rPr>
          <w:color w:val="000000"/>
        </w:rPr>
        <w:t xml:space="preserve">the time </w:t>
      </w:r>
      <w:r w:rsidR="009D53A7">
        <w:rPr>
          <w:color w:val="000000"/>
        </w:rPr>
        <w:t xml:space="preserve">it would take for the Environment Agency to </w:t>
      </w:r>
      <w:r w:rsidR="009D53A7" w:rsidRPr="009D53A7">
        <w:rPr>
          <w:color w:val="000000"/>
        </w:rPr>
        <w:t xml:space="preserve">determine </w:t>
      </w:r>
      <w:r w:rsidR="009D53A7">
        <w:rPr>
          <w:color w:val="000000"/>
        </w:rPr>
        <w:t xml:space="preserve">a permit variation to </w:t>
      </w:r>
      <w:r w:rsidR="002D0110">
        <w:rPr>
          <w:color w:val="000000"/>
        </w:rPr>
        <w:t>install a VRU at White Oil Docks</w:t>
      </w:r>
      <w:r w:rsidR="001B466F">
        <w:rPr>
          <w:color w:val="000000"/>
        </w:rPr>
        <w:t>, which would likely add months to the timeline.</w:t>
      </w:r>
    </w:p>
    <w:p w14:paraId="3AF33AEB" w14:textId="1C6063B1" w:rsidR="00051964" w:rsidRPr="00091276" w:rsidRDefault="00051964" w:rsidP="007C6E45">
      <w:pPr>
        <w:spacing w:before="120"/>
        <w:rPr>
          <w:color w:val="000000"/>
        </w:rPr>
      </w:pPr>
      <w:r>
        <w:rPr>
          <w:color w:val="000000"/>
        </w:rPr>
        <w:t xml:space="preserve">We are satisfied that the </w:t>
      </w:r>
      <w:r w:rsidR="00B103A8">
        <w:rPr>
          <w:color w:val="000000"/>
        </w:rPr>
        <w:t xml:space="preserve">operator has justified that the </w:t>
      </w:r>
      <w:r>
        <w:rPr>
          <w:color w:val="000000"/>
        </w:rPr>
        <w:t>proposed derogation scenario (</w:t>
      </w:r>
      <w:r w:rsidR="00B103A8">
        <w:rPr>
          <w:color w:val="000000"/>
        </w:rPr>
        <w:t>O</w:t>
      </w:r>
      <w:r>
        <w:rPr>
          <w:color w:val="000000"/>
        </w:rPr>
        <w:t xml:space="preserve">ption 1) will achieve </w:t>
      </w:r>
      <w:r w:rsidR="00282A03">
        <w:rPr>
          <w:color w:val="000000"/>
        </w:rPr>
        <w:t xml:space="preserve">compliance with BAT 52 </w:t>
      </w:r>
      <w:r w:rsidR="009F34D4">
        <w:rPr>
          <w:color w:val="000000"/>
        </w:rPr>
        <w:t xml:space="preserve">earlier than </w:t>
      </w:r>
      <w:r w:rsidR="007574D5">
        <w:rPr>
          <w:color w:val="000000"/>
        </w:rPr>
        <w:t>O</w:t>
      </w:r>
      <w:r w:rsidR="009F34D4">
        <w:rPr>
          <w:color w:val="000000"/>
        </w:rPr>
        <w:t xml:space="preserve">ption </w:t>
      </w:r>
      <w:r w:rsidR="00546B1B">
        <w:rPr>
          <w:color w:val="000000"/>
        </w:rPr>
        <w:t>3</w:t>
      </w:r>
      <w:r w:rsidR="007574D5" w:rsidRPr="007574D5">
        <w:t xml:space="preserve"> </w:t>
      </w:r>
      <w:r w:rsidR="007574D5">
        <w:t xml:space="preserve">- </w:t>
      </w:r>
      <w:r w:rsidR="007574D5" w:rsidRPr="007574D5">
        <w:rPr>
          <w:color w:val="000000"/>
        </w:rPr>
        <w:t>Install VRU at White Oil Docks</w:t>
      </w:r>
      <w:r w:rsidR="007574D5">
        <w:rPr>
          <w:color w:val="000000"/>
        </w:rPr>
        <w:t>.</w:t>
      </w:r>
    </w:p>
    <w:p w14:paraId="3639DD56" w14:textId="77777777" w:rsidR="00F53CEF" w:rsidRDefault="00F53CEF" w:rsidP="007C6E45">
      <w:pPr>
        <w:pStyle w:val="Heading1"/>
        <w:keepLines w:val="0"/>
        <w:spacing w:after="60" w:line="240" w:lineRule="auto"/>
        <w:rPr>
          <w:rFonts w:eastAsia="Times New Roman" w:cs="Arial"/>
          <w:color w:val="auto"/>
          <w:kern w:val="28"/>
          <w:sz w:val="32"/>
          <w:lang w:eastAsia="en-GB"/>
        </w:rPr>
      </w:pPr>
      <w:bookmarkStart w:id="10" w:name="_Ref97045156"/>
      <w:bookmarkStart w:id="11" w:name="_Toc103241372"/>
    </w:p>
    <w:p w14:paraId="624FC24F" w14:textId="4F1365EC" w:rsidR="00031CB0" w:rsidRPr="00E217D5" w:rsidRDefault="00031CB0" w:rsidP="007C6E45">
      <w:pPr>
        <w:pStyle w:val="Heading1"/>
        <w:keepLines w:val="0"/>
        <w:spacing w:after="60" w:line="240" w:lineRule="auto"/>
        <w:rPr>
          <w:rFonts w:eastAsia="Times New Roman" w:cs="Arial"/>
          <w:color w:val="auto"/>
          <w:kern w:val="28"/>
          <w:sz w:val="32"/>
          <w:lang w:eastAsia="en-GB"/>
        </w:rPr>
      </w:pPr>
      <w:r w:rsidRPr="00E217D5">
        <w:rPr>
          <w:rFonts w:eastAsia="Times New Roman" w:cs="Arial"/>
          <w:color w:val="auto"/>
          <w:kern w:val="28"/>
          <w:sz w:val="32"/>
          <w:lang w:eastAsia="en-GB"/>
        </w:rPr>
        <w:t>Permit Conditions</w:t>
      </w:r>
      <w:bookmarkEnd w:id="10"/>
      <w:bookmarkEnd w:id="11"/>
    </w:p>
    <w:p w14:paraId="57E377EB" w14:textId="77777777" w:rsidR="00DB454A" w:rsidRDefault="00031CB0" w:rsidP="007C6E45">
      <w:pPr>
        <w:keepNext/>
        <w:spacing w:after="200" w:line="276" w:lineRule="auto"/>
      </w:pPr>
      <w:r w:rsidRPr="00CB0CA6">
        <w:t xml:space="preserve">Given that this is a </w:t>
      </w:r>
      <w:r w:rsidR="00DE138C">
        <w:t>third</w:t>
      </w:r>
      <w:r w:rsidRPr="00CB0CA6">
        <w:t xml:space="preserve"> derogation we</w:t>
      </w:r>
      <w:r>
        <w:t xml:space="preserve"> have</w:t>
      </w:r>
      <w:r w:rsidRPr="00CB0CA6">
        <w:t xml:space="preserve"> impose</w:t>
      </w:r>
      <w:r>
        <w:t>d</w:t>
      </w:r>
      <w:r w:rsidRPr="00CB0CA6">
        <w:t xml:space="preserve"> </w:t>
      </w:r>
      <w:r w:rsidR="00FD2D4F">
        <w:t>improvement</w:t>
      </w:r>
      <w:r w:rsidRPr="00CB0CA6">
        <w:t xml:space="preserve"> conditions </w:t>
      </w:r>
      <w:r w:rsidR="00FD2D4F">
        <w:t xml:space="preserve">that </w:t>
      </w:r>
      <w:r w:rsidRPr="00CB0CA6">
        <w:t xml:space="preserve">restrict operations </w:t>
      </w:r>
      <w:r w:rsidR="00FD2D4F">
        <w:t xml:space="preserve">at </w:t>
      </w:r>
      <w:r w:rsidRPr="00CB0CA6">
        <w:t xml:space="preserve">the White Oil Docks </w:t>
      </w:r>
      <w:proofErr w:type="gramStart"/>
      <w:r w:rsidRPr="00CB0CA6">
        <w:t xml:space="preserve">in the </w:t>
      </w:r>
      <w:r w:rsidR="00FD2D4F">
        <w:t xml:space="preserve">event </w:t>
      </w:r>
      <w:r>
        <w:t>that</w:t>
      </w:r>
      <w:proofErr w:type="gramEnd"/>
      <w:r>
        <w:t xml:space="preserve"> </w:t>
      </w:r>
      <w:r w:rsidRPr="00CB0CA6">
        <w:t xml:space="preserve">the </w:t>
      </w:r>
      <w:r w:rsidR="00DE138C">
        <w:t>o</w:t>
      </w:r>
      <w:r w:rsidRPr="00CB0CA6">
        <w:t xml:space="preserve">perator fails to provide evidence of sufficient progress </w:t>
      </w:r>
      <w:r>
        <w:t xml:space="preserve">towards meeting the </w:t>
      </w:r>
      <w:r w:rsidR="00DE138C">
        <w:t>October 2025</w:t>
      </w:r>
      <w:r>
        <w:t xml:space="preserve"> </w:t>
      </w:r>
      <w:r w:rsidR="008D1368">
        <w:lastRenderedPageBreak/>
        <w:t xml:space="preserve">deadline </w:t>
      </w:r>
      <w:r>
        <w:t>for reducing throughput at White Oil Docks on which their application is predicated</w:t>
      </w:r>
      <w:r w:rsidRPr="00CB0CA6">
        <w:t xml:space="preserve">. </w:t>
      </w:r>
    </w:p>
    <w:p w14:paraId="483B5B91" w14:textId="1A9FD0A6" w:rsidR="006571F7" w:rsidRDefault="00537001" w:rsidP="006D6045">
      <w:pPr>
        <w:keepNext/>
        <w:rPr>
          <w:kern w:val="28"/>
          <w:sz w:val="20"/>
        </w:rPr>
      </w:pPr>
      <w:r w:rsidRPr="00537001">
        <w:t xml:space="preserve">The operator must report progress on the delivery of the Mogas Export Project </w:t>
      </w:r>
      <w:r w:rsidR="006649D0">
        <w:t xml:space="preserve">within </w:t>
      </w:r>
      <w:r w:rsidRPr="00537001">
        <w:t xml:space="preserve">two months </w:t>
      </w:r>
      <w:r w:rsidR="006649D0">
        <w:t xml:space="preserve">of </w:t>
      </w:r>
      <w:r w:rsidRPr="00537001">
        <w:t>permit issue</w:t>
      </w:r>
      <w:r w:rsidR="00FD435A">
        <w:t>,</w:t>
      </w:r>
      <w:r w:rsidR="00FD435A" w:rsidRPr="00FD435A">
        <w:t xml:space="preserve"> </w:t>
      </w:r>
      <w:r w:rsidR="00FD435A" w:rsidRPr="006E1324">
        <w:t>in response to improvement condition IC66</w:t>
      </w:r>
      <w:r w:rsidR="00FD435A">
        <w:t>,</w:t>
      </w:r>
      <w:r w:rsidR="00FD435A" w:rsidRPr="006E1324">
        <w:t xml:space="preserve"> and </w:t>
      </w:r>
      <w:r w:rsidR="006649D0">
        <w:t xml:space="preserve">must </w:t>
      </w:r>
      <w:r w:rsidR="005B5B6F">
        <w:t>obtain</w:t>
      </w:r>
      <w:r w:rsidR="00FD435A" w:rsidRPr="006E1324">
        <w:t xml:space="preserve"> written</w:t>
      </w:r>
      <w:r w:rsidRPr="00537001">
        <w:t xml:space="preserve"> approval from the Environment Agency to operate above the throughput applicability threshold of BAT 52 in the following period up to the time-limited derogation date of 31/10/2025 (throughput pro-rated as 164,384 m</w:t>
      </w:r>
      <w:r w:rsidRPr="00537001">
        <w:rPr>
          <w:vertAlign w:val="superscript"/>
        </w:rPr>
        <w:t>3</w:t>
      </w:r>
      <w:r w:rsidRPr="00537001">
        <w:t xml:space="preserve"> for the period 02/09/2025 to 31/10/2025). </w:t>
      </w:r>
      <w:r w:rsidR="00A02DC9">
        <w:t>S</w:t>
      </w:r>
      <w:r w:rsidR="00031CB0" w:rsidRPr="00CB0CA6">
        <w:t>hould the Environment Agency not be satisfied with the progress reported by the operator, the limits of the activity</w:t>
      </w:r>
      <w:r w:rsidR="00031CB0">
        <w:t xml:space="preserve"> specified in </w:t>
      </w:r>
      <w:r w:rsidR="00A02DC9">
        <w:t xml:space="preserve">Table S1.1 of </w:t>
      </w:r>
      <w:r w:rsidR="00031CB0">
        <w:t>the permit</w:t>
      </w:r>
      <w:r w:rsidR="00031CB0" w:rsidRPr="00CB0CA6">
        <w:t xml:space="preserve"> will restrict operations </w:t>
      </w:r>
      <w:r w:rsidR="00C90EF4">
        <w:t xml:space="preserve">during that period </w:t>
      </w:r>
      <w:r w:rsidR="00031CB0" w:rsidRPr="00CB0CA6">
        <w:t xml:space="preserve">to a loading/unloading throughput of </w:t>
      </w:r>
      <w:r w:rsidR="00C90EF4" w:rsidRPr="00537001">
        <w:t>164,384</w:t>
      </w:r>
      <w:r w:rsidR="00C90EF4">
        <w:t xml:space="preserve"> </w:t>
      </w:r>
      <w:r w:rsidR="00031CB0" w:rsidRPr="00CB0CA6">
        <w:t>m</w:t>
      </w:r>
      <w:r w:rsidR="00031CB0" w:rsidRPr="00B61AEA">
        <w:rPr>
          <w:vertAlign w:val="superscript"/>
        </w:rPr>
        <w:t>3</w:t>
      </w:r>
      <w:r w:rsidR="006D6045">
        <w:t>.</w:t>
      </w:r>
      <w:r w:rsidR="00013F26">
        <w:t xml:space="preserve">  </w:t>
      </w:r>
      <w:r w:rsidR="00BF6188" w:rsidRPr="00BF6188">
        <w:t xml:space="preserve">From 01/11/2025 the loading/unloading throughput </w:t>
      </w:r>
      <w:r w:rsidR="007C555D">
        <w:t xml:space="preserve">is </w:t>
      </w:r>
      <w:r w:rsidR="00BF6188" w:rsidRPr="00BF6188">
        <w:t>limited to &lt;1 million m</w:t>
      </w:r>
      <w:r w:rsidR="00BF6188" w:rsidRPr="009E0D89">
        <w:rPr>
          <w:vertAlign w:val="superscript"/>
        </w:rPr>
        <w:t>3</w:t>
      </w:r>
      <w:r w:rsidR="00BF6188" w:rsidRPr="00BF6188">
        <w:t>/annum.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CellMar>
          <w:top w:w="85" w:type="dxa"/>
          <w:bottom w:w="85" w:type="dxa"/>
        </w:tblCellMar>
        <w:tblLook w:val="0000" w:firstRow="0" w:lastRow="0" w:firstColumn="0" w:lastColumn="0" w:noHBand="0" w:noVBand="0"/>
      </w:tblPr>
      <w:tblGrid>
        <w:gridCol w:w="1377"/>
        <w:gridCol w:w="5256"/>
        <w:gridCol w:w="2004"/>
      </w:tblGrid>
      <w:tr w:rsidR="006571F7" w:rsidRPr="00B11028" w14:paraId="060D3528" w14:textId="77777777" w:rsidTr="00D860E1">
        <w:trPr>
          <w:cantSplit/>
          <w:tblHeader/>
        </w:trPr>
        <w:tc>
          <w:tcPr>
            <w:tcW w:w="8637" w:type="dxa"/>
            <w:gridSpan w:val="3"/>
            <w:shd w:val="clear" w:color="auto" w:fill="auto"/>
          </w:tcPr>
          <w:p w14:paraId="2834A0E5" w14:textId="77777777" w:rsidR="006571F7" w:rsidRPr="00B11028" w:rsidRDefault="006571F7" w:rsidP="007C6E45">
            <w:pPr>
              <w:rPr>
                <w:b/>
                <w:bCs/>
                <w:color w:val="000000"/>
              </w:rPr>
            </w:pPr>
            <w:r w:rsidRPr="00B11028">
              <w:rPr>
                <w:b/>
                <w:bCs/>
                <w:color w:val="000000"/>
              </w:rPr>
              <w:t>Table S1.3 Improvement programme requirements</w:t>
            </w:r>
          </w:p>
        </w:tc>
      </w:tr>
      <w:tr w:rsidR="006571F7" w:rsidRPr="00B11028" w14:paraId="7FE9207B" w14:textId="77777777" w:rsidTr="00A72C36">
        <w:trPr>
          <w:cantSplit/>
          <w:tblHeader/>
        </w:trPr>
        <w:tc>
          <w:tcPr>
            <w:tcW w:w="1377" w:type="dxa"/>
            <w:shd w:val="clear" w:color="auto" w:fill="auto"/>
          </w:tcPr>
          <w:p w14:paraId="43BCE957" w14:textId="77777777" w:rsidR="006571F7" w:rsidRPr="00B11028" w:rsidRDefault="006571F7" w:rsidP="007C6E45">
            <w:pPr>
              <w:rPr>
                <w:b/>
                <w:color w:val="000000"/>
              </w:rPr>
            </w:pPr>
            <w:r w:rsidRPr="00B11028">
              <w:rPr>
                <w:b/>
                <w:color w:val="000000"/>
              </w:rPr>
              <w:t xml:space="preserve">Reference </w:t>
            </w:r>
          </w:p>
        </w:tc>
        <w:tc>
          <w:tcPr>
            <w:tcW w:w="5256" w:type="dxa"/>
            <w:shd w:val="clear" w:color="auto" w:fill="auto"/>
          </w:tcPr>
          <w:p w14:paraId="41509615" w14:textId="77777777" w:rsidR="006571F7" w:rsidRPr="00B11028" w:rsidRDefault="006571F7" w:rsidP="007C6E45">
            <w:pPr>
              <w:rPr>
                <w:b/>
                <w:color w:val="000000"/>
              </w:rPr>
            </w:pPr>
            <w:r w:rsidRPr="00B11028">
              <w:rPr>
                <w:b/>
                <w:color w:val="000000"/>
              </w:rPr>
              <w:t>Requirement</w:t>
            </w:r>
          </w:p>
        </w:tc>
        <w:tc>
          <w:tcPr>
            <w:tcW w:w="2004" w:type="dxa"/>
            <w:shd w:val="clear" w:color="auto" w:fill="auto"/>
          </w:tcPr>
          <w:p w14:paraId="4B9A778C" w14:textId="77777777" w:rsidR="006571F7" w:rsidRPr="00B11028" w:rsidRDefault="006571F7" w:rsidP="007C6E45">
            <w:pPr>
              <w:rPr>
                <w:b/>
                <w:color w:val="000000"/>
              </w:rPr>
            </w:pPr>
            <w:r w:rsidRPr="00B11028">
              <w:rPr>
                <w:b/>
                <w:color w:val="000000"/>
              </w:rPr>
              <w:t>Date</w:t>
            </w:r>
          </w:p>
        </w:tc>
      </w:tr>
      <w:tr w:rsidR="006571F7" w:rsidRPr="00B11028" w14:paraId="6E641D2A" w14:textId="77777777" w:rsidTr="00A72C36">
        <w:trPr>
          <w:cantSplit/>
        </w:trPr>
        <w:tc>
          <w:tcPr>
            <w:tcW w:w="1377" w:type="dxa"/>
            <w:shd w:val="clear" w:color="auto" w:fill="auto"/>
          </w:tcPr>
          <w:p w14:paraId="2D8FFABB" w14:textId="35DF9309" w:rsidR="006571F7" w:rsidRPr="00B11028" w:rsidRDefault="006571F7" w:rsidP="007C6E45">
            <w:pPr>
              <w:rPr>
                <w:snapToGrid w:val="0"/>
                <w:color w:val="000000"/>
              </w:rPr>
            </w:pPr>
            <w:r w:rsidRPr="00B11028">
              <w:rPr>
                <w:snapToGrid w:val="0"/>
                <w:color w:val="000000"/>
              </w:rPr>
              <w:t>IC</w:t>
            </w:r>
            <w:r w:rsidR="00BC6145">
              <w:rPr>
                <w:snapToGrid w:val="0"/>
                <w:color w:val="000000"/>
              </w:rPr>
              <w:t>66</w:t>
            </w:r>
          </w:p>
        </w:tc>
        <w:tc>
          <w:tcPr>
            <w:tcW w:w="5256" w:type="dxa"/>
            <w:shd w:val="clear" w:color="auto" w:fill="auto"/>
          </w:tcPr>
          <w:p w14:paraId="0792AF14" w14:textId="7C826927" w:rsidR="006571F7" w:rsidRPr="00B11028" w:rsidRDefault="006571F7" w:rsidP="007C6E45">
            <w:pPr>
              <w:pStyle w:val="CommentText"/>
              <w:rPr>
                <w:color w:val="000000"/>
                <w:sz w:val="24"/>
                <w:szCs w:val="24"/>
                <w:u w:val="single"/>
              </w:rPr>
            </w:pPr>
            <w:r w:rsidRPr="00B11028">
              <w:rPr>
                <w:color w:val="000000"/>
                <w:sz w:val="24"/>
                <w:szCs w:val="24"/>
                <w:u w:val="single"/>
              </w:rPr>
              <w:t>BAT Conclusion 5</w:t>
            </w:r>
            <w:r w:rsidR="00BC6145">
              <w:rPr>
                <w:color w:val="000000"/>
                <w:sz w:val="24"/>
                <w:szCs w:val="24"/>
                <w:u w:val="single"/>
              </w:rPr>
              <w:t>2</w:t>
            </w:r>
          </w:p>
          <w:p w14:paraId="21534F42" w14:textId="73CA287E" w:rsidR="006571F7" w:rsidRPr="00B11028" w:rsidRDefault="006571F7" w:rsidP="007C6E45">
            <w:pPr>
              <w:spacing w:after="60"/>
              <w:rPr>
                <w:color w:val="000000"/>
                <w:u w:val="single"/>
              </w:rPr>
            </w:pPr>
            <w:r w:rsidRPr="00B11028">
              <w:rPr>
                <w:color w:val="000000"/>
              </w:rPr>
              <w:t xml:space="preserve">The Operator shall submit a report setting out the progress made in delivering the Mogas </w:t>
            </w:r>
            <w:r w:rsidR="00CC438F" w:rsidRPr="00B11028">
              <w:rPr>
                <w:color w:val="000000"/>
              </w:rPr>
              <w:t>E</w:t>
            </w:r>
            <w:r w:rsidRPr="00B11028">
              <w:rPr>
                <w:color w:val="000000"/>
              </w:rPr>
              <w:t xml:space="preserve">xport </w:t>
            </w:r>
            <w:r w:rsidR="00CC438F" w:rsidRPr="00B11028">
              <w:rPr>
                <w:color w:val="000000"/>
              </w:rPr>
              <w:t>P</w:t>
            </w:r>
            <w:r w:rsidRPr="00B11028">
              <w:rPr>
                <w:color w:val="000000"/>
              </w:rPr>
              <w:t>roject relied upon to achieve compliance with BAT 52, for approval by the Environment Agency.</w:t>
            </w:r>
          </w:p>
        </w:tc>
        <w:tc>
          <w:tcPr>
            <w:tcW w:w="2004" w:type="dxa"/>
            <w:shd w:val="clear" w:color="auto" w:fill="auto"/>
          </w:tcPr>
          <w:p w14:paraId="14146B46" w14:textId="77902D56" w:rsidR="006571F7" w:rsidRPr="00A72C36" w:rsidRDefault="004669D7" w:rsidP="00A72C36">
            <w:pPr>
              <w:rPr>
                <w:rFonts w:asciiTheme="minorHAnsi" w:hAnsiTheme="minorHAnsi" w:cs="Arial"/>
                <w:color w:val="auto"/>
                <w:sz w:val="18"/>
                <w:szCs w:val="20"/>
              </w:rPr>
            </w:pPr>
            <w:bookmarkStart w:id="12" w:name="_Hlk196486162"/>
            <w:r w:rsidRPr="00A72C36">
              <w:rPr>
                <w:snapToGrid w:val="0"/>
                <w:color w:val="000000"/>
              </w:rPr>
              <w:t>02/08/2025</w:t>
            </w:r>
            <w:bookmarkEnd w:id="12"/>
          </w:p>
        </w:tc>
      </w:tr>
    </w:tbl>
    <w:p w14:paraId="3281F17C" w14:textId="77777777" w:rsidR="006571F7" w:rsidRDefault="006571F7" w:rsidP="007C6E45">
      <w:pPr>
        <w:rPr>
          <w:kern w:val="28"/>
          <w:sz w:val="20"/>
        </w:rPr>
      </w:pPr>
    </w:p>
    <w:p w14:paraId="74B0347A" w14:textId="220A657E" w:rsidR="002D6623" w:rsidRPr="002E73B7" w:rsidRDefault="002D6623" w:rsidP="007C6E45">
      <w:pPr>
        <w:pStyle w:val="Heading1"/>
        <w:keepLines w:val="0"/>
        <w:spacing w:after="60" w:line="240" w:lineRule="auto"/>
        <w:rPr>
          <w:rFonts w:eastAsia="Times New Roman" w:cs="Arial"/>
          <w:color w:val="auto"/>
          <w:kern w:val="28"/>
          <w:sz w:val="32"/>
          <w:lang w:eastAsia="en-GB"/>
        </w:rPr>
      </w:pPr>
      <w:bookmarkStart w:id="13" w:name="Decision_considerations"/>
      <w:bookmarkEnd w:id="0"/>
      <w:r w:rsidRPr="002E73B7">
        <w:rPr>
          <w:rFonts w:eastAsia="Times New Roman" w:cs="Arial"/>
          <w:color w:val="auto"/>
          <w:kern w:val="28"/>
          <w:sz w:val="32"/>
          <w:lang w:eastAsia="en-GB"/>
        </w:rPr>
        <w:t>Decision considerations</w:t>
      </w:r>
    </w:p>
    <w:bookmarkEnd w:id="13"/>
    <w:p w14:paraId="66C89A27" w14:textId="77777777" w:rsidR="00962383" w:rsidRPr="00962383" w:rsidRDefault="00962383" w:rsidP="007C6E45">
      <w:pPr>
        <w:pStyle w:val="Topictitle"/>
        <w:rPr>
          <w:sz w:val="12"/>
          <w:szCs w:val="12"/>
        </w:rPr>
      </w:pPr>
    </w:p>
    <w:p w14:paraId="07F35D8C" w14:textId="06EA54EC" w:rsidR="002D6623" w:rsidRPr="00962383" w:rsidRDefault="002D6623" w:rsidP="007C6E45">
      <w:pPr>
        <w:pStyle w:val="Topictitle"/>
        <w:rPr>
          <w:sz w:val="28"/>
          <w:szCs w:val="28"/>
        </w:rPr>
      </w:pPr>
      <w:r w:rsidRPr="00962383">
        <w:rPr>
          <w:sz w:val="28"/>
          <w:szCs w:val="28"/>
        </w:rPr>
        <w:t>Confidential information</w:t>
      </w:r>
    </w:p>
    <w:p w14:paraId="1E58789C" w14:textId="7EE31839" w:rsidR="002D6623" w:rsidRDefault="002D6623" w:rsidP="007C6E45">
      <w:r>
        <w:t>A claim for commercial or industrial confidentiality has been made.</w:t>
      </w:r>
    </w:p>
    <w:p w14:paraId="0A764466" w14:textId="2880B3A8" w:rsidR="00261292" w:rsidRPr="007413CC" w:rsidRDefault="00261292" w:rsidP="007C6E45">
      <w:r w:rsidRPr="007413CC">
        <w:t>We have accepted the claim for confidentiality. Refer to section</w:t>
      </w:r>
      <w:r w:rsidR="00B7368B">
        <w:t xml:space="preserve"> </w:t>
      </w:r>
      <w:r w:rsidR="00FB4A0B">
        <w:t>‘</w:t>
      </w:r>
      <w:r w:rsidR="00B7368B">
        <w:t>How we reached our decision</w:t>
      </w:r>
      <w:r w:rsidR="00FB4A0B">
        <w:t>’</w:t>
      </w:r>
      <w:r>
        <w:t>.</w:t>
      </w:r>
    </w:p>
    <w:p w14:paraId="6E0F2A97" w14:textId="77777777" w:rsidR="002D6623" w:rsidRDefault="002D6623" w:rsidP="007C6E45">
      <w:r>
        <w:t>The decision was taken in accordance with our guidance on confidentiality.</w:t>
      </w:r>
    </w:p>
    <w:p w14:paraId="56E1D45F" w14:textId="77777777" w:rsidR="002D6623" w:rsidRPr="00962383" w:rsidRDefault="002D6623" w:rsidP="007C6E45">
      <w:pPr>
        <w:pStyle w:val="Topictitle"/>
        <w:rPr>
          <w:sz w:val="28"/>
          <w:szCs w:val="28"/>
        </w:rPr>
      </w:pPr>
      <w:r w:rsidRPr="00962383">
        <w:rPr>
          <w:sz w:val="28"/>
          <w:szCs w:val="28"/>
        </w:rPr>
        <w:t>Identifying confidential information</w:t>
      </w:r>
    </w:p>
    <w:p w14:paraId="237DCC6D" w14:textId="315028E5" w:rsidR="005E11F4" w:rsidRPr="008F709B" w:rsidRDefault="002D6623" w:rsidP="007C6E45">
      <w:pPr>
        <w:rPr>
          <w:color w:val="auto"/>
        </w:rPr>
      </w:pPr>
      <w:r w:rsidRPr="00626DA0">
        <w:rPr>
          <w:color w:val="auto"/>
        </w:rPr>
        <w:t xml:space="preserve">We have </w:t>
      </w:r>
      <w:r w:rsidR="0003394D" w:rsidRPr="00626DA0">
        <w:rPr>
          <w:color w:val="auto"/>
        </w:rPr>
        <w:t>not</w:t>
      </w:r>
      <w:r w:rsidRPr="00626DA0">
        <w:rPr>
          <w:color w:val="auto"/>
        </w:rPr>
        <w:t xml:space="preserve"> identified information provided as part of the application that we </w:t>
      </w:r>
      <w:r w:rsidRPr="008F709B">
        <w:rPr>
          <w:color w:val="auto"/>
        </w:rPr>
        <w:t>consider to be confidential.</w:t>
      </w:r>
      <w:r w:rsidR="005E11F4" w:rsidRPr="008F709B">
        <w:rPr>
          <w:color w:val="auto"/>
        </w:rPr>
        <w:t xml:space="preserve"> </w:t>
      </w:r>
    </w:p>
    <w:p w14:paraId="71226F55" w14:textId="14445043" w:rsidR="002D6623" w:rsidRDefault="002D6623" w:rsidP="007C6E45">
      <w:r>
        <w:t>The decision was taken in accordance with our guidance on confidentiality.</w:t>
      </w:r>
    </w:p>
    <w:p w14:paraId="7432A6E6" w14:textId="230512D1" w:rsidR="00DF30C2" w:rsidRPr="00962383" w:rsidRDefault="00456E58" w:rsidP="007C6E45">
      <w:pPr>
        <w:pStyle w:val="Topictitle"/>
        <w:rPr>
          <w:sz w:val="28"/>
          <w:szCs w:val="28"/>
        </w:rPr>
      </w:pPr>
      <w:r w:rsidRPr="00962383">
        <w:rPr>
          <w:sz w:val="28"/>
          <w:szCs w:val="28"/>
        </w:rPr>
        <w:lastRenderedPageBreak/>
        <w:t>Consultation</w:t>
      </w:r>
    </w:p>
    <w:p w14:paraId="7D4E244B" w14:textId="03AA4431" w:rsidR="00DF30C2" w:rsidRDefault="00DF30C2" w:rsidP="007C6E45">
      <w:pPr>
        <w:rPr>
          <w:color w:val="auto"/>
        </w:rPr>
      </w:pPr>
      <w:r w:rsidRPr="008F709B">
        <w:rPr>
          <w:color w:val="auto"/>
        </w:rPr>
        <w:t xml:space="preserve">The consultation requirements were identified in accordance with the Environmental Permitting (England and Wales) Regulations 2016 and our </w:t>
      </w:r>
      <w:r w:rsidR="00456E58" w:rsidRPr="008F709B">
        <w:rPr>
          <w:color w:val="auto"/>
        </w:rPr>
        <w:t>public participation statement.</w:t>
      </w:r>
    </w:p>
    <w:p w14:paraId="58EA670F" w14:textId="57F8511B" w:rsidR="0093475A" w:rsidRPr="005A6723" w:rsidRDefault="0020663C" w:rsidP="007C6E45">
      <w:pPr>
        <w:rPr>
          <w:color w:val="auto"/>
        </w:rPr>
      </w:pPr>
      <w:r w:rsidRPr="00026CB8">
        <w:rPr>
          <w:rStyle w:val="Pink"/>
          <w:color w:val="auto"/>
        </w:rPr>
        <w:t xml:space="preserve">On </w:t>
      </w:r>
      <w:r w:rsidR="001E5A7A" w:rsidRPr="00026CB8">
        <w:rPr>
          <w:rStyle w:val="Pink"/>
          <w:color w:val="auto"/>
        </w:rPr>
        <w:t>0</w:t>
      </w:r>
      <w:r w:rsidR="00026CB8" w:rsidRPr="00026CB8">
        <w:rPr>
          <w:rStyle w:val="Pink"/>
          <w:color w:val="auto"/>
        </w:rPr>
        <w:t>7</w:t>
      </w:r>
      <w:r w:rsidR="001E5A7A" w:rsidRPr="00026CB8">
        <w:rPr>
          <w:rStyle w:val="Pink"/>
          <w:color w:val="auto"/>
        </w:rPr>
        <w:t>/0</w:t>
      </w:r>
      <w:r w:rsidR="00026CB8" w:rsidRPr="00026CB8">
        <w:rPr>
          <w:rStyle w:val="Pink"/>
          <w:color w:val="auto"/>
        </w:rPr>
        <w:t>5</w:t>
      </w:r>
      <w:r w:rsidR="001E5A7A" w:rsidRPr="00026CB8">
        <w:rPr>
          <w:rStyle w:val="Pink"/>
          <w:color w:val="auto"/>
        </w:rPr>
        <w:t>/2025</w:t>
      </w:r>
      <w:r w:rsidR="00517C40" w:rsidRPr="00026CB8">
        <w:rPr>
          <w:rStyle w:val="Pink"/>
          <w:color w:val="auto"/>
        </w:rPr>
        <w:t xml:space="preserve"> w</w:t>
      </w:r>
      <w:r w:rsidR="0093475A" w:rsidRPr="00026CB8">
        <w:rPr>
          <w:rStyle w:val="Pink"/>
          <w:color w:val="auto"/>
        </w:rPr>
        <w:t>e</w:t>
      </w:r>
      <w:r w:rsidR="0093475A" w:rsidRPr="005A6723">
        <w:rPr>
          <w:rStyle w:val="Pink"/>
          <w:color w:val="auto"/>
        </w:rPr>
        <w:t xml:space="preserve"> </w:t>
      </w:r>
      <w:r w:rsidR="0093475A" w:rsidRPr="005A6723">
        <w:rPr>
          <w:color w:val="auto"/>
        </w:rPr>
        <w:t>publicised</w:t>
      </w:r>
      <w:r w:rsidR="0093475A" w:rsidRPr="005A6723">
        <w:rPr>
          <w:rStyle w:val="Pink"/>
          <w:color w:val="auto"/>
        </w:rPr>
        <w:t xml:space="preserve"> our </w:t>
      </w:r>
      <w:r w:rsidRPr="005A6723">
        <w:rPr>
          <w:rStyle w:val="Pink"/>
          <w:color w:val="auto"/>
        </w:rPr>
        <w:t xml:space="preserve">‘minded to’ </w:t>
      </w:r>
      <w:r w:rsidR="0093475A" w:rsidRPr="005A6723">
        <w:rPr>
          <w:rStyle w:val="Pink"/>
          <w:color w:val="auto"/>
        </w:rPr>
        <w:t xml:space="preserve">draft decision </w:t>
      </w:r>
      <w:r w:rsidR="0093475A" w:rsidRPr="005A6723">
        <w:rPr>
          <w:color w:val="auto"/>
        </w:rPr>
        <w:t>on the GOV.UK website</w:t>
      </w:r>
      <w:r w:rsidR="0093475A" w:rsidRPr="005A6723">
        <w:rPr>
          <w:rStyle w:val="Pink"/>
          <w:color w:val="auto"/>
        </w:rPr>
        <w:t xml:space="preserve"> because the application contained a request for a derogation </w:t>
      </w:r>
      <w:r w:rsidR="0093475A" w:rsidRPr="005A6723">
        <w:rPr>
          <w:color w:val="auto"/>
        </w:rPr>
        <w:t>from BAT</w:t>
      </w:r>
      <w:r w:rsidR="00A5304E">
        <w:rPr>
          <w:color w:val="auto"/>
        </w:rPr>
        <w:t> </w:t>
      </w:r>
      <w:r w:rsidR="0093475A" w:rsidRPr="005A6723">
        <w:rPr>
          <w:color w:val="auto"/>
        </w:rPr>
        <w:t>52</w:t>
      </w:r>
      <w:r w:rsidR="00D940FA" w:rsidRPr="005A6723">
        <w:rPr>
          <w:color w:val="auto"/>
        </w:rPr>
        <w:t xml:space="preserve"> of Best Available Techniques Conclusions Document for the Refining of Mineral Oil and Gas (2014/7/738/EU of 28/10/2014)</w:t>
      </w:r>
      <w:r w:rsidR="008F3178" w:rsidRPr="005A6723">
        <w:rPr>
          <w:color w:val="auto"/>
        </w:rPr>
        <w:t>.</w:t>
      </w:r>
      <w:r w:rsidR="0093475A" w:rsidRPr="005A6723">
        <w:rPr>
          <w:color w:val="auto"/>
        </w:rPr>
        <w:t xml:space="preserve"> </w:t>
      </w:r>
      <w:r w:rsidR="0093475A" w:rsidRPr="005A6723">
        <w:rPr>
          <w:rStyle w:val="Pink"/>
          <w:color w:val="auto"/>
        </w:rPr>
        <w:t xml:space="preserve"> </w:t>
      </w:r>
    </w:p>
    <w:p w14:paraId="0C4743CF" w14:textId="77777777" w:rsidR="00D552B9" w:rsidRPr="00962383" w:rsidRDefault="00D552B9" w:rsidP="007C6E45">
      <w:pPr>
        <w:pStyle w:val="Topictitle"/>
        <w:rPr>
          <w:sz w:val="28"/>
          <w:szCs w:val="28"/>
        </w:rPr>
      </w:pPr>
      <w:bookmarkStart w:id="14" w:name="_Toc103241379"/>
      <w:bookmarkStart w:id="15" w:name="Consultation_Responses"/>
      <w:r w:rsidRPr="00962383">
        <w:rPr>
          <w:sz w:val="28"/>
          <w:szCs w:val="28"/>
        </w:rPr>
        <w:t>Operating techniques</w:t>
      </w:r>
      <w:bookmarkEnd w:id="14"/>
    </w:p>
    <w:p w14:paraId="25010A5B" w14:textId="1DB702A5" w:rsidR="00D552B9" w:rsidRPr="00FA3757" w:rsidRDefault="00D552B9" w:rsidP="007C6E45">
      <w:r w:rsidRPr="00AD3CC1">
        <w:t>We have reviewed the techniques used by the operator</w:t>
      </w:r>
      <w:r>
        <w:t>, as relevant to the scope of this variation application,</w:t>
      </w:r>
      <w:r w:rsidRPr="00AD3CC1">
        <w:t xml:space="preserve"> and compared these with the </w:t>
      </w:r>
      <w:r w:rsidR="00A5304E">
        <w:t>R</w:t>
      </w:r>
      <w:r w:rsidRPr="00AD3CC1">
        <w:t xml:space="preserve">efining of </w:t>
      </w:r>
      <w:r w:rsidR="00A5304E">
        <w:t>M</w:t>
      </w:r>
      <w:r w:rsidRPr="00AD3CC1">
        <w:t xml:space="preserve">ineral </w:t>
      </w:r>
      <w:r w:rsidR="00A5304E">
        <w:t>O</w:t>
      </w:r>
      <w:r w:rsidRPr="00AD3CC1">
        <w:t xml:space="preserve">il and </w:t>
      </w:r>
      <w:r w:rsidR="00A5304E">
        <w:t>G</w:t>
      </w:r>
      <w:r w:rsidRPr="00AD3CC1">
        <w:t xml:space="preserve">as BAT Conclusions document. This variation permits a derogation from BAT 52 and the associated BAT-AELs for emissions of NMVOC and benzene, granted in accordance with </w:t>
      </w:r>
      <w:r w:rsidRPr="00FA3757">
        <w:t xml:space="preserve">Article 15(4) of IED and our guidance. </w:t>
      </w:r>
    </w:p>
    <w:p w14:paraId="33F71AB4" w14:textId="77777777" w:rsidR="00D552B9" w:rsidRPr="00962383" w:rsidRDefault="00D552B9" w:rsidP="007C6E45">
      <w:pPr>
        <w:pStyle w:val="Topictitle"/>
        <w:rPr>
          <w:sz w:val="28"/>
          <w:szCs w:val="28"/>
        </w:rPr>
      </w:pPr>
      <w:bookmarkStart w:id="16" w:name="_Toc103241380"/>
      <w:r w:rsidRPr="00962383">
        <w:rPr>
          <w:sz w:val="28"/>
          <w:szCs w:val="28"/>
        </w:rPr>
        <w:t>National Air Pollution Control Programme</w:t>
      </w:r>
      <w:bookmarkEnd w:id="16"/>
    </w:p>
    <w:p w14:paraId="29C83678" w14:textId="06F40D38" w:rsidR="00D552B9" w:rsidRDefault="00D552B9" w:rsidP="007C6E45">
      <w:r w:rsidRPr="00FA3757">
        <w:t xml:space="preserve">We have considered the National Air Pollution Control Programme as required by the National Emissions Ceilings Regulations 2018. The derogation option proposed by the </w:t>
      </w:r>
      <w:r w:rsidR="006C45B6">
        <w:t>o</w:t>
      </w:r>
      <w:r w:rsidRPr="00FA3757">
        <w:t xml:space="preserve">perator and accepted by us will result in reduced emissions of NMVOC from </w:t>
      </w:r>
      <w:r w:rsidR="006C45B6">
        <w:t>November 2025</w:t>
      </w:r>
      <w:r w:rsidRPr="00FA3757">
        <w:t>. We do not consider that we need to include any additional conditions in this permit.</w:t>
      </w:r>
    </w:p>
    <w:p w14:paraId="705D13D2" w14:textId="1EC21151" w:rsidR="007E14AA" w:rsidRPr="00C04994" w:rsidRDefault="007E14AA" w:rsidP="007C6E45">
      <w:pPr>
        <w:pStyle w:val="Topictitle"/>
        <w:rPr>
          <w:color w:val="auto"/>
        </w:rPr>
      </w:pPr>
      <w:r w:rsidRPr="00C04994">
        <w:rPr>
          <w:color w:val="auto"/>
        </w:rPr>
        <w:t>Reporting</w:t>
      </w:r>
    </w:p>
    <w:p w14:paraId="2EDF99C6" w14:textId="24215344" w:rsidR="007E14AA" w:rsidRPr="00602A58" w:rsidRDefault="00602A58" w:rsidP="007C6E45">
      <w:pPr>
        <w:rPr>
          <w:color w:val="auto"/>
        </w:rPr>
      </w:pPr>
      <w:r w:rsidRPr="00C04994">
        <w:rPr>
          <w:color w:val="auto"/>
        </w:rPr>
        <w:t>At the request of the operator, w</w:t>
      </w:r>
      <w:r w:rsidR="007E14AA" w:rsidRPr="00C04994">
        <w:rPr>
          <w:color w:val="auto"/>
        </w:rPr>
        <w:t xml:space="preserve">e have amended </w:t>
      </w:r>
      <w:r w:rsidR="008931F5" w:rsidRPr="00C04994">
        <w:rPr>
          <w:color w:val="auto"/>
        </w:rPr>
        <w:t xml:space="preserve">the </w:t>
      </w:r>
      <w:r w:rsidR="007E14AA" w:rsidRPr="00C04994">
        <w:rPr>
          <w:color w:val="auto"/>
        </w:rPr>
        <w:t xml:space="preserve">reporting </w:t>
      </w:r>
      <w:r w:rsidR="008931F5" w:rsidRPr="00C04994">
        <w:rPr>
          <w:color w:val="auto"/>
        </w:rPr>
        <w:t xml:space="preserve">due dates specified in condition </w:t>
      </w:r>
      <w:r w:rsidR="003177F4" w:rsidRPr="00C04994">
        <w:rPr>
          <w:color w:val="auto"/>
        </w:rPr>
        <w:t xml:space="preserve">4.2.10 of the permit.  </w:t>
      </w:r>
      <w:r w:rsidRPr="00C04994">
        <w:rPr>
          <w:color w:val="auto"/>
        </w:rPr>
        <w:t>This is solely to align with other permit reporting.</w:t>
      </w:r>
    </w:p>
    <w:p w14:paraId="00DE7396" w14:textId="77777777" w:rsidR="00D552B9" w:rsidRPr="00962383" w:rsidRDefault="00D552B9" w:rsidP="007C6E45">
      <w:pPr>
        <w:pStyle w:val="Topictitle"/>
        <w:rPr>
          <w:sz w:val="28"/>
          <w:szCs w:val="28"/>
        </w:rPr>
      </w:pPr>
      <w:bookmarkStart w:id="17" w:name="_Toc103241383"/>
      <w:r w:rsidRPr="00962383">
        <w:rPr>
          <w:sz w:val="28"/>
          <w:szCs w:val="28"/>
        </w:rPr>
        <w:t>Improvement programme</w:t>
      </w:r>
      <w:bookmarkEnd w:id="17"/>
    </w:p>
    <w:p w14:paraId="7104FABC" w14:textId="77777777" w:rsidR="00D552B9" w:rsidRPr="00FA3757" w:rsidRDefault="00D552B9" w:rsidP="007C6E45">
      <w:r w:rsidRPr="00FA3757">
        <w:t>Based on the information on the application, we consider that we need to include an improvement programme.</w:t>
      </w:r>
    </w:p>
    <w:p w14:paraId="6713F5CE" w14:textId="2A9ADB61" w:rsidR="00D552B9" w:rsidRDefault="00D552B9" w:rsidP="007C6E45">
      <w:r w:rsidRPr="00FA3757">
        <w:t xml:space="preserve">We have included an improvement programme to ensure that the </w:t>
      </w:r>
      <w:r w:rsidR="006C45B6">
        <w:t>o</w:t>
      </w:r>
      <w:r w:rsidRPr="00FA3757">
        <w:t xml:space="preserve">perator </w:t>
      </w:r>
      <w:r w:rsidRPr="00A12CF5">
        <w:t xml:space="preserve">complies with the proposed derogation option. Refer to </w:t>
      </w:r>
      <w:r w:rsidR="00AB1405">
        <w:t>the ‘</w:t>
      </w:r>
      <w:r w:rsidR="00467F9C">
        <w:t>Permit Conditions</w:t>
      </w:r>
      <w:r w:rsidR="00AB1405">
        <w:t>’</w:t>
      </w:r>
      <w:r w:rsidR="00467F9C">
        <w:t xml:space="preserve"> s</w:t>
      </w:r>
      <w:r w:rsidRPr="00A12CF5">
        <w:t xml:space="preserve">ection </w:t>
      </w:r>
      <w:r w:rsidR="00A12CF5" w:rsidRPr="00A12CF5">
        <w:t>above</w:t>
      </w:r>
      <w:r w:rsidRPr="00A12CF5">
        <w:t xml:space="preserve"> for</w:t>
      </w:r>
      <w:r w:rsidRPr="00FA3757">
        <w:t xml:space="preserve"> further details</w:t>
      </w:r>
      <w:r>
        <w:t xml:space="preserve">. </w:t>
      </w:r>
    </w:p>
    <w:p w14:paraId="03C9E0CB" w14:textId="77777777" w:rsidR="00D552B9" w:rsidRPr="0097083C" w:rsidRDefault="00D552B9" w:rsidP="007C6E45">
      <w:pPr>
        <w:rPr>
          <w:b/>
          <w:sz w:val="26"/>
          <w:szCs w:val="26"/>
        </w:rPr>
      </w:pPr>
      <w:r>
        <w:t xml:space="preserve">We have also updated the status of previous improvement conditions according to their progress. </w:t>
      </w:r>
    </w:p>
    <w:p w14:paraId="72C17002" w14:textId="77777777" w:rsidR="00D552B9" w:rsidRPr="001D6AE5" w:rsidRDefault="00D552B9" w:rsidP="007C6E45">
      <w:pPr>
        <w:pStyle w:val="DDHeading2"/>
        <w:keepNext/>
        <w:spacing w:after="200" w:line="276" w:lineRule="auto"/>
        <w:jc w:val="left"/>
        <w:rPr>
          <w:sz w:val="28"/>
          <w:szCs w:val="32"/>
        </w:rPr>
      </w:pPr>
      <w:bookmarkStart w:id="18" w:name="_Toc103241384"/>
      <w:r w:rsidRPr="001D6AE5">
        <w:rPr>
          <w:sz w:val="28"/>
          <w:szCs w:val="32"/>
        </w:rPr>
        <w:lastRenderedPageBreak/>
        <w:t>Emission limits</w:t>
      </w:r>
      <w:bookmarkEnd w:id="18"/>
    </w:p>
    <w:p w14:paraId="01F2F9A3" w14:textId="77739366" w:rsidR="00D552B9" w:rsidRPr="0097083C" w:rsidRDefault="00D552B9" w:rsidP="007C6E45">
      <w:r w:rsidRPr="00FA3757">
        <w:t xml:space="preserve">No emission limits have been added, amended or deleted </w:t>
      </w:r>
      <w:proofErr w:type="gramStart"/>
      <w:r w:rsidRPr="00FA3757">
        <w:t>as a result of</w:t>
      </w:r>
      <w:proofErr w:type="gramEnd"/>
      <w:r w:rsidRPr="00FA3757">
        <w:t xml:space="preserve"> this variation. Refer to the </w:t>
      </w:r>
      <w:r w:rsidR="001342C0">
        <w:t>‘</w:t>
      </w:r>
      <w:r w:rsidR="00467F9C">
        <w:t>K</w:t>
      </w:r>
      <w:r w:rsidRPr="00FA3757">
        <w:t xml:space="preserve">ey </w:t>
      </w:r>
      <w:r w:rsidR="00467F9C">
        <w:t>I</w:t>
      </w:r>
      <w:r w:rsidRPr="00FA3757">
        <w:t>ssues</w:t>
      </w:r>
      <w:r w:rsidR="001342C0">
        <w:t>’</w:t>
      </w:r>
      <w:r w:rsidRPr="00FA3757">
        <w:t xml:space="preserve"> section</w:t>
      </w:r>
      <w:r>
        <w:t xml:space="preserve"> for details on the derogation from the BAT-AELs for NMVOC and benzene granted by this variation.</w:t>
      </w:r>
    </w:p>
    <w:p w14:paraId="615F8DE5" w14:textId="4D420FC6" w:rsidR="00D552B9" w:rsidRPr="001D6AE5" w:rsidRDefault="00D552B9" w:rsidP="007C6E45">
      <w:pPr>
        <w:pStyle w:val="DDHeading2"/>
        <w:keepNext/>
        <w:spacing w:after="200" w:line="276" w:lineRule="auto"/>
        <w:jc w:val="left"/>
        <w:rPr>
          <w:sz w:val="28"/>
          <w:szCs w:val="32"/>
        </w:rPr>
      </w:pPr>
      <w:bookmarkStart w:id="19" w:name="_Toc103241385"/>
      <w:r w:rsidRPr="001D6AE5">
        <w:rPr>
          <w:sz w:val="28"/>
          <w:szCs w:val="32"/>
        </w:rPr>
        <w:t>Previous performance</w:t>
      </w:r>
      <w:bookmarkEnd w:id="19"/>
    </w:p>
    <w:p w14:paraId="29D3866D" w14:textId="5893BD6C" w:rsidR="00D552B9" w:rsidRPr="0097083C" w:rsidRDefault="00D552B9" w:rsidP="007C6E45">
      <w:pPr>
        <w:rPr>
          <w:b/>
          <w:sz w:val="26"/>
          <w:szCs w:val="26"/>
        </w:rPr>
      </w:pPr>
      <w:r>
        <w:t xml:space="preserve">The </w:t>
      </w:r>
      <w:r w:rsidR="00962383">
        <w:t>o</w:t>
      </w:r>
      <w:r w:rsidRPr="00EE4587">
        <w:t xml:space="preserve">perator </w:t>
      </w:r>
      <w:r w:rsidR="00962383">
        <w:t xml:space="preserve">did not </w:t>
      </w:r>
      <w:r w:rsidRPr="00EE4587">
        <w:t>comply with the timetable proposed by them in 20</w:t>
      </w:r>
      <w:r w:rsidR="00F3014C">
        <w:t>22</w:t>
      </w:r>
      <w:r w:rsidRPr="00EE4587">
        <w:t xml:space="preserve"> to achieve compliance with BAT 52.</w:t>
      </w:r>
      <w:r>
        <w:t xml:space="preserve"> However, w</w:t>
      </w:r>
      <w:r w:rsidRPr="00EE4587">
        <w:t xml:space="preserve">e have </w:t>
      </w:r>
      <w:r w:rsidR="001E2B48">
        <w:t>considered</w:t>
      </w:r>
      <w:r w:rsidRPr="00EE4587">
        <w:t xml:space="preserve"> the justification provided by the </w:t>
      </w:r>
      <w:r w:rsidR="00F3014C">
        <w:t>o</w:t>
      </w:r>
      <w:r w:rsidRPr="00EE4587">
        <w:t xml:space="preserve">perator, which is explained in </w:t>
      </w:r>
      <w:r w:rsidR="00F3014C">
        <w:t xml:space="preserve">the </w:t>
      </w:r>
      <w:r w:rsidR="001342C0">
        <w:t>‘</w:t>
      </w:r>
      <w:r w:rsidR="00467F9C">
        <w:t>K</w:t>
      </w:r>
      <w:r w:rsidR="00F3014C">
        <w:t xml:space="preserve">ey </w:t>
      </w:r>
      <w:r w:rsidR="00467F9C">
        <w:t>I</w:t>
      </w:r>
      <w:r w:rsidR="00F3014C">
        <w:t>ssues</w:t>
      </w:r>
      <w:r w:rsidR="001342C0">
        <w:t>’</w:t>
      </w:r>
      <w:r w:rsidR="00F3014C">
        <w:t xml:space="preserve"> section above.  On</w:t>
      </w:r>
      <w:r w:rsidRPr="00EE4587">
        <w:t xml:space="preserve"> balance</w:t>
      </w:r>
      <w:r>
        <w:t>,</w:t>
      </w:r>
      <w:r w:rsidRPr="00EE4587">
        <w:t xml:space="preserve"> we have decided to grant the variation to the permit. We take compliance with our permits very seriously</w:t>
      </w:r>
      <w:r w:rsidR="00A62E4C">
        <w:t xml:space="preserve"> and we </w:t>
      </w:r>
      <w:r w:rsidRPr="00EE4587">
        <w:t>will</w:t>
      </w:r>
      <w:r w:rsidR="00144F75">
        <w:t xml:space="preserve"> continue to monitor the</w:t>
      </w:r>
      <w:r w:rsidRPr="00EE4587">
        <w:t xml:space="preserve"> site. We have worded the limits of the activity </w:t>
      </w:r>
      <w:r w:rsidR="00A62E4C">
        <w:t xml:space="preserve">subject to derogation </w:t>
      </w:r>
      <w:r w:rsidR="00144F75">
        <w:t xml:space="preserve">to </w:t>
      </w:r>
      <w:r w:rsidRPr="00EE4587">
        <w:t>enable us to</w:t>
      </w:r>
      <w:r>
        <w:t xml:space="preserve"> restrict </w:t>
      </w:r>
      <w:r w:rsidRPr="00EE4587">
        <w:t>the</w:t>
      </w:r>
      <w:r>
        <w:t xml:space="preserve"> loading and unloading</w:t>
      </w:r>
      <w:r w:rsidRPr="00EE4587">
        <w:t xml:space="preserve"> operations </w:t>
      </w:r>
      <w:r>
        <w:t>at</w:t>
      </w:r>
      <w:r w:rsidRPr="00EE4587">
        <w:t xml:space="preserve"> the White Oil Docks</w:t>
      </w:r>
      <w:r>
        <w:t xml:space="preserve"> to the applicability threshold set out in BAT 52</w:t>
      </w:r>
      <w:r w:rsidRPr="00EE4587">
        <w:t xml:space="preserve">, should we not be satisfied with the </w:t>
      </w:r>
      <w:r w:rsidRPr="003C5CF1">
        <w:t xml:space="preserve">progress reported by the </w:t>
      </w:r>
      <w:r w:rsidR="006652CD" w:rsidRPr="003C5CF1">
        <w:t>o</w:t>
      </w:r>
      <w:r w:rsidRPr="003C5CF1">
        <w:t xml:space="preserve">perator in response to improvement condition </w:t>
      </w:r>
      <w:r w:rsidR="006652CD" w:rsidRPr="003C5CF1">
        <w:t>IC</w:t>
      </w:r>
      <w:r w:rsidR="003C5CF1" w:rsidRPr="003C5CF1">
        <w:t>66</w:t>
      </w:r>
      <w:r w:rsidR="006652CD" w:rsidRPr="003C5CF1">
        <w:t xml:space="preserve"> in</w:t>
      </w:r>
      <w:r w:rsidR="006652CD">
        <w:t xml:space="preserve"> the c</w:t>
      </w:r>
      <w:r>
        <w:t xml:space="preserve">onsolidated </w:t>
      </w:r>
      <w:r w:rsidR="006652CD">
        <w:t>v</w:t>
      </w:r>
      <w:r w:rsidRPr="00EE4587">
        <w:t xml:space="preserve">ariation </w:t>
      </w:r>
      <w:r w:rsidR="006652CD">
        <w:t>n</w:t>
      </w:r>
      <w:r w:rsidRPr="00EE4587">
        <w:t>otice.</w:t>
      </w:r>
      <w:r>
        <w:t xml:space="preserve"> </w:t>
      </w:r>
      <w:r w:rsidR="00A12CF5">
        <w:t xml:space="preserve"> See </w:t>
      </w:r>
      <w:r w:rsidR="00996CEE">
        <w:t>the ‘</w:t>
      </w:r>
      <w:r w:rsidR="00467F9C">
        <w:t>Permit Conditions</w:t>
      </w:r>
      <w:r w:rsidR="00996CEE">
        <w:t>’</w:t>
      </w:r>
      <w:r w:rsidR="00467F9C">
        <w:t xml:space="preserve"> s</w:t>
      </w:r>
      <w:r>
        <w:t>ection</w:t>
      </w:r>
      <w:r w:rsidRPr="00FA3757">
        <w:t xml:space="preserve"> </w:t>
      </w:r>
      <w:r w:rsidR="00A12CF5">
        <w:t>above</w:t>
      </w:r>
      <w:r w:rsidRPr="00FA3757">
        <w:t xml:space="preserve"> for further details.</w:t>
      </w:r>
      <w:r w:rsidRPr="00FA3757">
        <w:rPr>
          <w:b/>
          <w:sz w:val="26"/>
          <w:szCs w:val="26"/>
        </w:rPr>
        <w:t xml:space="preserve"> </w:t>
      </w:r>
    </w:p>
    <w:p w14:paraId="32D8D439" w14:textId="77777777" w:rsidR="00D552B9" w:rsidRPr="001D6AE5" w:rsidRDefault="00D552B9" w:rsidP="007C6E45">
      <w:pPr>
        <w:pStyle w:val="DDHeading2"/>
        <w:keepNext/>
        <w:spacing w:after="200" w:line="276" w:lineRule="auto"/>
        <w:jc w:val="left"/>
        <w:rPr>
          <w:sz w:val="28"/>
          <w:szCs w:val="32"/>
        </w:rPr>
      </w:pPr>
      <w:bookmarkStart w:id="20" w:name="_Toc103241386"/>
      <w:r w:rsidRPr="001D6AE5">
        <w:rPr>
          <w:sz w:val="28"/>
          <w:szCs w:val="32"/>
        </w:rPr>
        <w:t>Growth duty</w:t>
      </w:r>
      <w:bookmarkEnd w:id="20"/>
    </w:p>
    <w:p w14:paraId="43525344" w14:textId="77777777" w:rsidR="00D552B9" w:rsidRDefault="00D552B9" w:rsidP="007C6E45">
      <w:r>
        <w:t xml:space="preserve">We have considered our duty to have regard to the desirability of promoting economic growth set out in section 108(1) of the Deregulation Act 2015 and the guidance issued under section 110 of that Act in deciding whether to grant this permit variation. </w:t>
      </w:r>
    </w:p>
    <w:p w14:paraId="48513942" w14:textId="77777777" w:rsidR="00D552B9" w:rsidRDefault="00D552B9" w:rsidP="007C6E45">
      <w:r>
        <w:t>Paragraph 1.3 of the guidance says:</w:t>
      </w:r>
    </w:p>
    <w:p w14:paraId="6F0E85D8" w14:textId="77777777" w:rsidR="00D552B9" w:rsidRDefault="00D552B9" w:rsidP="007C6E45">
      <w:r>
        <w:t xml:space="preserve">“The primary role of regulators, in delivering regulation, is to achieve the regulatory outcomes for which they are responsible. For </w:t>
      </w:r>
      <w:proofErr w:type="gramStart"/>
      <w:r>
        <w:t>a number of</w:t>
      </w:r>
      <w:proofErr w:type="gramEnd"/>
      <w:r>
        <w:t xml:space="preserve"> regulators, these regulatory outcomes include an explicit reference to development or growth. The growth duty establishes economic growth as a factor that all specified regulators should have regard to, alongside the delivery of the protections set out in the relevant legislation.”</w:t>
      </w:r>
    </w:p>
    <w:p w14:paraId="1B31ACC0" w14:textId="77777777" w:rsidR="00D552B9" w:rsidRDefault="00D552B9" w:rsidP="007C6E45">
      <w:r>
        <w:t xml:space="preserve">We have addressed the legislative requirements and environmental standards to be set for this operation in the body of the decision document above. The guidance is clear at paragraph 1.5 that the growth duty does not legitimise </w:t>
      </w:r>
      <w:proofErr w:type="gramStart"/>
      <w:r>
        <w:t>non-compliance</w:t>
      </w:r>
      <w:proofErr w:type="gramEnd"/>
      <w:r>
        <w:t xml:space="preserve"> and its purpose is not to achieve or pursue economic growth at the expense of necessary protections.</w:t>
      </w:r>
    </w:p>
    <w:p w14:paraId="557D4BD4" w14:textId="36F5A3B7" w:rsidR="00997CE7" w:rsidRDefault="00D552B9" w:rsidP="00F628CC">
      <w:r>
        <w:t>We consider the requirements and standards we have set in this permit are reasonable and necessary to avoid a risk of an unacceptable level of pollution. This also promotes growth amongst legitimate operators because the standards applied to the operator are consistent across businesses in this sector and have been set to achieve the required legislative standards.</w:t>
      </w:r>
      <w:bookmarkEnd w:id="15"/>
    </w:p>
    <w:sectPr w:rsidR="00997CE7" w:rsidSect="00711CDF">
      <w:headerReference w:type="default" r:id="rId16"/>
      <w:footerReference w:type="even" r:id="rId17"/>
      <w:footerReference w:type="default" r:id="rId18"/>
      <w:headerReference w:type="first" r:id="rId19"/>
      <w:footerReference w:type="first" r:id="rId2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9528" w14:textId="77777777" w:rsidR="00610C5B" w:rsidRDefault="00610C5B" w:rsidP="00FA03F2">
      <w:r>
        <w:separator/>
      </w:r>
    </w:p>
  </w:endnote>
  <w:endnote w:type="continuationSeparator" w:id="0">
    <w:p w14:paraId="03174B65" w14:textId="77777777" w:rsidR="00610C5B" w:rsidRDefault="00610C5B" w:rsidP="00FA03F2">
      <w:r>
        <w:continuationSeparator/>
      </w:r>
    </w:p>
  </w:endnote>
  <w:endnote w:type="continuationNotice" w:id="1">
    <w:p w14:paraId="2943F3D1" w14:textId="77777777" w:rsidR="00610C5B" w:rsidRDefault="00610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ABAD" w14:textId="77777777" w:rsidR="00115560" w:rsidRDefault="00115560" w:rsidP="0011556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4BE1" w14:textId="10257F50" w:rsidR="00CA7090" w:rsidRPr="00623218" w:rsidRDefault="00FE2D93" w:rsidP="00115560">
    <w:pPr>
      <w:tabs>
        <w:tab w:val="left" w:pos="10"/>
        <w:tab w:val="left" w:pos="2442"/>
        <w:tab w:val="center" w:pos="4323"/>
      </w:tabs>
      <w:spacing w:after="0"/>
      <w:ind w:left="-851" w:right="-851"/>
      <w:jc w:val="center"/>
      <w:rPr>
        <w:rStyle w:val="Text"/>
      </w:rPr>
    </w:pPr>
    <w:r>
      <w:tab/>
    </w:r>
    <w:r>
      <w:tab/>
    </w:r>
    <w:r w:rsidR="00CA7090" w:rsidRPr="00486248">
      <w:t xml:space="preserve">Page </w:t>
    </w:r>
    <w:r w:rsidR="00CA7090" w:rsidRPr="00486248">
      <w:fldChar w:fldCharType="begin"/>
    </w:r>
    <w:r w:rsidR="00CA7090" w:rsidRPr="00486248">
      <w:instrText xml:space="preserve"> PAGE </w:instrText>
    </w:r>
    <w:r w:rsidR="00CA7090" w:rsidRPr="00486248">
      <w:fldChar w:fldCharType="separate"/>
    </w:r>
    <w:r w:rsidR="00D623A7">
      <w:rPr>
        <w:noProof/>
      </w:rPr>
      <w:t>22</w:t>
    </w:r>
    <w:r w:rsidR="00CA7090" w:rsidRPr="00486248">
      <w:fldChar w:fldCharType="end"/>
    </w:r>
    <w:r w:rsidR="00CA7090" w:rsidRPr="00486248">
      <w:t xml:space="preserve"> </w:t>
    </w:r>
    <w:r w:rsidR="00CA7090" w:rsidRPr="00E8647F">
      <w:t xml:space="preserve">of </w:t>
    </w:r>
    <w:r w:rsidR="00CA7090">
      <w:rPr>
        <w:noProof/>
      </w:rPr>
      <w:fldChar w:fldCharType="begin"/>
    </w:r>
    <w:r w:rsidR="00CA7090">
      <w:rPr>
        <w:noProof/>
      </w:rPr>
      <w:instrText xml:space="preserve"> NUMPAGES </w:instrText>
    </w:r>
    <w:r w:rsidR="00CA7090">
      <w:rPr>
        <w:noProof/>
      </w:rPr>
      <w:fldChar w:fldCharType="separate"/>
    </w:r>
    <w:r w:rsidR="00D623A7">
      <w:rPr>
        <w:noProof/>
      </w:rPr>
      <w:t>27</w:t>
    </w:r>
    <w:r w:rsidR="00CA709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4BE5" w14:textId="428EE8C9" w:rsidR="00CA7090" w:rsidRPr="00623218" w:rsidRDefault="00115560" w:rsidP="00115560">
    <w:pPr>
      <w:tabs>
        <w:tab w:val="left" w:pos="126"/>
        <w:tab w:val="left" w:pos="2802"/>
        <w:tab w:val="center" w:pos="4323"/>
      </w:tabs>
      <w:spacing w:after="0"/>
      <w:ind w:left="-851" w:right="-851"/>
      <w:rPr>
        <w:rStyle w:val="Text"/>
      </w:rPr>
    </w:pPr>
    <w:r>
      <w:rPr>
        <w:rStyle w:val="Text"/>
      </w:rPr>
      <w:tab/>
    </w:r>
    <w:r>
      <w:rPr>
        <w:rStyle w:val="Text"/>
      </w:rPr>
      <w:tab/>
    </w:r>
    <w:r w:rsidR="00FE2D93">
      <w:rPr>
        <w:rStyle w:val="Text"/>
      </w:rPr>
      <w:tab/>
    </w:r>
    <w:r w:rsidR="00FE2D93">
      <w:rPr>
        <w:rStyle w:val="Text"/>
      </w:rPr>
      <w:tab/>
    </w:r>
    <w:r w:rsidR="00FE2D93">
      <w:rPr>
        <w:rStyle w:val="Text"/>
      </w:rPr>
      <w:tab/>
    </w:r>
    <w:r w:rsidR="00CA7090" w:rsidRPr="00486248">
      <w:t xml:space="preserve">Page </w:t>
    </w:r>
    <w:r w:rsidR="00CA7090" w:rsidRPr="00486248">
      <w:fldChar w:fldCharType="begin"/>
    </w:r>
    <w:r w:rsidR="00CA7090" w:rsidRPr="00486248">
      <w:instrText xml:space="preserve"> PAGE </w:instrText>
    </w:r>
    <w:r w:rsidR="00CA7090" w:rsidRPr="00486248">
      <w:fldChar w:fldCharType="separate"/>
    </w:r>
    <w:r w:rsidR="00D623A7">
      <w:rPr>
        <w:noProof/>
      </w:rPr>
      <w:t>1</w:t>
    </w:r>
    <w:r w:rsidR="00CA7090" w:rsidRPr="00486248">
      <w:fldChar w:fldCharType="end"/>
    </w:r>
    <w:r w:rsidR="00CA7090" w:rsidRPr="00486248">
      <w:t xml:space="preserve"> </w:t>
    </w:r>
    <w:r w:rsidR="00CA7090" w:rsidRPr="00E8647F">
      <w:t xml:space="preserve">of </w:t>
    </w:r>
    <w:r w:rsidR="00CA7090">
      <w:rPr>
        <w:noProof/>
      </w:rPr>
      <w:fldChar w:fldCharType="begin"/>
    </w:r>
    <w:r w:rsidR="00CA7090">
      <w:rPr>
        <w:noProof/>
      </w:rPr>
      <w:instrText xml:space="preserve"> NUMPAGES </w:instrText>
    </w:r>
    <w:r w:rsidR="00CA7090">
      <w:rPr>
        <w:noProof/>
      </w:rPr>
      <w:fldChar w:fldCharType="separate"/>
    </w:r>
    <w:r w:rsidR="00D623A7">
      <w:rPr>
        <w:noProof/>
      </w:rPr>
      <w:t>27</w:t>
    </w:r>
    <w:r w:rsidR="00CA709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92BE" w14:textId="77777777" w:rsidR="00610C5B" w:rsidRDefault="00610C5B" w:rsidP="00FA03F2">
      <w:r>
        <w:separator/>
      </w:r>
    </w:p>
  </w:footnote>
  <w:footnote w:type="continuationSeparator" w:id="0">
    <w:p w14:paraId="3E3F7F14" w14:textId="77777777" w:rsidR="00610C5B" w:rsidRDefault="00610C5B" w:rsidP="00FA03F2">
      <w:r>
        <w:continuationSeparator/>
      </w:r>
    </w:p>
  </w:footnote>
  <w:footnote w:type="continuationNotice" w:id="1">
    <w:p w14:paraId="4A281AAE" w14:textId="77777777" w:rsidR="00610C5B" w:rsidRDefault="00610C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573612"/>
      <w:docPartObj>
        <w:docPartGallery w:val="Watermarks"/>
        <w:docPartUnique/>
      </w:docPartObj>
    </w:sdtPr>
    <w:sdtEndPr/>
    <w:sdtContent>
      <w:p w14:paraId="557D4BE0" w14:textId="491E01D2" w:rsidR="00CA7090" w:rsidRDefault="00026CB8" w:rsidP="00115560">
        <w:pPr>
          <w:pStyle w:val="Header"/>
          <w:jc w:val="center"/>
        </w:pPr>
        <w:r>
          <w:rPr>
            <w:noProof/>
          </w:rPr>
          <w:pict w14:anchorId="10BE0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420404"/>
      <w:docPartObj>
        <w:docPartGallery w:val="Watermarks"/>
        <w:docPartUnique/>
      </w:docPartObj>
    </w:sdtPr>
    <w:sdtEndPr/>
    <w:sdtContent>
      <w:p w14:paraId="18666247" w14:textId="77777777" w:rsidR="00D50322" w:rsidRDefault="00026CB8" w:rsidP="00D50322">
        <w:pPr>
          <w:pStyle w:val="Header"/>
          <w:jc w:val="center"/>
        </w:pPr>
        <w:r>
          <w:rPr>
            <w:noProof/>
          </w:rPr>
          <w:pict w14:anchorId="2519B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533247E3" w14:textId="0B7DE92E" w:rsidR="007863CE" w:rsidRDefault="007863CE" w:rsidP="007863CE">
    <w:pPr>
      <w:pStyle w:val="Header"/>
      <w:ind w:right="-1276"/>
      <w:jc w:val="right"/>
    </w:pPr>
    <w:r w:rsidRPr="007A74AC">
      <w:rPr>
        <w:noProof/>
        <w:lang w:eastAsia="en-GB"/>
      </w:rPr>
      <w:drawing>
        <wp:inline distT="0" distB="0" distL="0" distR="0" wp14:anchorId="68D4DF0B" wp14:editId="497D87EE">
          <wp:extent cx="2676525" cy="885825"/>
          <wp:effectExtent l="0" t="0" r="9525" b="9525"/>
          <wp:docPr id="9" name="Picture 9" descr="EA logo_PMSblac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 logo_PMSblac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885825"/>
                  </a:xfrm>
                  <a:prstGeom prst="rect">
                    <a:avLst/>
                  </a:prstGeom>
                  <a:noFill/>
                  <a:ln>
                    <a:noFill/>
                  </a:ln>
                </pic:spPr>
              </pic:pic>
            </a:graphicData>
          </a:graphic>
        </wp:inline>
      </w:drawing>
    </w:r>
  </w:p>
  <w:p w14:paraId="4AFCB451" w14:textId="77777777" w:rsidR="007863CE" w:rsidRDefault="007863CE" w:rsidP="007863CE">
    <w:pPr>
      <w:pStyle w:val="Title"/>
    </w:pPr>
    <w:r>
      <w:t>Permitting Decisions- Variation</w:t>
    </w:r>
  </w:p>
  <w:p w14:paraId="5B9E73FF" w14:textId="77777777" w:rsidR="007863CE" w:rsidRPr="007A74AC" w:rsidRDefault="007863CE" w:rsidP="007863CE">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0D37C9"/>
    <w:multiLevelType w:val="hybridMultilevel"/>
    <w:tmpl w:val="D7B4C7AA"/>
    <w:lvl w:ilvl="0" w:tplc="72D02CEC">
      <w:start w:val="1"/>
      <w:numFmt w:val="bullet"/>
      <w:lvlText w:val=""/>
      <w:lvlJc w:val="left"/>
      <w:pPr>
        <w:ind w:left="720" w:hanging="360"/>
      </w:pPr>
      <w:rPr>
        <w:rFonts w:ascii="Symbol" w:hAnsi="Symbol"/>
      </w:rPr>
    </w:lvl>
    <w:lvl w:ilvl="1" w:tplc="A2783DCA">
      <w:start w:val="1"/>
      <w:numFmt w:val="bullet"/>
      <w:lvlText w:val=""/>
      <w:lvlJc w:val="left"/>
      <w:pPr>
        <w:ind w:left="720" w:hanging="360"/>
      </w:pPr>
      <w:rPr>
        <w:rFonts w:ascii="Symbol" w:hAnsi="Symbol"/>
      </w:rPr>
    </w:lvl>
    <w:lvl w:ilvl="2" w:tplc="C9DA24D6">
      <w:start w:val="1"/>
      <w:numFmt w:val="bullet"/>
      <w:lvlText w:val=""/>
      <w:lvlJc w:val="left"/>
      <w:pPr>
        <w:ind w:left="720" w:hanging="360"/>
      </w:pPr>
      <w:rPr>
        <w:rFonts w:ascii="Symbol" w:hAnsi="Symbol"/>
      </w:rPr>
    </w:lvl>
    <w:lvl w:ilvl="3" w:tplc="AA1ECE08">
      <w:start w:val="1"/>
      <w:numFmt w:val="bullet"/>
      <w:lvlText w:val=""/>
      <w:lvlJc w:val="left"/>
      <w:pPr>
        <w:ind w:left="720" w:hanging="360"/>
      </w:pPr>
      <w:rPr>
        <w:rFonts w:ascii="Symbol" w:hAnsi="Symbol"/>
      </w:rPr>
    </w:lvl>
    <w:lvl w:ilvl="4" w:tplc="84A8AA3A">
      <w:start w:val="1"/>
      <w:numFmt w:val="bullet"/>
      <w:lvlText w:val=""/>
      <w:lvlJc w:val="left"/>
      <w:pPr>
        <w:ind w:left="720" w:hanging="360"/>
      </w:pPr>
      <w:rPr>
        <w:rFonts w:ascii="Symbol" w:hAnsi="Symbol"/>
      </w:rPr>
    </w:lvl>
    <w:lvl w:ilvl="5" w:tplc="08B66FEA">
      <w:start w:val="1"/>
      <w:numFmt w:val="bullet"/>
      <w:lvlText w:val=""/>
      <w:lvlJc w:val="left"/>
      <w:pPr>
        <w:ind w:left="720" w:hanging="360"/>
      </w:pPr>
      <w:rPr>
        <w:rFonts w:ascii="Symbol" w:hAnsi="Symbol"/>
      </w:rPr>
    </w:lvl>
    <w:lvl w:ilvl="6" w:tplc="CC325A0E">
      <w:start w:val="1"/>
      <w:numFmt w:val="bullet"/>
      <w:lvlText w:val=""/>
      <w:lvlJc w:val="left"/>
      <w:pPr>
        <w:ind w:left="720" w:hanging="360"/>
      </w:pPr>
      <w:rPr>
        <w:rFonts w:ascii="Symbol" w:hAnsi="Symbol"/>
      </w:rPr>
    </w:lvl>
    <w:lvl w:ilvl="7" w:tplc="206E712E">
      <w:start w:val="1"/>
      <w:numFmt w:val="bullet"/>
      <w:lvlText w:val=""/>
      <w:lvlJc w:val="left"/>
      <w:pPr>
        <w:ind w:left="720" w:hanging="360"/>
      </w:pPr>
      <w:rPr>
        <w:rFonts w:ascii="Symbol" w:hAnsi="Symbol"/>
      </w:rPr>
    </w:lvl>
    <w:lvl w:ilvl="8" w:tplc="5A42EFA4">
      <w:start w:val="1"/>
      <w:numFmt w:val="bullet"/>
      <w:lvlText w:val=""/>
      <w:lvlJc w:val="left"/>
      <w:pPr>
        <w:ind w:left="720" w:hanging="360"/>
      </w:pPr>
      <w:rPr>
        <w:rFonts w:ascii="Symbol" w:hAnsi="Symbol"/>
      </w:rPr>
    </w:lvl>
  </w:abstractNum>
  <w:abstractNum w:abstractNumId="2" w15:restartNumberingAfterBreak="0">
    <w:nsid w:val="13817DB7"/>
    <w:multiLevelType w:val="hybridMultilevel"/>
    <w:tmpl w:val="E1CE4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C04ABB"/>
    <w:multiLevelType w:val="hybridMultilevel"/>
    <w:tmpl w:val="564C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66298"/>
    <w:multiLevelType w:val="hybridMultilevel"/>
    <w:tmpl w:val="FB906726"/>
    <w:lvl w:ilvl="0" w:tplc="2F7E7C74">
      <w:start w:val="1"/>
      <w:numFmt w:val="decimal"/>
      <w:lvlText w:val="%1."/>
      <w:lvlJc w:val="left"/>
      <w:pPr>
        <w:ind w:left="644" w:hanging="360"/>
      </w:pPr>
      <w:rPr>
        <w:rFonts w:hint="default"/>
      </w:rPr>
    </w:lvl>
    <w:lvl w:ilvl="1" w:tplc="08090019">
      <w:start w:val="1"/>
      <w:numFmt w:val="lowerLetter"/>
      <w:lvlText w:val="%2."/>
      <w:lvlJc w:val="lef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BC0E45"/>
    <w:multiLevelType w:val="hybridMultilevel"/>
    <w:tmpl w:val="430E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F4802"/>
    <w:multiLevelType w:val="hybridMultilevel"/>
    <w:tmpl w:val="93B0711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F99473D"/>
    <w:multiLevelType w:val="multilevel"/>
    <w:tmpl w:val="29B20876"/>
    <w:lvl w:ilvl="0">
      <w:start w:val="1"/>
      <w:numFmt w:val="decimal"/>
      <w:lvlText w:val="%1."/>
      <w:lvlJc w:val="left"/>
      <w:pPr>
        <w:ind w:left="502" w:hanging="360"/>
      </w:pPr>
      <w:rPr>
        <w:rFonts w:hint="default"/>
      </w:rPr>
    </w:lvl>
    <w:lvl w:ilvl="1">
      <w:start w:val="20"/>
      <w:numFmt w:val="decimal"/>
      <w:isLgl/>
      <w:lvlText w:val="%1.%2."/>
      <w:lvlJc w:val="left"/>
      <w:pPr>
        <w:ind w:left="937" w:hanging="795"/>
      </w:pPr>
      <w:rPr>
        <w:rFonts w:hint="default"/>
      </w:rPr>
    </w:lvl>
    <w:lvl w:ilvl="2">
      <w:start w:val="6"/>
      <w:numFmt w:val="decimal"/>
      <w:isLgl/>
      <w:lvlText w:val="%1.%2.%3."/>
      <w:lvlJc w:val="left"/>
      <w:pPr>
        <w:ind w:left="937" w:hanging="795"/>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9" w15:restartNumberingAfterBreak="0">
    <w:nsid w:val="323A27F3"/>
    <w:multiLevelType w:val="hybridMultilevel"/>
    <w:tmpl w:val="EAD80BA0"/>
    <w:lvl w:ilvl="0" w:tplc="D536EF40">
      <w:start w:val="1"/>
      <w:numFmt w:val="bullet"/>
      <w:lvlText w:val="-"/>
      <w:lvlJc w:val="left"/>
      <w:pPr>
        <w:ind w:left="720" w:hanging="360"/>
      </w:pPr>
      <w:rPr>
        <w:rFonts w:ascii="Arial" w:eastAsia="Calibri" w:hAnsi="Arial"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9057F"/>
    <w:multiLevelType w:val="hybridMultilevel"/>
    <w:tmpl w:val="1EE0B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C1C96"/>
    <w:multiLevelType w:val="hybridMultilevel"/>
    <w:tmpl w:val="9FB6BB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045A7E"/>
    <w:multiLevelType w:val="hybridMultilevel"/>
    <w:tmpl w:val="D6809564"/>
    <w:lvl w:ilvl="0" w:tplc="A882F4CE">
      <w:start w:val="1"/>
      <w:numFmt w:val="bullet"/>
      <w:lvlText w:val=""/>
      <w:lvlJc w:val="left"/>
      <w:pPr>
        <w:ind w:left="720" w:hanging="360"/>
      </w:pPr>
      <w:rPr>
        <w:rFonts w:ascii="Symbol" w:hAnsi="Symbol"/>
      </w:rPr>
    </w:lvl>
    <w:lvl w:ilvl="1" w:tplc="13EA3C9A">
      <w:start w:val="1"/>
      <w:numFmt w:val="bullet"/>
      <w:lvlText w:val=""/>
      <w:lvlJc w:val="left"/>
      <w:pPr>
        <w:ind w:left="720" w:hanging="360"/>
      </w:pPr>
      <w:rPr>
        <w:rFonts w:ascii="Symbol" w:hAnsi="Symbol"/>
      </w:rPr>
    </w:lvl>
    <w:lvl w:ilvl="2" w:tplc="55144DE0">
      <w:start w:val="1"/>
      <w:numFmt w:val="bullet"/>
      <w:lvlText w:val=""/>
      <w:lvlJc w:val="left"/>
      <w:pPr>
        <w:ind w:left="720" w:hanging="360"/>
      </w:pPr>
      <w:rPr>
        <w:rFonts w:ascii="Symbol" w:hAnsi="Symbol"/>
      </w:rPr>
    </w:lvl>
    <w:lvl w:ilvl="3" w:tplc="06347002">
      <w:start w:val="1"/>
      <w:numFmt w:val="bullet"/>
      <w:lvlText w:val=""/>
      <w:lvlJc w:val="left"/>
      <w:pPr>
        <w:ind w:left="720" w:hanging="360"/>
      </w:pPr>
      <w:rPr>
        <w:rFonts w:ascii="Symbol" w:hAnsi="Symbol"/>
      </w:rPr>
    </w:lvl>
    <w:lvl w:ilvl="4" w:tplc="94064F02">
      <w:start w:val="1"/>
      <w:numFmt w:val="bullet"/>
      <w:lvlText w:val=""/>
      <w:lvlJc w:val="left"/>
      <w:pPr>
        <w:ind w:left="720" w:hanging="360"/>
      </w:pPr>
      <w:rPr>
        <w:rFonts w:ascii="Symbol" w:hAnsi="Symbol"/>
      </w:rPr>
    </w:lvl>
    <w:lvl w:ilvl="5" w:tplc="5A967FB0">
      <w:start w:val="1"/>
      <w:numFmt w:val="bullet"/>
      <w:lvlText w:val=""/>
      <w:lvlJc w:val="left"/>
      <w:pPr>
        <w:ind w:left="720" w:hanging="360"/>
      </w:pPr>
      <w:rPr>
        <w:rFonts w:ascii="Symbol" w:hAnsi="Symbol"/>
      </w:rPr>
    </w:lvl>
    <w:lvl w:ilvl="6" w:tplc="24786956">
      <w:start w:val="1"/>
      <w:numFmt w:val="bullet"/>
      <w:lvlText w:val=""/>
      <w:lvlJc w:val="left"/>
      <w:pPr>
        <w:ind w:left="720" w:hanging="360"/>
      </w:pPr>
      <w:rPr>
        <w:rFonts w:ascii="Symbol" w:hAnsi="Symbol"/>
      </w:rPr>
    </w:lvl>
    <w:lvl w:ilvl="7" w:tplc="702A87C6">
      <w:start w:val="1"/>
      <w:numFmt w:val="bullet"/>
      <w:lvlText w:val=""/>
      <w:lvlJc w:val="left"/>
      <w:pPr>
        <w:ind w:left="720" w:hanging="360"/>
      </w:pPr>
      <w:rPr>
        <w:rFonts w:ascii="Symbol" w:hAnsi="Symbol"/>
      </w:rPr>
    </w:lvl>
    <w:lvl w:ilvl="8" w:tplc="2652718E">
      <w:start w:val="1"/>
      <w:numFmt w:val="bullet"/>
      <w:lvlText w:val=""/>
      <w:lvlJc w:val="left"/>
      <w:pPr>
        <w:ind w:left="720" w:hanging="360"/>
      </w:pPr>
      <w:rPr>
        <w:rFonts w:ascii="Symbol" w:hAnsi="Symbol"/>
      </w:rPr>
    </w:lvl>
  </w:abstractNum>
  <w:abstractNum w:abstractNumId="13" w15:restartNumberingAfterBreak="0">
    <w:nsid w:val="4B9D124D"/>
    <w:multiLevelType w:val="hybridMultilevel"/>
    <w:tmpl w:val="900C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B6A12"/>
    <w:multiLevelType w:val="hybridMultilevel"/>
    <w:tmpl w:val="F2C4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30C99"/>
    <w:multiLevelType w:val="hybridMultilevel"/>
    <w:tmpl w:val="1A42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B6CF6"/>
    <w:multiLevelType w:val="hybridMultilevel"/>
    <w:tmpl w:val="AA7608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CB3082F"/>
    <w:multiLevelType w:val="hybridMultilevel"/>
    <w:tmpl w:val="62F4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9908B6"/>
    <w:multiLevelType w:val="hybridMultilevel"/>
    <w:tmpl w:val="B36019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F8355A"/>
    <w:multiLevelType w:val="hybridMultilevel"/>
    <w:tmpl w:val="940647D8"/>
    <w:lvl w:ilvl="0" w:tplc="8182C286">
      <w:start w:val="1"/>
      <w:numFmt w:val="decimal"/>
      <w:pStyle w:val="ListParagraph"/>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1" w15:restartNumberingAfterBreak="0">
    <w:nsid w:val="5EEF5493"/>
    <w:multiLevelType w:val="hybridMultilevel"/>
    <w:tmpl w:val="B63CC4D8"/>
    <w:lvl w:ilvl="0" w:tplc="C0C494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EF3F73"/>
    <w:multiLevelType w:val="hybridMultilevel"/>
    <w:tmpl w:val="C90EAA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0C5756"/>
    <w:multiLevelType w:val="hybridMultilevel"/>
    <w:tmpl w:val="A428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1A3B45"/>
    <w:multiLevelType w:val="hybridMultilevel"/>
    <w:tmpl w:val="55B2F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1417B3"/>
    <w:multiLevelType w:val="hybridMultilevel"/>
    <w:tmpl w:val="E76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64BB3"/>
    <w:multiLevelType w:val="hybridMultilevel"/>
    <w:tmpl w:val="B952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E0680F"/>
    <w:multiLevelType w:val="hybridMultilevel"/>
    <w:tmpl w:val="96629A26"/>
    <w:lvl w:ilvl="0" w:tplc="C37C266A">
      <w:start w:val="5"/>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7801F7"/>
    <w:multiLevelType w:val="hybridMultilevel"/>
    <w:tmpl w:val="1C3C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640746">
    <w:abstractNumId w:val="25"/>
  </w:num>
  <w:num w:numId="2" w16cid:durableId="239217906">
    <w:abstractNumId w:val="0"/>
  </w:num>
  <w:num w:numId="3" w16cid:durableId="2062096579">
    <w:abstractNumId w:val="17"/>
  </w:num>
  <w:num w:numId="4" w16cid:durableId="14813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1229">
    <w:abstractNumId w:val="20"/>
  </w:num>
  <w:num w:numId="6" w16cid:durableId="2117208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8983936">
    <w:abstractNumId w:val="13"/>
  </w:num>
  <w:num w:numId="8" w16cid:durableId="1435438082">
    <w:abstractNumId w:val="19"/>
  </w:num>
  <w:num w:numId="9" w16cid:durableId="896358462">
    <w:abstractNumId w:val="21"/>
  </w:num>
  <w:num w:numId="10" w16cid:durableId="1051417872">
    <w:abstractNumId w:val="24"/>
  </w:num>
  <w:num w:numId="11" w16cid:durableId="783040993">
    <w:abstractNumId w:val="9"/>
  </w:num>
  <w:num w:numId="12" w16cid:durableId="72318641">
    <w:abstractNumId w:val="7"/>
  </w:num>
  <w:num w:numId="13" w16cid:durableId="1050493004">
    <w:abstractNumId w:val="8"/>
  </w:num>
  <w:num w:numId="14" w16cid:durableId="468323111">
    <w:abstractNumId w:val="28"/>
  </w:num>
  <w:num w:numId="15" w16cid:durableId="492916056">
    <w:abstractNumId w:val="5"/>
  </w:num>
  <w:num w:numId="16" w16cid:durableId="1072969815">
    <w:abstractNumId w:val="11"/>
  </w:num>
  <w:num w:numId="17" w16cid:durableId="2108697055">
    <w:abstractNumId w:val="22"/>
  </w:num>
  <w:num w:numId="18" w16cid:durableId="1209951052">
    <w:abstractNumId w:val="10"/>
  </w:num>
  <w:num w:numId="19" w16cid:durableId="996493162">
    <w:abstractNumId w:val="4"/>
  </w:num>
  <w:num w:numId="20" w16cid:durableId="657154413">
    <w:abstractNumId w:val="14"/>
  </w:num>
  <w:num w:numId="21" w16cid:durableId="853686187">
    <w:abstractNumId w:val="18"/>
  </w:num>
  <w:num w:numId="22" w16cid:durableId="61762142">
    <w:abstractNumId w:val="23"/>
  </w:num>
  <w:num w:numId="23" w16cid:durableId="2084789937">
    <w:abstractNumId w:val="3"/>
  </w:num>
  <w:num w:numId="24" w16cid:durableId="1239637784">
    <w:abstractNumId w:val="27"/>
  </w:num>
  <w:num w:numId="25" w16cid:durableId="1413119260">
    <w:abstractNumId w:val="2"/>
  </w:num>
  <w:num w:numId="26" w16cid:durableId="1065031101">
    <w:abstractNumId w:val="6"/>
  </w:num>
  <w:num w:numId="27" w16cid:durableId="2086954030">
    <w:abstractNumId w:val="26"/>
  </w:num>
  <w:num w:numId="28" w16cid:durableId="1732458001">
    <w:abstractNumId w:val="29"/>
  </w:num>
  <w:num w:numId="29" w16cid:durableId="1541017843">
    <w:abstractNumId w:val="12"/>
  </w:num>
  <w:num w:numId="30" w16cid:durableId="332270669">
    <w:abstractNumId w:val="1"/>
  </w:num>
  <w:num w:numId="31" w16cid:durableId="149294852">
    <w:abstractNumId w:val="15"/>
  </w:num>
  <w:num w:numId="32" w16cid:durableId="89994059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0"/>
  <w:defaultTabStop w:val="720"/>
  <w:defaultTableStyle w:val="Table"/>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1D602D3-8DCB-4F6C-88A7-87781606246D}"/>
    <w:docVar w:name="dgnword-eventsink" w:val="2080033370800"/>
  </w:docVars>
  <w:rsids>
    <w:rsidRoot w:val="00FA03F2"/>
    <w:rsid w:val="00000675"/>
    <w:rsid w:val="00003092"/>
    <w:rsid w:val="0000418C"/>
    <w:rsid w:val="00011BB7"/>
    <w:rsid w:val="0001277C"/>
    <w:rsid w:val="00012A4C"/>
    <w:rsid w:val="00012B43"/>
    <w:rsid w:val="00013F26"/>
    <w:rsid w:val="00014973"/>
    <w:rsid w:val="00016979"/>
    <w:rsid w:val="000238A2"/>
    <w:rsid w:val="00023A24"/>
    <w:rsid w:val="00023CD1"/>
    <w:rsid w:val="00023F4C"/>
    <w:rsid w:val="000269BA"/>
    <w:rsid w:val="00026CB8"/>
    <w:rsid w:val="00031CB0"/>
    <w:rsid w:val="0003394D"/>
    <w:rsid w:val="000353F1"/>
    <w:rsid w:val="000355E8"/>
    <w:rsid w:val="00035D62"/>
    <w:rsid w:val="000361C8"/>
    <w:rsid w:val="0003672B"/>
    <w:rsid w:val="000373D6"/>
    <w:rsid w:val="00037FCD"/>
    <w:rsid w:val="00040A2F"/>
    <w:rsid w:val="00042563"/>
    <w:rsid w:val="00042D05"/>
    <w:rsid w:val="00045D6A"/>
    <w:rsid w:val="00045E97"/>
    <w:rsid w:val="00051964"/>
    <w:rsid w:val="00051D36"/>
    <w:rsid w:val="00053339"/>
    <w:rsid w:val="00053B7C"/>
    <w:rsid w:val="0005485B"/>
    <w:rsid w:val="00054897"/>
    <w:rsid w:val="00054F71"/>
    <w:rsid w:val="0006311C"/>
    <w:rsid w:val="00063558"/>
    <w:rsid w:val="00065CB7"/>
    <w:rsid w:val="0006614C"/>
    <w:rsid w:val="00070506"/>
    <w:rsid w:val="00086853"/>
    <w:rsid w:val="000906FB"/>
    <w:rsid w:val="00090AB6"/>
    <w:rsid w:val="00091276"/>
    <w:rsid w:val="00091518"/>
    <w:rsid w:val="00095948"/>
    <w:rsid w:val="00097E80"/>
    <w:rsid w:val="000A208B"/>
    <w:rsid w:val="000B191B"/>
    <w:rsid w:val="000B25A0"/>
    <w:rsid w:val="000B311C"/>
    <w:rsid w:val="000B4A76"/>
    <w:rsid w:val="000B739C"/>
    <w:rsid w:val="000B74ED"/>
    <w:rsid w:val="000C0292"/>
    <w:rsid w:val="000C14C9"/>
    <w:rsid w:val="000C18D6"/>
    <w:rsid w:val="000C4695"/>
    <w:rsid w:val="000C55EA"/>
    <w:rsid w:val="000C7E35"/>
    <w:rsid w:val="000D0A57"/>
    <w:rsid w:val="000D788D"/>
    <w:rsid w:val="000D79F4"/>
    <w:rsid w:val="000E0EEB"/>
    <w:rsid w:val="000E138F"/>
    <w:rsid w:val="000E41A9"/>
    <w:rsid w:val="000E4A00"/>
    <w:rsid w:val="000F1F95"/>
    <w:rsid w:val="000F21F1"/>
    <w:rsid w:val="000F4820"/>
    <w:rsid w:val="000F6379"/>
    <w:rsid w:val="000F6887"/>
    <w:rsid w:val="000F6A8B"/>
    <w:rsid w:val="000F76A0"/>
    <w:rsid w:val="00100F2A"/>
    <w:rsid w:val="00104E76"/>
    <w:rsid w:val="0010535D"/>
    <w:rsid w:val="00106C16"/>
    <w:rsid w:val="00111976"/>
    <w:rsid w:val="0011224E"/>
    <w:rsid w:val="00113872"/>
    <w:rsid w:val="00113D50"/>
    <w:rsid w:val="00115469"/>
    <w:rsid w:val="00115560"/>
    <w:rsid w:val="00121B65"/>
    <w:rsid w:val="00123F9F"/>
    <w:rsid w:val="00124E19"/>
    <w:rsid w:val="00125821"/>
    <w:rsid w:val="00131296"/>
    <w:rsid w:val="001342C0"/>
    <w:rsid w:val="0013476B"/>
    <w:rsid w:val="001360D3"/>
    <w:rsid w:val="00136498"/>
    <w:rsid w:val="00137398"/>
    <w:rsid w:val="001377B6"/>
    <w:rsid w:val="0014304D"/>
    <w:rsid w:val="00144816"/>
    <w:rsid w:val="00144BA0"/>
    <w:rsid w:val="00144F75"/>
    <w:rsid w:val="00147900"/>
    <w:rsid w:val="00147A24"/>
    <w:rsid w:val="001557C4"/>
    <w:rsid w:val="00155EDA"/>
    <w:rsid w:val="0015793F"/>
    <w:rsid w:val="0016015B"/>
    <w:rsid w:val="00164579"/>
    <w:rsid w:val="0016748A"/>
    <w:rsid w:val="00170C45"/>
    <w:rsid w:val="00171066"/>
    <w:rsid w:val="00171470"/>
    <w:rsid w:val="00172F35"/>
    <w:rsid w:val="001732D5"/>
    <w:rsid w:val="00174209"/>
    <w:rsid w:val="0017447F"/>
    <w:rsid w:val="00181992"/>
    <w:rsid w:val="00182289"/>
    <w:rsid w:val="00183C86"/>
    <w:rsid w:val="00187291"/>
    <w:rsid w:val="00190286"/>
    <w:rsid w:val="00190412"/>
    <w:rsid w:val="001942CE"/>
    <w:rsid w:val="001A0777"/>
    <w:rsid w:val="001A1422"/>
    <w:rsid w:val="001A1A6B"/>
    <w:rsid w:val="001A37AE"/>
    <w:rsid w:val="001A560C"/>
    <w:rsid w:val="001A6ECA"/>
    <w:rsid w:val="001B1F6A"/>
    <w:rsid w:val="001B3925"/>
    <w:rsid w:val="001B3926"/>
    <w:rsid w:val="001B466F"/>
    <w:rsid w:val="001B4AF7"/>
    <w:rsid w:val="001B547B"/>
    <w:rsid w:val="001C0A31"/>
    <w:rsid w:val="001C361E"/>
    <w:rsid w:val="001C45ED"/>
    <w:rsid w:val="001C47A3"/>
    <w:rsid w:val="001C5060"/>
    <w:rsid w:val="001C5D6A"/>
    <w:rsid w:val="001C60B3"/>
    <w:rsid w:val="001C6530"/>
    <w:rsid w:val="001C721B"/>
    <w:rsid w:val="001C7ECF"/>
    <w:rsid w:val="001D0224"/>
    <w:rsid w:val="001E01B1"/>
    <w:rsid w:val="001E2B48"/>
    <w:rsid w:val="001E3C95"/>
    <w:rsid w:val="001E4639"/>
    <w:rsid w:val="001E4CA4"/>
    <w:rsid w:val="001E5A7A"/>
    <w:rsid w:val="001E656C"/>
    <w:rsid w:val="001F198F"/>
    <w:rsid w:val="001F1B86"/>
    <w:rsid w:val="001F1CFD"/>
    <w:rsid w:val="001F50AD"/>
    <w:rsid w:val="001F7860"/>
    <w:rsid w:val="001F7D7C"/>
    <w:rsid w:val="00200647"/>
    <w:rsid w:val="00202495"/>
    <w:rsid w:val="00203496"/>
    <w:rsid w:val="00203F6D"/>
    <w:rsid w:val="002048D5"/>
    <w:rsid w:val="0020547C"/>
    <w:rsid w:val="002057E5"/>
    <w:rsid w:val="00205E33"/>
    <w:rsid w:val="0020660A"/>
    <w:rsid w:val="0020663C"/>
    <w:rsid w:val="002069BD"/>
    <w:rsid w:val="00212370"/>
    <w:rsid w:val="0021245A"/>
    <w:rsid w:val="00212E19"/>
    <w:rsid w:val="0022052E"/>
    <w:rsid w:val="00223DD8"/>
    <w:rsid w:val="002241E4"/>
    <w:rsid w:val="0022562D"/>
    <w:rsid w:val="002267D9"/>
    <w:rsid w:val="002338E3"/>
    <w:rsid w:val="00235496"/>
    <w:rsid w:val="0024114F"/>
    <w:rsid w:val="002424EB"/>
    <w:rsid w:val="00247F64"/>
    <w:rsid w:val="002538CF"/>
    <w:rsid w:val="0025457C"/>
    <w:rsid w:val="0025494D"/>
    <w:rsid w:val="00254B86"/>
    <w:rsid w:val="00255DAB"/>
    <w:rsid w:val="00261292"/>
    <w:rsid w:val="0026439A"/>
    <w:rsid w:val="0026522E"/>
    <w:rsid w:val="002712C8"/>
    <w:rsid w:val="0027236C"/>
    <w:rsid w:val="00272635"/>
    <w:rsid w:val="002733C3"/>
    <w:rsid w:val="0027385E"/>
    <w:rsid w:val="00274147"/>
    <w:rsid w:val="002744D5"/>
    <w:rsid w:val="00274603"/>
    <w:rsid w:val="00282A03"/>
    <w:rsid w:val="00283CE5"/>
    <w:rsid w:val="00284E80"/>
    <w:rsid w:val="002861AD"/>
    <w:rsid w:val="00286215"/>
    <w:rsid w:val="00287C0E"/>
    <w:rsid w:val="00292386"/>
    <w:rsid w:val="002A0F2E"/>
    <w:rsid w:val="002A1EC2"/>
    <w:rsid w:val="002A2237"/>
    <w:rsid w:val="002A269D"/>
    <w:rsid w:val="002A37D9"/>
    <w:rsid w:val="002B0ACC"/>
    <w:rsid w:val="002B13C4"/>
    <w:rsid w:val="002B213D"/>
    <w:rsid w:val="002B4A5E"/>
    <w:rsid w:val="002B5380"/>
    <w:rsid w:val="002B5C2C"/>
    <w:rsid w:val="002C01D9"/>
    <w:rsid w:val="002C27C7"/>
    <w:rsid w:val="002C31F3"/>
    <w:rsid w:val="002C480D"/>
    <w:rsid w:val="002C48B3"/>
    <w:rsid w:val="002C494B"/>
    <w:rsid w:val="002C54F2"/>
    <w:rsid w:val="002C5CF5"/>
    <w:rsid w:val="002C7309"/>
    <w:rsid w:val="002C77F2"/>
    <w:rsid w:val="002C7BB9"/>
    <w:rsid w:val="002D0110"/>
    <w:rsid w:val="002D194E"/>
    <w:rsid w:val="002D4539"/>
    <w:rsid w:val="002D479F"/>
    <w:rsid w:val="002D6623"/>
    <w:rsid w:val="002D7F79"/>
    <w:rsid w:val="002E0F1E"/>
    <w:rsid w:val="002E34AE"/>
    <w:rsid w:val="002E43B4"/>
    <w:rsid w:val="002E73B7"/>
    <w:rsid w:val="002E77C5"/>
    <w:rsid w:val="002F1889"/>
    <w:rsid w:val="002F18D2"/>
    <w:rsid w:val="002F2652"/>
    <w:rsid w:val="002F2C31"/>
    <w:rsid w:val="002F6295"/>
    <w:rsid w:val="002F6411"/>
    <w:rsid w:val="002F6967"/>
    <w:rsid w:val="00306183"/>
    <w:rsid w:val="00310DA3"/>
    <w:rsid w:val="00313639"/>
    <w:rsid w:val="00316812"/>
    <w:rsid w:val="003177F4"/>
    <w:rsid w:val="003213E4"/>
    <w:rsid w:val="0032146A"/>
    <w:rsid w:val="00323E8A"/>
    <w:rsid w:val="00326B56"/>
    <w:rsid w:val="0032723D"/>
    <w:rsid w:val="003276A1"/>
    <w:rsid w:val="00327B4F"/>
    <w:rsid w:val="00327F40"/>
    <w:rsid w:val="00327F64"/>
    <w:rsid w:val="003308C7"/>
    <w:rsid w:val="00331272"/>
    <w:rsid w:val="00332F7A"/>
    <w:rsid w:val="00335A9D"/>
    <w:rsid w:val="00335B85"/>
    <w:rsid w:val="0034027D"/>
    <w:rsid w:val="003425A8"/>
    <w:rsid w:val="003438D6"/>
    <w:rsid w:val="00346B28"/>
    <w:rsid w:val="00346E45"/>
    <w:rsid w:val="00347906"/>
    <w:rsid w:val="00347D08"/>
    <w:rsid w:val="003502E3"/>
    <w:rsid w:val="00352303"/>
    <w:rsid w:val="00364A8E"/>
    <w:rsid w:val="003674A9"/>
    <w:rsid w:val="003753FC"/>
    <w:rsid w:val="00375F7E"/>
    <w:rsid w:val="0037754C"/>
    <w:rsid w:val="00380A08"/>
    <w:rsid w:val="0038142C"/>
    <w:rsid w:val="00383EFC"/>
    <w:rsid w:val="003842D1"/>
    <w:rsid w:val="003848FA"/>
    <w:rsid w:val="003852CA"/>
    <w:rsid w:val="00385BFE"/>
    <w:rsid w:val="003902B5"/>
    <w:rsid w:val="00390782"/>
    <w:rsid w:val="00392833"/>
    <w:rsid w:val="00394363"/>
    <w:rsid w:val="00396EC6"/>
    <w:rsid w:val="003A4982"/>
    <w:rsid w:val="003A6A24"/>
    <w:rsid w:val="003B2433"/>
    <w:rsid w:val="003B4678"/>
    <w:rsid w:val="003B4B82"/>
    <w:rsid w:val="003B7BA7"/>
    <w:rsid w:val="003C182A"/>
    <w:rsid w:val="003C525C"/>
    <w:rsid w:val="003C59ED"/>
    <w:rsid w:val="003C5CF1"/>
    <w:rsid w:val="003D0773"/>
    <w:rsid w:val="003D2FB8"/>
    <w:rsid w:val="003D3E9D"/>
    <w:rsid w:val="003D4AE5"/>
    <w:rsid w:val="003D4C7A"/>
    <w:rsid w:val="003D5042"/>
    <w:rsid w:val="003D76FD"/>
    <w:rsid w:val="003D78E0"/>
    <w:rsid w:val="003E0319"/>
    <w:rsid w:val="003E0D0E"/>
    <w:rsid w:val="003E1704"/>
    <w:rsid w:val="003E231E"/>
    <w:rsid w:val="003E4973"/>
    <w:rsid w:val="003E5B9B"/>
    <w:rsid w:val="003E71A8"/>
    <w:rsid w:val="003E7D9A"/>
    <w:rsid w:val="003F11E7"/>
    <w:rsid w:val="003F30A2"/>
    <w:rsid w:val="003F5FF5"/>
    <w:rsid w:val="003F6D8E"/>
    <w:rsid w:val="004014D1"/>
    <w:rsid w:val="00405D7D"/>
    <w:rsid w:val="004077D5"/>
    <w:rsid w:val="004079BF"/>
    <w:rsid w:val="00410145"/>
    <w:rsid w:val="00410C13"/>
    <w:rsid w:val="00411FF9"/>
    <w:rsid w:val="00412E7D"/>
    <w:rsid w:val="00417950"/>
    <w:rsid w:val="00423A29"/>
    <w:rsid w:val="0042795C"/>
    <w:rsid w:val="00427A25"/>
    <w:rsid w:val="0043005C"/>
    <w:rsid w:val="004307C4"/>
    <w:rsid w:val="00432485"/>
    <w:rsid w:val="00433450"/>
    <w:rsid w:val="00437DC4"/>
    <w:rsid w:val="00441F31"/>
    <w:rsid w:val="00451074"/>
    <w:rsid w:val="004536FB"/>
    <w:rsid w:val="00456E58"/>
    <w:rsid w:val="00457225"/>
    <w:rsid w:val="00461315"/>
    <w:rsid w:val="00461562"/>
    <w:rsid w:val="00461C42"/>
    <w:rsid w:val="00462BF1"/>
    <w:rsid w:val="0046550E"/>
    <w:rsid w:val="0046572C"/>
    <w:rsid w:val="00466071"/>
    <w:rsid w:val="00466725"/>
    <w:rsid w:val="004669D7"/>
    <w:rsid w:val="00467F9C"/>
    <w:rsid w:val="004767FA"/>
    <w:rsid w:val="004802E3"/>
    <w:rsid w:val="00482006"/>
    <w:rsid w:val="00483886"/>
    <w:rsid w:val="00484B55"/>
    <w:rsid w:val="004857C5"/>
    <w:rsid w:val="00485ABD"/>
    <w:rsid w:val="004901DD"/>
    <w:rsid w:val="00490432"/>
    <w:rsid w:val="004914F6"/>
    <w:rsid w:val="0049295F"/>
    <w:rsid w:val="00493ECD"/>
    <w:rsid w:val="00496FBD"/>
    <w:rsid w:val="004A6656"/>
    <w:rsid w:val="004A670B"/>
    <w:rsid w:val="004A76B8"/>
    <w:rsid w:val="004B108A"/>
    <w:rsid w:val="004B130D"/>
    <w:rsid w:val="004B5950"/>
    <w:rsid w:val="004B6EF5"/>
    <w:rsid w:val="004B738D"/>
    <w:rsid w:val="004B788B"/>
    <w:rsid w:val="004C0A31"/>
    <w:rsid w:val="004D1126"/>
    <w:rsid w:val="004D5E0F"/>
    <w:rsid w:val="004E2919"/>
    <w:rsid w:val="004E34CD"/>
    <w:rsid w:val="004E4CEB"/>
    <w:rsid w:val="004E4E22"/>
    <w:rsid w:val="004E6EA2"/>
    <w:rsid w:val="004F231F"/>
    <w:rsid w:val="004F49D0"/>
    <w:rsid w:val="004F4ABA"/>
    <w:rsid w:val="004F6026"/>
    <w:rsid w:val="004F7DF8"/>
    <w:rsid w:val="0050416E"/>
    <w:rsid w:val="0050421E"/>
    <w:rsid w:val="00505DB1"/>
    <w:rsid w:val="00505F94"/>
    <w:rsid w:val="00506CDD"/>
    <w:rsid w:val="005104C7"/>
    <w:rsid w:val="005109E0"/>
    <w:rsid w:val="005118B4"/>
    <w:rsid w:val="00511BD3"/>
    <w:rsid w:val="0051321F"/>
    <w:rsid w:val="005150F6"/>
    <w:rsid w:val="00515B39"/>
    <w:rsid w:val="005160FB"/>
    <w:rsid w:val="00517C40"/>
    <w:rsid w:val="00525FFC"/>
    <w:rsid w:val="005270BA"/>
    <w:rsid w:val="00527AAD"/>
    <w:rsid w:val="00531416"/>
    <w:rsid w:val="005314BA"/>
    <w:rsid w:val="005319FA"/>
    <w:rsid w:val="00532B8B"/>
    <w:rsid w:val="00537001"/>
    <w:rsid w:val="00541724"/>
    <w:rsid w:val="00542408"/>
    <w:rsid w:val="005425CB"/>
    <w:rsid w:val="00542F73"/>
    <w:rsid w:val="00546B1B"/>
    <w:rsid w:val="005528F6"/>
    <w:rsid w:val="00554636"/>
    <w:rsid w:val="00556746"/>
    <w:rsid w:val="005570CD"/>
    <w:rsid w:val="00562071"/>
    <w:rsid w:val="0056222B"/>
    <w:rsid w:val="00562399"/>
    <w:rsid w:val="00565CB5"/>
    <w:rsid w:val="0056640C"/>
    <w:rsid w:val="00567762"/>
    <w:rsid w:val="005738EA"/>
    <w:rsid w:val="00575EE0"/>
    <w:rsid w:val="005770AC"/>
    <w:rsid w:val="00581A69"/>
    <w:rsid w:val="005837F8"/>
    <w:rsid w:val="00583B43"/>
    <w:rsid w:val="00585F1C"/>
    <w:rsid w:val="00591925"/>
    <w:rsid w:val="00591AF7"/>
    <w:rsid w:val="00592FD8"/>
    <w:rsid w:val="00596DCB"/>
    <w:rsid w:val="005A5C93"/>
    <w:rsid w:val="005A5F2D"/>
    <w:rsid w:val="005A62DD"/>
    <w:rsid w:val="005A6723"/>
    <w:rsid w:val="005B4281"/>
    <w:rsid w:val="005B465F"/>
    <w:rsid w:val="005B505E"/>
    <w:rsid w:val="005B5861"/>
    <w:rsid w:val="005B5B6F"/>
    <w:rsid w:val="005B78D4"/>
    <w:rsid w:val="005C01BE"/>
    <w:rsid w:val="005C3BA8"/>
    <w:rsid w:val="005C5959"/>
    <w:rsid w:val="005D073A"/>
    <w:rsid w:val="005D0E22"/>
    <w:rsid w:val="005D270C"/>
    <w:rsid w:val="005D270E"/>
    <w:rsid w:val="005D5670"/>
    <w:rsid w:val="005D6881"/>
    <w:rsid w:val="005E09FD"/>
    <w:rsid w:val="005E11F4"/>
    <w:rsid w:val="005E2847"/>
    <w:rsid w:val="005E457A"/>
    <w:rsid w:val="005E4B3B"/>
    <w:rsid w:val="005E6FE4"/>
    <w:rsid w:val="005F1AC9"/>
    <w:rsid w:val="005F2419"/>
    <w:rsid w:val="005F2581"/>
    <w:rsid w:val="005F3085"/>
    <w:rsid w:val="005F3F22"/>
    <w:rsid w:val="005F4A58"/>
    <w:rsid w:val="005F7171"/>
    <w:rsid w:val="005F789A"/>
    <w:rsid w:val="00602A58"/>
    <w:rsid w:val="0060302D"/>
    <w:rsid w:val="006043D3"/>
    <w:rsid w:val="00604645"/>
    <w:rsid w:val="006048B3"/>
    <w:rsid w:val="006074DC"/>
    <w:rsid w:val="00610C5B"/>
    <w:rsid w:val="006179A4"/>
    <w:rsid w:val="00621AAF"/>
    <w:rsid w:val="00621EBE"/>
    <w:rsid w:val="0062278F"/>
    <w:rsid w:val="00623218"/>
    <w:rsid w:val="00626DA0"/>
    <w:rsid w:val="0063190D"/>
    <w:rsid w:val="006358A6"/>
    <w:rsid w:val="006404F4"/>
    <w:rsid w:val="00642E51"/>
    <w:rsid w:val="00643932"/>
    <w:rsid w:val="0064611F"/>
    <w:rsid w:val="00646324"/>
    <w:rsid w:val="00646936"/>
    <w:rsid w:val="00650F37"/>
    <w:rsid w:val="006571F7"/>
    <w:rsid w:val="00660A6E"/>
    <w:rsid w:val="006647A0"/>
    <w:rsid w:val="006649D0"/>
    <w:rsid w:val="00664E21"/>
    <w:rsid w:val="006652CD"/>
    <w:rsid w:val="0066592B"/>
    <w:rsid w:val="00665F12"/>
    <w:rsid w:val="00666CD5"/>
    <w:rsid w:val="0067050A"/>
    <w:rsid w:val="0067080A"/>
    <w:rsid w:val="006714DE"/>
    <w:rsid w:val="00674AD9"/>
    <w:rsid w:val="00675276"/>
    <w:rsid w:val="006759FB"/>
    <w:rsid w:val="00677361"/>
    <w:rsid w:val="00682405"/>
    <w:rsid w:val="006858EF"/>
    <w:rsid w:val="00686CEF"/>
    <w:rsid w:val="0068769C"/>
    <w:rsid w:val="00687ECC"/>
    <w:rsid w:val="0069273C"/>
    <w:rsid w:val="00692AB2"/>
    <w:rsid w:val="006943FC"/>
    <w:rsid w:val="00695140"/>
    <w:rsid w:val="006A21BD"/>
    <w:rsid w:val="006A2714"/>
    <w:rsid w:val="006A3899"/>
    <w:rsid w:val="006A47E9"/>
    <w:rsid w:val="006A53CB"/>
    <w:rsid w:val="006A7B5C"/>
    <w:rsid w:val="006B0430"/>
    <w:rsid w:val="006B06DA"/>
    <w:rsid w:val="006B2224"/>
    <w:rsid w:val="006B244C"/>
    <w:rsid w:val="006B28CA"/>
    <w:rsid w:val="006B3D02"/>
    <w:rsid w:val="006C1718"/>
    <w:rsid w:val="006C19A4"/>
    <w:rsid w:val="006C1A17"/>
    <w:rsid w:val="006C1C16"/>
    <w:rsid w:val="006C45B6"/>
    <w:rsid w:val="006C6BD3"/>
    <w:rsid w:val="006C7807"/>
    <w:rsid w:val="006D0383"/>
    <w:rsid w:val="006D0934"/>
    <w:rsid w:val="006D0A49"/>
    <w:rsid w:val="006D11D5"/>
    <w:rsid w:val="006D3320"/>
    <w:rsid w:val="006D6045"/>
    <w:rsid w:val="006D6546"/>
    <w:rsid w:val="006D7665"/>
    <w:rsid w:val="006D7EEE"/>
    <w:rsid w:val="006E1324"/>
    <w:rsid w:val="006E49C0"/>
    <w:rsid w:val="006E4F0E"/>
    <w:rsid w:val="006E523D"/>
    <w:rsid w:val="006E6788"/>
    <w:rsid w:val="006F2B26"/>
    <w:rsid w:val="006F42D2"/>
    <w:rsid w:val="00700177"/>
    <w:rsid w:val="00705602"/>
    <w:rsid w:val="00707481"/>
    <w:rsid w:val="00710A84"/>
    <w:rsid w:val="00711CDF"/>
    <w:rsid w:val="00712100"/>
    <w:rsid w:val="00712420"/>
    <w:rsid w:val="00713244"/>
    <w:rsid w:val="00713B5B"/>
    <w:rsid w:val="00714370"/>
    <w:rsid w:val="00717AFE"/>
    <w:rsid w:val="007225F1"/>
    <w:rsid w:val="00724B18"/>
    <w:rsid w:val="007253DE"/>
    <w:rsid w:val="00731065"/>
    <w:rsid w:val="0073112C"/>
    <w:rsid w:val="00733809"/>
    <w:rsid w:val="00733FC0"/>
    <w:rsid w:val="0073404D"/>
    <w:rsid w:val="00734FF5"/>
    <w:rsid w:val="0073557A"/>
    <w:rsid w:val="0074166D"/>
    <w:rsid w:val="007418D9"/>
    <w:rsid w:val="00742580"/>
    <w:rsid w:val="00750202"/>
    <w:rsid w:val="00751A41"/>
    <w:rsid w:val="007574D5"/>
    <w:rsid w:val="00761DF8"/>
    <w:rsid w:val="007630F3"/>
    <w:rsid w:val="00780CBF"/>
    <w:rsid w:val="00781A3C"/>
    <w:rsid w:val="007863CE"/>
    <w:rsid w:val="00786BFA"/>
    <w:rsid w:val="00794A47"/>
    <w:rsid w:val="00795E5A"/>
    <w:rsid w:val="0079649D"/>
    <w:rsid w:val="007A00D7"/>
    <w:rsid w:val="007A5AD6"/>
    <w:rsid w:val="007A74AC"/>
    <w:rsid w:val="007B112A"/>
    <w:rsid w:val="007B7FD3"/>
    <w:rsid w:val="007C2D30"/>
    <w:rsid w:val="007C34D8"/>
    <w:rsid w:val="007C555D"/>
    <w:rsid w:val="007C6785"/>
    <w:rsid w:val="007C6C23"/>
    <w:rsid w:val="007C6CD8"/>
    <w:rsid w:val="007C6E45"/>
    <w:rsid w:val="007D0649"/>
    <w:rsid w:val="007D09A1"/>
    <w:rsid w:val="007D16CE"/>
    <w:rsid w:val="007D1996"/>
    <w:rsid w:val="007D1A07"/>
    <w:rsid w:val="007D2CC3"/>
    <w:rsid w:val="007D33C5"/>
    <w:rsid w:val="007D5D70"/>
    <w:rsid w:val="007E14AA"/>
    <w:rsid w:val="007E16DC"/>
    <w:rsid w:val="007E19C0"/>
    <w:rsid w:val="007E2D09"/>
    <w:rsid w:val="007E4452"/>
    <w:rsid w:val="007E62D4"/>
    <w:rsid w:val="007E79DF"/>
    <w:rsid w:val="007F3EA0"/>
    <w:rsid w:val="007F41A7"/>
    <w:rsid w:val="007F48AB"/>
    <w:rsid w:val="00800041"/>
    <w:rsid w:val="00800F9C"/>
    <w:rsid w:val="00804E76"/>
    <w:rsid w:val="00807D01"/>
    <w:rsid w:val="0081209A"/>
    <w:rsid w:val="00813B9A"/>
    <w:rsid w:val="00815CC3"/>
    <w:rsid w:val="00816D85"/>
    <w:rsid w:val="00816E12"/>
    <w:rsid w:val="00820C93"/>
    <w:rsid w:val="00822B2F"/>
    <w:rsid w:val="00826C44"/>
    <w:rsid w:val="00827904"/>
    <w:rsid w:val="0083023E"/>
    <w:rsid w:val="00836A07"/>
    <w:rsid w:val="00837F58"/>
    <w:rsid w:val="00841418"/>
    <w:rsid w:val="008420C3"/>
    <w:rsid w:val="008438B5"/>
    <w:rsid w:val="00843F8F"/>
    <w:rsid w:val="008446AF"/>
    <w:rsid w:val="00846035"/>
    <w:rsid w:val="00847A0F"/>
    <w:rsid w:val="008522D4"/>
    <w:rsid w:val="008562D1"/>
    <w:rsid w:val="008567D0"/>
    <w:rsid w:val="00856C75"/>
    <w:rsid w:val="008606C2"/>
    <w:rsid w:val="00860ABF"/>
    <w:rsid w:val="008617F6"/>
    <w:rsid w:val="00874E63"/>
    <w:rsid w:val="00875F00"/>
    <w:rsid w:val="00877627"/>
    <w:rsid w:val="0088367C"/>
    <w:rsid w:val="00884AF0"/>
    <w:rsid w:val="00890AD8"/>
    <w:rsid w:val="0089167A"/>
    <w:rsid w:val="008920A8"/>
    <w:rsid w:val="008931F5"/>
    <w:rsid w:val="0089372F"/>
    <w:rsid w:val="00894146"/>
    <w:rsid w:val="0089599C"/>
    <w:rsid w:val="00896CF2"/>
    <w:rsid w:val="00896D26"/>
    <w:rsid w:val="008A106C"/>
    <w:rsid w:val="008A1E26"/>
    <w:rsid w:val="008A4BAD"/>
    <w:rsid w:val="008B24DA"/>
    <w:rsid w:val="008B2F95"/>
    <w:rsid w:val="008B6587"/>
    <w:rsid w:val="008B70B5"/>
    <w:rsid w:val="008C00B0"/>
    <w:rsid w:val="008C0F74"/>
    <w:rsid w:val="008C23C7"/>
    <w:rsid w:val="008C2486"/>
    <w:rsid w:val="008D1368"/>
    <w:rsid w:val="008D261A"/>
    <w:rsid w:val="008D3732"/>
    <w:rsid w:val="008D6229"/>
    <w:rsid w:val="008D6C1A"/>
    <w:rsid w:val="008D78DF"/>
    <w:rsid w:val="008E0047"/>
    <w:rsid w:val="008E2215"/>
    <w:rsid w:val="008E3BF1"/>
    <w:rsid w:val="008E3C5B"/>
    <w:rsid w:val="008E4821"/>
    <w:rsid w:val="008E78FE"/>
    <w:rsid w:val="008F09B8"/>
    <w:rsid w:val="008F0C78"/>
    <w:rsid w:val="008F2C91"/>
    <w:rsid w:val="008F3178"/>
    <w:rsid w:val="008F61D9"/>
    <w:rsid w:val="008F709B"/>
    <w:rsid w:val="009014D3"/>
    <w:rsid w:val="00903896"/>
    <w:rsid w:val="009046D9"/>
    <w:rsid w:val="00905A6B"/>
    <w:rsid w:val="00907068"/>
    <w:rsid w:val="00907F0D"/>
    <w:rsid w:val="00910751"/>
    <w:rsid w:val="00910A3C"/>
    <w:rsid w:val="0091122C"/>
    <w:rsid w:val="009143C9"/>
    <w:rsid w:val="00914599"/>
    <w:rsid w:val="00914FCB"/>
    <w:rsid w:val="009155B5"/>
    <w:rsid w:val="00915AEE"/>
    <w:rsid w:val="009167E3"/>
    <w:rsid w:val="009207DC"/>
    <w:rsid w:val="00921EF3"/>
    <w:rsid w:val="00926975"/>
    <w:rsid w:val="00927829"/>
    <w:rsid w:val="0093159F"/>
    <w:rsid w:val="0093326E"/>
    <w:rsid w:val="0093475A"/>
    <w:rsid w:val="009349E4"/>
    <w:rsid w:val="00940034"/>
    <w:rsid w:val="009432D2"/>
    <w:rsid w:val="00943488"/>
    <w:rsid w:val="0094360B"/>
    <w:rsid w:val="00946F4A"/>
    <w:rsid w:val="009473EC"/>
    <w:rsid w:val="00952314"/>
    <w:rsid w:val="00953358"/>
    <w:rsid w:val="00954DAC"/>
    <w:rsid w:val="009574EE"/>
    <w:rsid w:val="00961163"/>
    <w:rsid w:val="00962383"/>
    <w:rsid w:val="0096430C"/>
    <w:rsid w:val="00976265"/>
    <w:rsid w:val="0097658E"/>
    <w:rsid w:val="00980632"/>
    <w:rsid w:val="00980F06"/>
    <w:rsid w:val="0098195A"/>
    <w:rsid w:val="00982F9C"/>
    <w:rsid w:val="00984990"/>
    <w:rsid w:val="0098667B"/>
    <w:rsid w:val="00991FCF"/>
    <w:rsid w:val="00993DCB"/>
    <w:rsid w:val="009943EA"/>
    <w:rsid w:val="00995555"/>
    <w:rsid w:val="00996CEE"/>
    <w:rsid w:val="00997B5E"/>
    <w:rsid w:val="00997CE7"/>
    <w:rsid w:val="009A1A55"/>
    <w:rsid w:val="009A3B14"/>
    <w:rsid w:val="009A44CF"/>
    <w:rsid w:val="009A5160"/>
    <w:rsid w:val="009A5F38"/>
    <w:rsid w:val="009A6A7F"/>
    <w:rsid w:val="009A6E9C"/>
    <w:rsid w:val="009B10E0"/>
    <w:rsid w:val="009B2790"/>
    <w:rsid w:val="009B28A0"/>
    <w:rsid w:val="009B7598"/>
    <w:rsid w:val="009B7EC1"/>
    <w:rsid w:val="009C643B"/>
    <w:rsid w:val="009D13CC"/>
    <w:rsid w:val="009D3A26"/>
    <w:rsid w:val="009D53A7"/>
    <w:rsid w:val="009D607A"/>
    <w:rsid w:val="009E0D89"/>
    <w:rsid w:val="009E186C"/>
    <w:rsid w:val="009E1A5F"/>
    <w:rsid w:val="009E1EEF"/>
    <w:rsid w:val="009E4802"/>
    <w:rsid w:val="009E5341"/>
    <w:rsid w:val="009E72DD"/>
    <w:rsid w:val="009E7A5D"/>
    <w:rsid w:val="009F0C55"/>
    <w:rsid w:val="009F17EF"/>
    <w:rsid w:val="009F20A9"/>
    <w:rsid w:val="009F239D"/>
    <w:rsid w:val="009F34D4"/>
    <w:rsid w:val="009F369C"/>
    <w:rsid w:val="00A010C2"/>
    <w:rsid w:val="00A01F94"/>
    <w:rsid w:val="00A02DC9"/>
    <w:rsid w:val="00A0689F"/>
    <w:rsid w:val="00A127FE"/>
    <w:rsid w:val="00A12CF5"/>
    <w:rsid w:val="00A142C5"/>
    <w:rsid w:val="00A1505D"/>
    <w:rsid w:val="00A16FBB"/>
    <w:rsid w:val="00A17D29"/>
    <w:rsid w:val="00A2093B"/>
    <w:rsid w:val="00A2111E"/>
    <w:rsid w:val="00A225E6"/>
    <w:rsid w:val="00A25D56"/>
    <w:rsid w:val="00A27F26"/>
    <w:rsid w:val="00A308E0"/>
    <w:rsid w:val="00A32DB3"/>
    <w:rsid w:val="00A34484"/>
    <w:rsid w:val="00A4054F"/>
    <w:rsid w:val="00A44BB8"/>
    <w:rsid w:val="00A4513E"/>
    <w:rsid w:val="00A46F27"/>
    <w:rsid w:val="00A472F1"/>
    <w:rsid w:val="00A47945"/>
    <w:rsid w:val="00A5304E"/>
    <w:rsid w:val="00A57A5D"/>
    <w:rsid w:val="00A605CE"/>
    <w:rsid w:val="00A6254F"/>
    <w:rsid w:val="00A62E4C"/>
    <w:rsid w:val="00A64BD4"/>
    <w:rsid w:val="00A6781D"/>
    <w:rsid w:val="00A67F96"/>
    <w:rsid w:val="00A70445"/>
    <w:rsid w:val="00A70F8F"/>
    <w:rsid w:val="00A7218E"/>
    <w:rsid w:val="00A72265"/>
    <w:rsid w:val="00A7257A"/>
    <w:rsid w:val="00A72C36"/>
    <w:rsid w:val="00A73637"/>
    <w:rsid w:val="00A73BEA"/>
    <w:rsid w:val="00A81082"/>
    <w:rsid w:val="00A82050"/>
    <w:rsid w:val="00A83AB9"/>
    <w:rsid w:val="00A86B5F"/>
    <w:rsid w:val="00A86F91"/>
    <w:rsid w:val="00A8768F"/>
    <w:rsid w:val="00A9274F"/>
    <w:rsid w:val="00A9369B"/>
    <w:rsid w:val="00A95D88"/>
    <w:rsid w:val="00A962B4"/>
    <w:rsid w:val="00A9667E"/>
    <w:rsid w:val="00AA61D6"/>
    <w:rsid w:val="00AB1405"/>
    <w:rsid w:val="00AB1E35"/>
    <w:rsid w:val="00AB4198"/>
    <w:rsid w:val="00AB4BCE"/>
    <w:rsid w:val="00AB4DA9"/>
    <w:rsid w:val="00AB4F73"/>
    <w:rsid w:val="00AB5416"/>
    <w:rsid w:val="00AB6430"/>
    <w:rsid w:val="00AB6939"/>
    <w:rsid w:val="00AC0189"/>
    <w:rsid w:val="00AC1107"/>
    <w:rsid w:val="00AC2051"/>
    <w:rsid w:val="00AC399B"/>
    <w:rsid w:val="00AC4D92"/>
    <w:rsid w:val="00AC7B53"/>
    <w:rsid w:val="00AD025F"/>
    <w:rsid w:val="00AD23AE"/>
    <w:rsid w:val="00AD6EC9"/>
    <w:rsid w:val="00AD7DB5"/>
    <w:rsid w:val="00AE20D1"/>
    <w:rsid w:val="00AE2596"/>
    <w:rsid w:val="00AE3B46"/>
    <w:rsid w:val="00AE5837"/>
    <w:rsid w:val="00AF4054"/>
    <w:rsid w:val="00AF5133"/>
    <w:rsid w:val="00B0019B"/>
    <w:rsid w:val="00B024BA"/>
    <w:rsid w:val="00B02606"/>
    <w:rsid w:val="00B02E04"/>
    <w:rsid w:val="00B046F0"/>
    <w:rsid w:val="00B0649B"/>
    <w:rsid w:val="00B103A8"/>
    <w:rsid w:val="00B11028"/>
    <w:rsid w:val="00B12298"/>
    <w:rsid w:val="00B1374D"/>
    <w:rsid w:val="00B20197"/>
    <w:rsid w:val="00B20273"/>
    <w:rsid w:val="00B20D10"/>
    <w:rsid w:val="00B20D6C"/>
    <w:rsid w:val="00B20D95"/>
    <w:rsid w:val="00B20F0A"/>
    <w:rsid w:val="00B21E61"/>
    <w:rsid w:val="00B234BB"/>
    <w:rsid w:val="00B234D4"/>
    <w:rsid w:val="00B24034"/>
    <w:rsid w:val="00B26764"/>
    <w:rsid w:val="00B33EAA"/>
    <w:rsid w:val="00B427DE"/>
    <w:rsid w:val="00B444B1"/>
    <w:rsid w:val="00B44711"/>
    <w:rsid w:val="00B52260"/>
    <w:rsid w:val="00B526C8"/>
    <w:rsid w:val="00B526DD"/>
    <w:rsid w:val="00B531D1"/>
    <w:rsid w:val="00B5624B"/>
    <w:rsid w:val="00B56443"/>
    <w:rsid w:val="00B63443"/>
    <w:rsid w:val="00B65AF8"/>
    <w:rsid w:val="00B673F1"/>
    <w:rsid w:val="00B7270D"/>
    <w:rsid w:val="00B7368B"/>
    <w:rsid w:val="00B761E1"/>
    <w:rsid w:val="00B833D1"/>
    <w:rsid w:val="00B83E4B"/>
    <w:rsid w:val="00B85890"/>
    <w:rsid w:val="00B85CB8"/>
    <w:rsid w:val="00B9092B"/>
    <w:rsid w:val="00B90FEA"/>
    <w:rsid w:val="00B953CC"/>
    <w:rsid w:val="00B959C3"/>
    <w:rsid w:val="00B97696"/>
    <w:rsid w:val="00BA30A7"/>
    <w:rsid w:val="00BA45C3"/>
    <w:rsid w:val="00BA5785"/>
    <w:rsid w:val="00BA69F0"/>
    <w:rsid w:val="00BB26C4"/>
    <w:rsid w:val="00BB5734"/>
    <w:rsid w:val="00BB6259"/>
    <w:rsid w:val="00BB6287"/>
    <w:rsid w:val="00BB7C83"/>
    <w:rsid w:val="00BC0723"/>
    <w:rsid w:val="00BC1E0D"/>
    <w:rsid w:val="00BC2593"/>
    <w:rsid w:val="00BC592C"/>
    <w:rsid w:val="00BC6145"/>
    <w:rsid w:val="00BD4693"/>
    <w:rsid w:val="00BD78CB"/>
    <w:rsid w:val="00BE07C4"/>
    <w:rsid w:val="00BE0BC6"/>
    <w:rsid w:val="00BE0C1A"/>
    <w:rsid w:val="00BE0D40"/>
    <w:rsid w:val="00BE1B9C"/>
    <w:rsid w:val="00BE69BF"/>
    <w:rsid w:val="00BF1965"/>
    <w:rsid w:val="00BF1E8D"/>
    <w:rsid w:val="00BF3558"/>
    <w:rsid w:val="00BF3619"/>
    <w:rsid w:val="00BF3755"/>
    <w:rsid w:val="00BF4FCE"/>
    <w:rsid w:val="00BF6188"/>
    <w:rsid w:val="00C01BAC"/>
    <w:rsid w:val="00C04994"/>
    <w:rsid w:val="00C0570A"/>
    <w:rsid w:val="00C11423"/>
    <w:rsid w:val="00C11CB7"/>
    <w:rsid w:val="00C11D1A"/>
    <w:rsid w:val="00C129B1"/>
    <w:rsid w:val="00C129E6"/>
    <w:rsid w:val="00C12C8E"/>
    <w:rsid w:val="00C136B2"/>
    <w:rsid w:val="00C14079"/>
    <w:rsid w:val="00C14D4F"/>
    <w:rsid w:val="00C20EA4"/>
    <w:rsid w:val="00C22650"/>
    <w:rsid w:val="00C228B0"/>
    <w:rsid w:val="00C2367F"/>
    <w:rsid w:val="00C2479C"/>
    <w:rsid w:val="00C35A23"/>
    <w:rsid w:val="00C41AA8"/>
    <w:rsid w:val="00C4654F"/>
    <w:rsid w:val="00C47CDA"/>
    <w:rsid w:val="00C47D6B"/>
    <w:rsid w:val="00C520E3"/>
    <w:rsid w:val="00C533E3"/>
    <w:rsid w:val="00C5598B"/>
    <w:rsid w:val="00C5768F"/>
    <w:rsid w:val="00C57984"/>
    <w:rsid w:val="00C6027F"/>
    <w:rsid w:val="00C604E3"/>
    <w:rsid w:val="00C6116D"/>
    <w:rsid w:val="00C63F49"/>
    <w:rsid w:val="00C651FD"/>
    <w:rsid w:val="00C655B2"/>
    <w:rsid w:val="00C65B7F"/>
    <w:rsid w:val="00C7145D"/>
    <w:rsid w:val="00C71827"/>
    <w:rsid w:val="00C80621"/>
    <w:rsid w:val="00C82BDD"/>
    <w:rsid w:val="00C841D5"/>
    <w:rsid w:val="00C84867"/>
    <w:rsid w:val="00C87067"/>
    <w:rsid w:val="00C87133"/>
    <w:rsid w:val="00C8758D"/>
    <w:rsid w:val="00C90C96"/>
    <w:rsid w:val="00C90EF4"/>
    <w:rsid w:val="00C91741"/>
    <w:rsid w:val="00C92255"/>
    <w:rsid w:val="00C952F6"/>
    <w:rsid w:val="00C95553"/>
    <w:rsid w:val="00C962F2"/>
    <w:rsid w:val="00C978C0"/>
    <w:rsid w:val="00CA08A1"/>
    <w:rsid w:val="00CA0E8F"/>
    <w:rsid w:val="00CA19B5"/>
    <w:rsid w:val="00CA265C"/>
    <w:rsid w:val="00CA3E6C"/>
    <w:rsid w:val="00CA5B6A"/>
    <w:rsid w:val="00CA5DBF"/>
    <w:rsid w:val="00CA7090"/>
    <w:rsid w:val="00CB0A5C"/>
    <w:rsid w:val="00CB0EDA"/>
    <w:rsid w:val="00CB2FB5"/>
    <w:rsid w:val="00CB5170"/>
    <w:rsid w:val="00CC2550"/>
    <w:rsid w:val="00CC2CDC"/>
    <w:rsid w:val="00CC438F"/>
    <w:rsid w:val="00CD1739"/>
    <w:rsid w:val="00CD3272"/>
    <w:rsid w:val="00CD37E0"/>
    <w:rsid w:val="00CD628D"/>
    <w:rsid w:val="00CD7F81"/>
    <w:rsid w:val="00CE0F14"/>
    <w:rsid w:val="00CE58D7"/>
    <w:rsid w:val="00CF1E07"/>
    <w:rsid w:val="00CF3EBB"/>
    <w:rsid w:val="00CF5938"/>
    <w:rsid w:val="00D00AEA"/>
    <w:rsid w:val="00D02782"/>
    <w:rsid w:val="00D02851"/>
    <w:rsid w:val="00D04A66"/>
    <w:rsid w:val="00D06F7E"/>
    <w:rsid w:val="00D077C8"/>
    <w:rsid w:val="00D104EF"/>
    <w:rsid w:val="00D11007"/>
    <w:rsid w:val="00D2077A"/>
    <w:rsid w:val="00D20F29"/>
    <w:rsid w:val="00D210BE"/>
    <w:rsid w:val="00D22269"/>
    <w:rsid w:val="00D22F8A"/>
    <w:rsid w:val="00D23F77"/>
    <w:rsid w:val="00D25AD9"/>
    <w:rsid w:val="00D25B11"/>
    <w:rsid w:val="00D25B4E"/>
    <w:rsid w:val="00D26B24"/>
    <w:rsid w:val="00D271C8"/>
    <w:rsid w:val="00D336DC"/>
    <w:rsid w:val="00D33ECE"/>
    <w:rsid w:val="00D342D9"/>
    <w:rsid w:val="00D36360"/>
    <w:rsid w:val="00D37133"/>
    <w:rsid w:val="00D41119"/>
    <w:rsid w:val="00D4458D"/>
    <w:rsid w:val="00D46707"/>
    <w:rsid w:val="00D50322"/>
    <w:rsid w:val="00D50F0A"/>
    <w:rsid w:val="00D51372"/>
    <w:rsid w:val="00D52A36"/>
    <w:rsid w:val="00D534D1"/>
    <w:rsid w:val="00D552B9"/>
    <w:rsid w:val="00D555A9"/>
    <w:rsid w:val="00D55F93"/>
    <w:rsid w:val="00D57911"/>
    <w:rsid w:val="00D60B92"/>
    <w:rsid w:val="00D61E0F"/>
    <w:rsid w:val="00D623A7"/>
    <w:rsid w:val="00D64DCE"/>
    <w:rsid w:val="00D664E6"/>
    <w:rsid w:val="00D700C7"/>
    <w:rsid w:val="00D708A4"/>
    <w:rsid w:val="00D7352D"/>
    <w:rsid w:val="00D758A0"/>
    <w:rsid w:val="00D76F4C"/>
    <w:rsid w:val="00D77012"/>
    <w:rsid w:val="00D8204B"/>
    <w:rsid w:val="00D82CCF"/>
    <w:rsid w:val="00D84AE6"/>
    <w:rsid w:val="00D860E1"/>
    <w:rsid w:val="00D86470"/>
    <w:rsid w:val="00D87467"/>
    <w:rsid w:val="00D87C9E"/>
    <w:rsid w:val="00D937D1"/>
    <w:rsid w:val="00D940FA"/>
    <w:rsid w:val="00D954B4"/>
    <w:rsid w:val="00DA13D8"/>
    <w:rsid w:val="00DA6804"/>
    <w:rsid w:val="00DA718C"/>
    <w:rsid w:val="00DA7D6A"/>
    <w:rsid w:val="00DB454A"/>
    <w:rsid w:val="00DB4B31"/>
    <w:rsid w:val="00DB5F9D"/>
    <w:rsid w:val="00DB7A13"/>
    <w:rsid w:val="00DC10E6"/>
    <w:rsid w:val="00DC15F9"/>
    <w:rsid w:val="00DC178B"/>
    <w:rsid w:val="00DC1CED"/>
    <w:rsid w:val="00DC5908"/>
    <w:rsid w:val="00DC6C09"/>
    <w:rsid w:val="00DC7CB3"/>
    <w:rsid w:val="00DC7F17"/>
    <w:rsid w:val="00DC7F63"/>
    <w:rsid w:val="00DD232A"/>
    <w:rsid w:val="00DE1377"/>
    <w:rsid w:val="00DE138C"/>
    <w:rsid w:val="00DE767B"/>
    <w:rsid w:val="00DF105C"/>
    <w:rsid w:val="00DF1C4A"/>
    <w:rsid w:val="00DF1E44"/>
    <w:rsid w:val="00DF30C2"/>
    <w:rsid w:val="00DF439B"/>
    <w:rsid w:val="00DF68A0"/>
    <w:rsid w:val="00DF74F5"/>
    <w:rsid w:val="00E06FFD"/>
    <w:rsid w:val="00E12D70"/>
    <w:rsid w:val="00E12FFC"/>
    <w:rsid w:val="00E16E46"/>
    <w:rsid w:val="00E16FA8"/>
    <w:rsid w:val="00E170AF"/>
    <w:rsid w:val="00E17535"/>
    <w:rsid w:val="00E217D5"/>
    <w:rsid w:val="00E21A18"/>
    <w:rsid w:val="00E22781"/>
    <w:rsid w:val="00E2492A"/>
    <w:rsid w:val="00E25616"/>
    <w:rsid w:val="00E26B4A"/>
    <w:rsid w:val="00E26C4F"/>
    <w:rsid w:val="00E30A80"/>
    <w:rsid w:val="00E33146"/>
    <w:rsid w:val="00E3482B"/>
    <w:rsid w:val="00E35A73"/>
    <w:rsid w:val="00E36E9A"/>
    <w:rsid w:val="00E40CAC"/>
    <w:rsid w:val="00E414E1"/>
    <w:rsid w:val="00E42114"/>
    <w:rsid w:val="00E429A5"/>
    <w:rsid w:val="00E443BC"/>
    <w:rsid w:val="00E44E73"/>
    <w:rsid w:val="00E47FE6"/>
    <w:rsid w:val="00E532DB"/>
    <w:rsid w:val="00E540DB"/>
    <w:rsid w:val="00E55303"/>
    <w:rsid w:val="00E5652B"/>
    <w:rsid w:val="00E60D3C"/>
    <w:rsid w:val="00E618EE"/>
    <w:rsid w:val="00E72221"/>
    <w:rsid w:val="00E72948"/>
    <w:rsid w:val="00E72F2E"/>
    <w:rsid w:val="00E74731"/>
    <w:rsid w:val="00E75FA8"/>
    <w:rsid w:val="00E804A3"/>
    <w:rsid w:val="00E812B8"/>
    <w:rsid w:val="00E82314"/>
    <w:rsid w:val="00E8390B"/>
    <w:rsid w:val="00E90733"/>
    <w:rsid w:val="00E90976"/>
    <w:rsid w:val="00E96271"/>
    <w:rsid w:val="00E97486"/>
    <w:rsid w:val="00EA1902"/>
    <w:rsid w:val="00EA2BC3"/>
    <w:rsid w:val="00EA3717"/>
    <w:rsid w:val="00EA3E52"/>
    <w:rsid w:val="00EA798D"/>
    <w:rsid w:val="00EB03AF"/>
    <w:rsid w:val="00EB0413"/>
    <w:rsid w:val="00EB615B"/>
    <w:rsid w:val="00EB642D"/>
    <w:rsid w:val="00EB771E"/>
    <w:rsid w:val="00EC5066"/>
    <w:rsid w:val="00ED1129"/>
    <w:rsid w:val="00ED2E6E"/>
    <w:rsid w:val="00ED63A7"/>
    <w:rsid w:val="00ED65E0"/>
    <w:rsid w:val="00ED6883"/>
    <w:rsid w:val="00ED7494"/>
    <w:rsid w:val="00ED76D2"/>
    <w:rsid w:val="00EE17E1"/>
    <w:rsid w:val="00EE1F01"/>
    <w:rsid w:val="00EE2495"/>
    <w:rsid w:val="00EE4536"/>
    <w:rsid w:val="00EE5C82"/>
    <w:rsid w:val="00EE5D5E"/>
    <w:rsid w:val="00EF2C08"/>
    <w:rsid w:val="00F005C4"/>
    <w:rsid w:val="00F0143C"/>
    <w:rsid w:val="00F043D1"/>
    <w:rsid w:val="00F045C1"/>
    <w:rsid w:val="00F11422"/>
    <w:rsid w:val="00F117F4"/>
    <w:rsid w:val="00F12FC9"/>
    <w:rsid w:val="00F1381E"/>
    <w:rsid w:val="00F15008"/>
    <w:rsid w:val="00F15AE5"/>
    <w:rsid w:val="00F164E6"/>
    <w:rsid w:val="00F17C6B"/>
    <w:rsid w:val="00F225D6"/>
    <w:rsid w:val="00F25A28"/>
    <w:rsid w:val="00F3014C"/>
    <w:rsid w:val="00F309F0"/>
    <w:rsid w:val="00F32890"/>
    <w:rsid w:val="00F34A5B"/>
    <w:rsid w:val="00F3635C"/>
    <w:rsid w:val="00F4038A"/>
    <w:rsid w:val="00F425FB"/>
    <w:rsid w:val="00F448FD"/>
    <w:rsid w:val="00F454A7"/>
    <w:rsid w:val="00F45FB4"/>
    <w:rsid w:val="00F47485"/>
    <w:rsid w:val="00F47D44"/>
    <w:rsid w:val="00F5171C"/>
    <w:rsid w:val="00F53CEF"/>
    <w:rsid w:val="00F53ED1"/>
    <w:rsid w:val="00F56358"/>
    <w:rsid w:val="00F57769"/>
    <w:rsid w:val="00F628CC"/>
    <w:rsid w:val="00F62A60"/>
    <w:rsid w:val="00F7078D"/>
    <w:rsid w:val="00F70952"/>
    <w:rsid w:val="00F74683"/>
    <w:rsid w:val="00F7643D"/>
    <w:rsid w:val="00F82F54"/>
    <w:rsid w:val="00F8385A"/>
    <w:rsid w:val="00F87CFB"/>
    <w:rsid w:val="00F926D4"/>
    <w:rsid w:val="00F95214"/>
    <w:rsid w:val="00F95377"/>
    <w:rsid w:val="00F964FD"/>
    <w:rsid w:val="00FA03F2"/>
    <w:rsid w:val="00FA27C1"/>
    <w:rsid w:val="00FA6233"/>
    <w:rsid w:val="00FA7777"/>
    <w:rsid w:val="00FB27E0"/>
    <w:rsid w:val="00FB4A0B"/>
    <w:rsid w:val="00FB4BEC"/>
    <w:rsid w:val="00FB7B14"/>
    <w:rsid w:val="00FC4B23"/>
    <w:rsid w:val="00FC4D5A"/>
    <w:rsid w:val="00FC68B7"/>
    <w:rsid w:val="00FC7022"/>
    <w:rsid w:val="00FD0D3F"/>
    <w:rsid w:val="00FD2D4F"/>
    <w:rsid w:val="00FD31B9"/>
    <w:rsid w:val="00FD435A"/>
    <w:rsid w:val="00FD5B7D"/>
    <w:rsid w:val="00FD5F9D"/>
    <w:rsid w:val="00FE07DB"/>
    <w:rsid w:val="00FE1280"/>
    <w:rsid w:val="00FE2D93"/>
    <w:rsid w:val="00FE3AAC"/>
    <w:rsid w:val="00FE3B79"/>
    <w:rsid w:val="00FF07C1"/>
    <w:rsid w:val="00FF343A"/>
    <w:rsid w:val="00FF6F61"/>
    <w:rsid w:val="11A1CA6B"/>
    <w:rsid w:val="233B3501"/>
    <w:rsid w:val="2ACD94DA"/>
    <w:rsid w:val="3528E7B4"/>
    <w:rsid w:val="489935E5"/>
    <w:rsid w:val="64115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D4BC6"/>
  <w15:chartTrackingRefBased/>
  <w15:docId w15:val="{2323D215-BBDA-43CF-8E2E-326B8CEF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0" w:semiHidden="1" w:unhideWhenUsed="1"/>
    <w:lsdException w:name="line number" w:locked="0"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0"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61292"/>
  </w:style>
  <w:style w:type="paragraph" w:styleId="Heading1">
    <w:name w:val="heading 1"/>
    <w:basedOn w:val="Normal"/>
    <w:next w:val="Normal"/>
    <w:link w:val="Heading1Char"/>
    <w:uiPriority w:val="9"/>
    <w:qFormat/>
    <w:locked/>
    <w:rsid w:val="007A5AD6"/>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locked/>
    <w:rsid w:val="007A5AD6"/>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locked/>
    <w:rsid w:val="00FA03F2"/>
    <w:pPr>
      <w:keepNext/>
      <w:keepLines/>
      <w:spacing w:before="40"/>
      <w:outlineLvl w:val="2"/>
    </w:pPr>
    <w:rPr>
      <w:rFonts w:asciiTheme="majorHAnsi" w:eastAsiaTheme="majorEastAsia" w:hAnsiTheme="majorHAnsi" w:cstheme="majorBidi"/>
      <w:color w:val="3A5D0F" w:themeColor="accent1" w:themeShade="7F"/>
    </w:rPr>
  </w:style>
  <w:style w:type="paragraph" w:styleId="Heading4">
    <w:name w:val="heading 4"/>
    <w:basedOn w:val="Normal"/>
    <w:next w:val="Normal"/>
    <w:link w:val="Heading4Char"/>
    <w:uiPriority w:val="9"/>
    <w:unhideWhenUsed/>
    <w:qFormat/>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paragraph" w:styleId="Heading6">
    <w:name w:val="heading 6"/>
    <w:basedOn w:val="Normal"/>
    <w:next w:val="Normal"/>
    <w:link w:val="Heading6Char"/>
    <w:uiPriority w:val="9"/>
    <w:qFormat/>
    <w:locked/>
    <w:rsid w:val="00031CB0"/>
    <w:pPr>
      <w:keepNext/>
      <w:spacing w:after="120" w:line="240" w:lineRule="auto"/>
      <w:ind w:left="1152" w:hanging="1152"/>
      <w:jc w:val="both"/>
      <w:outlineLvl w:val="5"/>
    </w:pPr>
    <w:rPr>
      <w:rFonts w:eastAsia="Times New Roman" w:cs="Arial"/>
      <w:b/>
      <w:color w:val="FF0000"/>
      <w:sz w:val="22"/>
    </w:rPr>
  </w:style>
  <w:style w:type="paragraph" w:styleId="Heading7">
    <w:name w:val="heading 7"/>
    <w:basedOn w:val="Normal"/>
    <w:next w:val="Normal"/>
    <w:link w:val="Heading7Char"/>
    <w:uiPriority w:val="9"/>
    <w:qFormat/>
    <w:locked/>
    <w:rsid w:val="00031CB0"/>
    <w:pPr>
      <w:keepNext/>
      <w:spacing w:after="0" w:line="240" w:lineRule="auto"/>
      <w:ind w:left="1296" w:hanging="1296"/>
      <w:jc w:val="both"/>
      <w:outlineLvl w:val="6"/>
    </w:pPr>
    <w:rPr>
      <w:rFonts w:eastAsia="Times New Roman" w:cs="Arial"/>
      <w:b/>
      <w:color w:val="auto"/>
      <w:lang w:eastAsia="en-GB"/>
    </w:rPr>
  </w:style>
  <w:style w:type="paragraph" w:styleId="Heading8">
    <w:name w:val="heading 8"/>
    <w:basedOn w:val="Normal"/>
    <w:next w:val="Normal"/>
    <w:link w:val="Heading8Char"/>
    <w:uiPriority w:val="9"/>
    <w:qFormat/>
    <w:locked/>
    <w:rsid w:val="00031CB0"/>
    <w:pPr>
      <w:spacing w:after="0" w:line="240" w:lineRule="auto"/>
      <w:ind w:left="1440" w:hanging="1440"/>
      <w:jc w:val="both"/>
      <w:outlineLvl w:val="7"/>
    </w:pPr>
    <w:rPr>
      <w:rFonts w:eastAsia="Times New Roman" w:cs="Arial"/>
      <w:b/>
      <w:caps/>
      <w:color w:val="auto"/>
      <w:sz w:val="28"/>
      <w:lang w:eastAsia="en-GB"/>
    </w:rPr>
  </w:style>
  <w:style w:type="paragraph" w:styleId="Heading9">
    <w:name w:val="heading 9"/>
    <w:basedOn w:val="Normal"/>
    <w:next w:val="Normal"/>
    <w:link w:val="Heading9Char"/>
    <w:uiPriority w:val="9"/>
    <w:qFormat/>
    <w:locked/>
    <w:rsid w:val="00031CB0"/>
    <w:pPr>
      <w:keepNext/>
      <w:spacing w:after="0" w:line="240" w:lineRule="auto"/>
      <w:ind w:left="1584" w:hanging="1584"/>
      <w:jc w:val="both"/>
      <w:outlineLvl w:val="8"/>
    </w:pPr>
    <w:rPr>
      <w:rFonts w:eastAsia="Times New Roman" w:cs="Arial"/>
      <w:i/>
      <w:color w:val="FF00FF"/>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1C7ECF"/>
    <w:pPr>
      <w:pBdr>
        <w:top w:val="single" w:sz="4" w:space="1" w:color="auto"/>
      </w:pBdr>
      <w:spacing w:before="120" w:after="0"/>
      <w:ind w:left="1701"/>
    </w:pPr>
  </w:style>
  <w:style w:type="paragraph" w:customStyle="1" w:styleId="Contenttitle">
    <w:name w:val="Content title"/>
    <w:basedOn w:val="Heading1"/>
    <w:link w:val="ContenttitleChar"/>
    <w:rsid w:val="00045E97"/>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6043D3"/>
    <w:rPr>
      <w:b/>
      <w:bCs/>
      <w:iCs/>
      <w:sz w:val="32"/>
      <w:szCs w:val="32"/>
    </w:rPr>
  </w:style>
  <w:style w:type="paragraph" w:customStyle="1" w:styleId="Topictitle">
    <w:name w:val="Topic title"/>
    <w:basedOn w:val="Heading3"/>
    <w:link w:val="TopictitleChar"/>
    <w:qFormat/>
    <w:rsid w:val="006043D3"/>
    <w:pPr>
      <w:keepLines w:val="0"/>
      <w:spacing w:before="0" w:line="276" w:lineRule="auto"/>
      <w:outlineLvl w:val="1"/>
    </w:pPr>
    <w:rPr>
      <w:rFonts w:ascii="Arial" w:eastAsiaTheme="minorHAnsi" w:hAnsi="Arial" w:cstheme="minorBidi"/>
      <w:b/>
      <w:bCs/>
      <w:iCs/>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uiPriority w:val="59"/>
    <w:locked/>
    <w:rsid w:val="00A82050"/>
    <w:pPr>
      <w:spacing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FA03F2"/>
    <w:rPr>
      <w:rFonts w:asciiTheme="majorHAnsi" w:eastAsiaTheme="majorEastAsia" w:hAnsiTheme="majorHAnsi" w:cstheme="majorBidi"/>
      <w:color w:val="3A5D0F" w:themeColor="accent1" w:themeShade="7F"/>
      <w:sz w:val="24"/>
      <w:szCs w:val="24"/>
    </w:rPr>
  </w:style>
  <w:style w:type="character" w:customStyle="1" w:styleId="Heading4Char">
    <w:name w:val="Heading 4 Char"/>
    <w:basedOn w:val="DefaultParagraphFont"/>
    <w:link w:val="Heading4"/>
    <w:uiPriority w:val="9"/>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B234BB"/>
  </w:style>
  <w:style w:type="paragraph" w:customStyle="1" w:styleId="BulletText1">
    <w:name w:val="Bullet Text 1"/>
    <w:basedOn w:val="Normal"/>
    <w:link w:val="BulletText1Char"/>
    <w:qFormat/>
    <w:rsid w:val="00B234BB"/>
    <w:pPr>
      <w:numPr>
        <w:numId w:val="1"/>
      </w:numPr>
      <w:spacing w:before="60"/>
      <w:ind w:left="641" w:hanging="357"/>
    </w:pPr>
  </w:style>
  <w:style w:type="character" w:customStyle="1" w:styleId="BulletText2Char">
    <w:name w:val="Bullet Text 2 Char"/>
    <w:link w:val="BulletText2"/>
    <w:locked/>
    <w:rsid w:val="00B234BB"/>
  </w:style>
  <w:style w:type="paragraph" w:customStyle="1" w:styleId="BulletText2">
    <w:name w:val="Bullet Text 2"/>
    <w:basedOn w:val="Normal"/>
    <w:link w:val="BulletText2Char"/>
    <w:qFormat/>
    <w:rsid w:val="00B234BB"/>
    <w:pPr>
      <w:numPr>
        <w:numId w:val="2"/>
      </w:numPr>
      <w:spacing w:before="60"/>
      <w:ind w:left="1208" w:hanging="357"/>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link w:val="SectiontitleChar"/>
    <w:qFormat/>
    <w:rsid w:val="006043D3"/>
    <w:pPr>
      <w:spacing w:before="0" w:line="276" w:lineRule="auto"/>
      <w:outlineLvl w:val="0"/>
    </w:pPr>
    <w:rPr>
      <w:bCs/>
      <w:sz w:val="36"/>
      <w:szCs w:val="32"/>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aliases w:val="Dot pt,No Spacing1,List Paragraph Char Char Char,Indicator Text,Numbered Para 1"/>
    <w:basedOn w:val="Normal"/>
    <w:link w:val="ListParagraphChar"/>
    <w:uiPriority w:val="34"/>
    <w:qFormat/>
    <w:rsid w:val="00182289"/>
    <w:pPr>
      <w:numPr>
        <w:numId w:val="5"/>
      </w:numPr>
      <w:spacing w:after="0"/>
      <w:contextualSpacing/>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7A5AD6"/>
    <w:rPr>
      <w:rFonts w:eastAsiaTheme="majorEastAsia" w:cstheme="majorBidi"/>
      <w:b/>
      <w:sz w:val="36"/>
      <w:szCs w:val="32"/>
    </w:rPr>
  </w:style>
  <w:style w:type="paragraph" w:styleId="TOCHeading">
    <w:name w:val="TOC Heading"/>
    <w:basedOn w:val="Heading1"/>
    <w:next w:val="Normal"/>
    <w:uiPriority w:val="39"/>
    <w:unhideWhenUsed/>
    <w:qFormat/>
    <w:rsid w:val="00E25616"/>
    <w:pPr>
      <w:spacing w:before="0"/>
      <w:outlineLvl w:val="9"/>
    </w:pPr>
    <w:rPr>
      <w:sz w:val="32"/>
      <w:szCs w:val="28"/>
      <w:lang w:val="en-US"/>
    </w:rPr>
  </w:style>
  <w:style w:type="paragraph" w:styleId="TOC3">
    <w:name w:val="toc 3"/>
    <w:basedOn w:val="Normal"/>
    <w:next w:val="Normal"/>
    <w:autoRedefine/>
    <w:uiPriority w:val="39"/>
    <w:unhideWhenUsed/>
    <w:qFormat/>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qFormat/>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qFormat/>
    <w:rsid w:val="00E25616"/>
    <w:pPr>
      <w:tabs>
        <w:tab w:val="right" w:leader="dot" w:pos="8505"/>
      </w:tabs>
      <w:spacing w:after="100"/>
    </w:pPr>
  </w:style>
  <w:style w:type="table" w:customStyle="1" w:styleId="Table">
    <w:name w:val="Table"/>
    <w:basedOn w:val="TableNormal"/>
    <w:uiPriority w:val="99"/>
    <w:rsid w:val="00AC4D92"/>
    <w:pPr>
      <w:spacing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cPr>
        <w:shd w:val="clear" w:color="auto" w:fill="000000" w:themeFill="text1"/>
      </w:tcPr>
    </w:tblStylePr>
  </w:style>
  <w:style w:type="table" w:customStyle="1" w:styleId="Footertable">
    <w:name w:val="Footer table"/>
    <w:basedOn w:val="TableNormal"/>
    <w:uiPriority w:val="99"/>
    <w:rsid w:val="00A82050"/>
    <w:pPr>
      <w:spacing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7A5AD6"/>
    <w:rPr>
      <w:rFonts w:eastAsiaTheme="majorEastAsia" w:cstheme="majorBidi"/>
      <w:b/>
      <w:sz w:val="32"/>
      <w:szCs w:val="26"/>
    </w:rPr>
  </w:style>
  <w:style w:type="paragraph" w:styleId="Title">
    <w:name w:val="Title"/>
    <w:basedOn w:val="Contenttitle"/>
    <w:next w:val="Normal"/>
    <w:link w:val="TitleChar"/>
    <w:uiPriority w:val="10"/>
    <w:qFormat/>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qFormat/>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FC4B23"/>
  </w:style>
  <w:style w:type="paragraph" w:customStyle="1" w:styleId="Chaptertitle">
    <w:name w:val="Chapter title"/>
    <w:basedOn w:val="Sectiontitle"/>
    <w:link w:val="ChaptertitleChar"/>
    <w:rsid w:val="005738EA"/>
  </w:style>
  <w:style w:type="character" w:customStyle="1" w:styleId="ContenttitleChar">
    <w:name w:val="Content title Char"/>
    <w:basedOn w:val="DefaultParagraphFont"/>
    <w:link w:val="Contenttitle"/>
    <w:rsid w:val="00045E97"/>
    <w:rPr>
      <w:rFonts w:eastAsiaTheme="majorEastAsia" w:cstheme="majorBidi"/>
      <w:b/>
      <w:kern w:val="32"/>
      <w:sz w:val="40"/>
      <w:szCs w:val="32"/>
    </w:rPr>
  </w:style>
  <w:style w:type="character" w:customStyle="1" w:styleId="DocumenttitleChar">
    <w:name w:val="Document title Char"/>
    <w:basedOn w:val="ContenttitleChar"/>
    <w:link w:val="Documenttitle"/>
    <w:rsid w:val="00FC4B23"/>
    <w:rPr>
      <w:rFonts w:eastAsiaTheme="majorEastAsia" w:cstheme="majorBidi"/>
      <w:b/>
      <w:kern w:val="32"/>
      <w:sz w:val="40"/>
      <w:szCs w:val="32"/>
    </w:rPr>
  </w:style>
  <w:style w:type="character" w:customStyle="1" w:styleId="ChaptertitleChar">
    <w:name w:val="Chapter title Char"/>
    <w:basedOn w:val="SectiontitleChar"/>
    <w:link w:val="Chaptertitle"/>
    <w:rsid w:val="005738EA"/>
    <w:rPr>
      <w:rFonts w:eastAsiaTheme="majorEastAsia" w:cstheme="majorBidi"/>
      <w:b/>
      <w:bCs/>
      <w:sz w:val="36"/>
      <w:szCs w:val="32"/>
    </w:rPr>
  </w:style>
  <w:style w:type="paragraph" w:customStyle="1" w:styleId="Principleheader">
    <w:name w:val="Principle header"/>
    <w:basedOn w:val="Heading2"/>
    <w:link w:val="PrincipleheaderChar"/>
    <w:rsid w:val="00D26B24"/>
    <w:pPr>
      <w:numPr>
        <w:numId w:val="3"/>
      </w:numPr>
    </w:pPr>
    <w:rPr>
      <w:sz w:val="36"/>
      <w:szCs w:val="36"/>
    </w:rPr>
  </w:style>
  <w:style w:type="character" w:customStyle="1" w:styleId="PrincipleheaderChar">
    <w:name w:val="Principle header Char"/>
    <w:basedOn w:val="DefaultParagraphFont"/>
    <w:link w:val="Principleheader"/>
    <w:rsid w:val="00910751"/>
    <w:rPr>
      <w:rFonts w:eastAsiaTheme="majorEastAsia" w:cstheme="majorBidi"/>
      <w:b/>
      <w:sz w:val="36"/>
      <w:szCs w:val="36"/>
    </w:rPr>
  </w:style>
  <w:style w:type="character" w:styleId="FollowedHyperlink">
    <w:name w:val="FollowedHyperlink"/>
    <w:basedOn w:val="DefaultParagraphFont"/>
    <w:uiPriority w:val="99"/>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Sub-blockheading">
    <w:name w:val="Sub-block heading"/>
    <w:basedOn w:val="Blockheading"/>
    <w:link w:val="Sub-blockheadingChar"/>
    <w:qFormat/>
    <w:rsid w:val="005319FA"/>
    <w:pPr>
      <w:outlineLvl w:val="3"/>
    </w:pPr>
    <w:rPr>
      <w:sz w:val="24"/>
    </w:rPr>
  </w:style>
  <w:style w:type="paragraph" w:customStyle="1" w:styleId="Audienceheading">
    <w:name w:val="Audience heading"/>
    <w:basedOn w:val="Blockheading"/>
    <w:link w:val="AudienceheadingChar"/>
    <w:rsid w:val="005319FA"/>
    <w:pPr>
      <w:outlineLvl w:val="9"/>
    </w:pPr>
  </w:style>
  <w:style w:type="character" w:customStyle="1" w:styleId="Sub-blockheadingChar">
    <w:name w:val="Sub-block heading Char"/>
    <w:basedOn w:val="DefaultParagraphFont"/>
    <w:link w:val="Sub-blockheading"/>
    <w:rsid w:val="005319FA"/>
    <w:rPr>
      <w:rFonts w:eastAsiaTheme="majorEastAsia" w:cstheme="majorBidi"/>
      <w:b/>
      <w:iCs/>
      <w:color w:val="auto"/>
    </w:rPr>
  </w:style>
  <w:style w:type="character" w:customStyle="1" w:styleId="AudienceheadingChar">
    <w:name w:val="Audience heading Char"/>
    <w:basedOn w:val="BlockheadingChar"/>
    <w:link w:val="Audienceheading"/>
    <w:rsid w:val="005319FA"/>
    <w:rPr>
      <w:rFonts w:eastAsiaTheme="majorEastAsia" w:cstheme="majorBidi"/>
      <w:b/>
      <w:iCs/>
      <w:color w:val="auto"/>
      <w:sz w:val="26"/>
    </w:rPr>
  </w:style>
  <w:style w:type="paragraph" w:customStyle="1" w:styleId="Guidance">
    <w:name w:val="Guidance"/>
    <w:basedOn w:val="Normal"/>
    <w:qFormat/>
    <w:rsid w:val="001B3926"/>
    <w:pPr>
      <w:shd w:val="clear" w:color="auto" w:fill="E2EFD9"/>
      <w:spacing w:after="120" w:line="276" w:lineRule="auto"/>
    </w:pPr>
    <w:rPr>
      <w:color w:val="auto"/>
    </w:rPr>
  </w:style>
  <w:style w:type="character" w:styleId="UnresolvedMention">
    <w:name w:val="Unresolved Mention"/>
    <w:basedOn w:val="DefaultParagraphFont"/>
    <w:uiPriority w:val="99"/>
    <w:semiHidden/>
    <w:unhideWhenUsed/>
    <w:rsid w:val="009C643B"/>
    <w:rPr>
      <w:color w:val="605E5C"/>
      <w:shd w:val="clear" w:color="auto" w:fill="E1DFDD"/>
    </w:rPr>
  </w:style>
  <w:style w:type="character" w:customStyle="1" w:styleId="Red">
    <w:name w:val="Red"/>
    <w:basedOn w:val="DefaultParagraphFont"/>
    <w:uiPriority w:val="1"/>
    <w:qFormat/>
    <w:rsid w:val="00DF1C4A"/>
    <w:rPr>
      <w:color w:val="FF0000"/>
    </w:rPr>
  </w:style>
  <w:style w:type="character" w:customStyle="1" w:styleId="ListParagraphChar">
    <w:name w:val="List Paragraph Char"/>
    <w:aliases w:val="Dot pt Char,No Spacing1 Char,List Paragraph Char Char Char Char,Indicator Text Char,Numbered Para 1 Char"/>
    <w:link w:val="ListParagraph"/>
    <w:uiPriority w:val="34"/>
    <w:locked/>
    <w:rsid w:val="00DF1C4A"/>
  </w:style>
  <w:style w:type="character" w:customStyle="1" w:styleId="Heading6Char">
    <w:name w:val="Heading 6 Char"/>
    <w:basedOn w:val="DefaultParagraphFont"/>
    <w:link w:val="Heading6"/>
    <w:uiPriority w:val="9"/>
    <w:rsid w:val="00031CB0"/>
    <w:rPr>
      <w:rFonts w:eastAsia="Times New Roman" w:cs="Arial"/>
      <w:b/>
      <w:color w:val="FF0000"/>
      <w:sz w:val="22"/>
    </w:rPr>
  </w:style>
  <w:style w:type="character" w:customStyle="1" w:styleId="Heading7Char">
    <w:name w:val="Heading 7 Char"/>
    <w:basedOn w:val="DefaultParagraphFont"/>
    <w:link w:val="Heading7"/>
    <w:uiPriority w:val="9"/>
    <w:rsid w:val="00031CB0"/>
    <w:rPr>
      <w:rFonts w:eastAsia="Times New Roman" w:cs="Arial"/>
      <w:b/>
      <w:color w:val="auto"/>
      <w:lang w:eastAsia="en-GB"/>
    </w:rPr>
  </w:style>
  <w:style w:type="character" w:customStyle="1" w:styleId="Heading8Char">
    <w:name w:val="Heading 8 Char"/>
    <w:basedOn w:val="DefaultParagraphFont"/>
    <w:link w:val="Heading8"/>
    <w:uiPriority w:val="9"/>
    <w:rsid w:val="00031CB0"/>
    <w:rPr>
      <w:rFonts w:eastAsia="Times New Roman" w:cs="Arial"/>
      <w:b/>
      <w:caps/>
      <w:color w:val="auto"/>
      <w:sz w:val="28"/>
      <w:lang w:eastAsia="en-GB"/>
    </w:rPr>
  </w:style>
  <w:style w:type="character" w:customStyle="1" w:styleId="Heading9Char">
    <w:name w:val="Heading 9 Char"/>
    <w:basedOn w:val="DefaultParagraphFont"/>
    <w:link w:val="Heading9"/>
    <w:uiPriority w:val="9"/>
    <w:rsid w:val="00031CB0"/>
    <w:rPr>
      <w:rFonts w:eastAsia="Times New Roman" w:cs="Arial"/>
      <w:i/>
      <w:color w:val="FF00FF"/>
      <w:sz w:val="20"/>
      <w:lang w:eastAsia="en-GB"/>
    </w:rPr>
  </w:style>
  <w:style w:type="paragraph" w:styleId="BodyText">
    <w:name w:val="Body Text"/>
    <w:basedOn w:val="Normal"/>
    <w:link w:val="BodyTextChar"/>
    <w:locked/>
    <w:rsid w:val="00031CB0"/>
    <w:pPr>
      <w:spacing w:after="0" w:line="240" w:lineRule="auto"/>
      <w:jc w:val="both"/>
    </w:pPr>
    <w:rPr>
      <w:rFonts w:eastAsia="Times New Roman" w:cs="Arial"/>
      <w:color w:val="auto"/>
      <w:lang w:eastAsia="en-GB"/>
    </w:rPr>
  </w:style>
  <w:style w:type="character" w:customStyle="1" w:styleId="BodyTextChar">
    <w:name w:val="Body Text Char"/>
    <w:basedOn w:val="DefaultParagraphFont"/>
    <w:link w:val="BodyText"/>
    <w:rsid w:val="00031CB0"/>
    <w:rPr>
      <w:rFonts w:eastAsia="Times New Roman" w:cs="Arial"/>
      <w:color w:val="auto"/>
      <w:lang w:eastAsia="en-GB"/>
    </w:rPr>
  </w:style>
  <w:style w:type="paragraph" w:styleId="BodyText2">
    <w:name w:val="Body Text 2"/>
    <w:basedOn w:val="Normal"/>
    <w:link w:val="BodyText2Char"/>
    <w:locked/>
    <w:rsid w:val="00031CB0"/>
    <w:pPr>
      <w:spacing w:after="0" w:line="240" w:lineRule="auto"/>
      <w:jc w:val="both"/>
    </w:pPr>
    <w:rPr>
      <w:rFonts w:eastAsia="Times New Roman" w:cs="Arial"/>
      <w:i/>
      <w:color w:val="FF00FF"/>
      <w:sz w:val="20"/>
      <w:lang w:eastAsia="en-GB"/>
    </w:rPr>
  </w:style>
  <w:style w:type="character" w:customStyle="1" w:styleId="BodyText2Char">
    <w:name w:val="Body Text 2 Char"/>
    <w:basedOn w:val="DefaultParagraphFont"/>
    <w:link w:val="BodyText2"/>
    <w:rsid w:val="00031CB0"/>
    <w:rPr>
      <w:rFonts w:eastAsia="Times New Roman" w:cs="Arial"/>
      <w:i/>
      <w:color w:val="FF00FF"/>
      <w:sz w:val="20"/>
      <w:lang w:eastAsia="en-GB"/>
    </w:rPr>
  </w:style>
  <w:style w:type="paragraph" w:styleId="BodyText3">
    <w:name w:val="Body Text 3"/>
    <w:basedOn w:val="Normal"/>
    <w:link w:val="BodyText3Char"/>
    <w:locked/>
    <w:rsid w:val="00031CB0"/>
    <w:pPr>
      <w:spacing w:after="0" w:line="240" w:lineRule="auto"/>
      <w:jc w:val="both"/>
    </w:pPr>
    <w:rPr>
      <w:rFonts w:eastAsia="Times New Roman" w:cs="Arial"/>
      <w:i/>
      <w:color w:val="FF00FF"/>
      <w:lang w:eastAsia="en-GB"/>
    </w:rPr>
  </w:style>
  <w:style w:type="character" w:customStyle="1" w:styleId="BodyText3Char">
    <w:name w:val="Body Text 3 Char"/>
    <w:basedOn w:val="DefaultParagraphFont"/>
    <w:link w:val="BodyText3"/>
    <w:rsid w:val="00031CB0"/>
    <w:rPr>
      <w:rFonts w:eastAsia="Times New Roman" w:cs="Arial"/>
      <w:i/>
      <w:color w:val="FF00FF"/>
      <w:lang w:eastAsia="en-GB"/>
    </w:rPr>
  </w:style>
  <w:style w:type="paragraph" w:styleId="BodyTextIndent">
    <w:name w:val="Body Text Indent"/>
    <w:basedOn w:val="Normal"/>
    <w:link w:val="BodyTextIndentChar"/>
    <w:locked/>
    <w:rsid w:val="00031C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jc w:val="both"/>
    </w:pPr>
    <w:rPr>
      <w:rFonts w:eastAsia="Times New Roman" w:cs="Arial"/>
      <w:color w:val="auto"/>
      <w:lang w:eastAsia="en-GB"/>
    </w:rPr>
  </w:style>
  <w:style w:type="character" w:customStyle="1" w:styleId="BodyTextIndentChar">
    <w:name w:val="Body Text Indent Char"/>
    <w:basedOn w:val="DefaultParagraphFont"/>
    <w:link w:val="BodyTextIndent"/>
    <w:rsid w:val="00031CB0"/>
    <w:rPr>
      <w:rFonts w:eastAsia="Times New Roman" w:cs="Arial"/>
      <w:color w:val="auto"/>
      <w:lang w:eastAsia="en-GB"/>
    </w:rPr>
  </w:style>
  <w:style w:type="paragraph" w:customStyle="1" w:styleId="Heading2a">
    <w:name w:val="Heading 2a"/>
    <w:basedOn w:val="Heading2"/>
    <w:rsid w:val="00031CB0"/>
    <w:pPr>
      <w:keepLines w:val="0"/>
      <w:numPr>
        <w:ilvl w:val="1"/>
      </w:numPr>
      <w:spacing w:before="240" w:after="60" w:line="240" w:lineRule="auto"/>
      <w:ind w:left="576" w:hanging="576"/>
    </w:pPr>
    <w:rPr>
      <w:rFonts w:eastAsia="Times New Roman" w:cs="Arial"/>
      <w:color w:val="auto"/>
      <w:sz w:val="24"/>
      <w:szCs w:val="24"/>
      <w:u w:val="single"/>
      <w:lang w:eastAsia="en-GB"/>
    </w:rPr>
  </w:style>
  <w:style w:type="character" w:styleId="PageNumber">
    <w:name w:val="page number"/>
    <w:basedOn w:val="DefaultParagraphFont"/>
    <w:locked/>
    <w:rsid w:val="00031CB0"/>
  </w:style>
  <w:style w:type="character" w:customStyle="1" w:styleId="NAJONES">
    <w:name w:val="NAJONES"/>
    <w:semiHidden/>
    <w:rsid w:val="00031CB0"/>
    <w:rPr>
      <w:rFonts w:ascii="Arial" w:hAnsi="Arial" w:cs="Arial"/>
      <w:b w:val="0"/>
      <w:bCs w:val="0"/>
      <w:i w:val="0"/>
      <w:iCs w:val="0"/>
      <w:strike w:val="0"/>
      <w:color w:val="0000FF"/>
      <w:sz w:val="20"/>
      <w:szCs w:val="20"/>
      <w:u w:val="none"/>
    </w:rPr>
  </w:style>
  <w:style w:type="paragraph" w:styleId="FootnoteText">
    <w:name w:val="footnote text"/>
    <w:basedOn w:val="Normal"/>
    <w:link w:val="FootnoteTextChar"/>
    <w:locked/>
    <w:rsid w:val="00031CB0"/>
    <w:pPr>
      <w:spacing w:after="0" w:line="240" w:lineRule="auto"/>
      <w:jc w:val="both"/>
    </w:pPr>
    <w:rPr>
      <w:rFonts w:eastAsia="Times New Roman" w:cs="Arial"/>
      <w:color w:val="auto"/>
      <w:sz w:val="20"/>
      <w:lang w:eastAsia="en-GB"/>
    </w:rPr>
  </w:style>
  <w:style w:type="character" w:customStyle="1" w:styleId="FootnoteTextChar">
    <w:name w:val="Footnote Text Char"/>
    <w:basedOn w:val="DefaultParagraphFont"/>
    <w:link w:val="FootnoteText"/>
    <w:rsid w:val="00031CB0"/>
    <w:rPr>
      <w:rFonts w:eastAsia="Times New Roman" w:cs="Arial"/>
      <w:color w:val="auto"/>
      <w:sz w:val="20"/>
      <w:lang w:eastAsia="en-GB"/>
    </w:rPr>
  </w:style>
  <w:style w:type="character" w:styleId="FootnoteReference">
    <w:name w:val="footnote reference"/>
    <w:basedOn w:val="DefaultParagraphFont"/>
    <w:locked/>
    <w:rsid w:val="00031CB0"/>
    <w:rPr>
      <w:vertAlign w:val="superscript"/>
    </w:rPr>
  </w:style>
  <w:style w:type="paragraph" w:customStyle="1" w:styleId="Default">
    <w:name w:val="Default"/>
    <w:rsid w:val="00031CB0"/>
    <w:pPr>
      <w:autoSpaceDE w:val="0"/>
      <w:autoSpaceDN w:val="0"/>
      <w:adjustRightInd w:val="0"/>
      <w:spacing w:after="0" w:line="240" w:lineRule="auto"/>
    </w:pPr>
    <w:rPr>
      <w:rFonts w:ascii="EUAlbertina" w:eastAsia="Times New Roman" w:hAnsi="EUAlbertina" w:cs="EUAlbertina"/>
      <w:color w:val="auto"/>
      <w:lang w:eastAsia="en-GB"/>
    </w:rPr>
  </w:style>
  <w:style w:type="paragraph" w:customStyle="1" w:styleId="Tablebody">
    <w:name w:val="Tablebody"/>
    <w:basedOn w:val="Normal"/>
    <w:rsid w:val="00031CB0"/>
    <w:pPr>
      <w:keepNext/>
      <w:keepLines/>
      <w:widowControl w:val="0"/>
      <w:spacing w:before="20" w:after="20" w:line="230" w:lineRule="exact"/>
      <w:jc w:val="both"/>
      <w:outlineLvl w:val="2"/>
    </w:pPr>
    <w:rPr>
      <w:rFonts w:ascii="Arial Narrow" w:eastAsia="Times New Roman" w:hAnsi="Arial Narrow" w:cs="Arial"/>
      <w:color w:val="0000FF"/>
      <w:sz w:val="18"/>
    </w:rPr>
  </w:style>
  <w:style w:type="paragraph" w:customStyle="1" w:styleId="CM1">
    <w:name w:val="CM1"/>
    <w:basedOn w:val="Default"/>
    <w:next w:val="Default"/>
    <w:uiPriority w:val="99"/>
    <w:rsid w:val="00031CB0"/>
    <w:rPr>
      <w:rFonts w:cs="Times New Roman"/>
    </w:rPr>
  </w:style>
  <w:style w:type="paragraph" w:customStyle="1" w:styleId="CM3">
    <w:name w:val="CM3"/>
    <w:basedOn w:val="Default"/>
    <w:next w:val="Default"/>
    <w:uiPriority w:val="99"/>
    <w:rsid w:val="00031CB0"/>
    <w:rPr>
      <w:rFonts w:cs="Times New Roman"/>
    </w:rPr>
  </w:style>
  <w:style w:type="paragraph" w:customStyle="1" w:styleId="CM4">
    <w:name w:val="CM4"/>
    <w:basedOn w:val="Default"/>
    <w:next w:val="Default"/>
    <w:uiPriority w:val="99"/>
    <w:rsid w:val="00031CB0"/>
    <w:rPr>
      <w:rFonts w:cs="Times New Roman"/>
    </w:rPr>
  </w:style>
  <w:style w:type="paragraph" w:customStyle="1" w:styleId="Table1">
    <w:name w:val="Table 1"/>
    <w:basedOn w:val="CommentText"/>
    <w:autoRedefine/>
    <w:rsid w:val="00031CB0"/>
    <w:pPr>
      <w:spacing w:after="0" w:line="240" w:lineRule="auto"/>
      <w:jc w:val="both"/>
    </w:pPr>
    <w:rPr>
      <w:rFonts w:eastAsia="Times New Roman" w:cs="Arial"/>
      <w:color w:val="auto"/>
      <w:sz w:val="22"/>
      <w:szCs w:val="22"/>
      <w:lang w:eastAsia="en-GB"/>
    </w:rPr>
  </w:style>
  <w:style w:type="character" w:customStyle="1" w:styleId="Shortline">
    <w:name w:val="Shortline"/>
    <w:basedOn w:val="DefaultParagraphFont"/>
    <w:rsid w:val="00031CB0"/>
  </w:style>
  <w:style w:type="character" w:customStyle="1" w:styleId="Blue">
    <w:name w:val="Blue"/>
    <w:basedOn w:val="DefaultParagraphFont"/>
    <w:qFormat/>
    <w:rsid w:val="00031CB0"/>
    <w:rPr>
      <w:color w:val="9BBB59"/>
    </w:rPr>
  </w:style>
  <w:style w:type="paragraph" w:customStyle="1" w:styleId="HeadingTableText">
    <w:name w:val="Heading Table Text"/>
    <w:basedOn w:val="Normal"/>
    <w:qFormat/>
    <w:rsid w:val="00031CB0"/>
    <w:pPr>
      <w:spacing w:before="60" w:after="60" w:line="240" w:lineRule="auto"/>
      <w:ind w:left="85" w:right="85"/>
      <w:jc w:val="both"/>
    </w:pPr>
    <w:rPr>
      <w:rFonts w:eastAsia="Times New Roman" w:cs="Arial"/>
      <w:b/>
      <w:color w:val="auto"/>
    </w:rPr>
  </w:style>
  <w:style w:type="paragraph" w:customStyle="1" w:styleId="BodyTextRD">
    <w:name w:val="Body Text R&amp;D"/>
    <w:basedOn w:val="Normal"/>
    <w:rsid w:val="00031CB0"/>
    <w:pPr>
      <w:spacing w:after="0" w:line="280" w:lineRule="atLeast"/>
      <w:jc w:val="both"/>
    </w:pPr>
    <w:rPr>
      <w:rFonts w:eastAsia="Times New Roman" w:cs="Arial"/>
      <w:color w:val="auto"/>
      <w:sz w:val="22"/>
      <w:szCs w:val="22"/>
    </w:rPr>
  </w:style>
  <w:style w:type="character" w:customStyle="1" w:styleId="apple-converted-space">
    <w:name w:val="apple-converted-space"/>
    <w:basedOn w:val="DefaultParagraphFont"/>
    <w:rsid w:val="00031CB0"/>
  </w:style>
  <w:style w:type="character" w:customStyle="1" w:styleId="RedBold">
    <w:name w:val="Red (Bold)"/>
    <w:basedOn w:val="DefaultParagraphFont"/>
    <w:uiPriority w:val="1"/>
    <w:qFormat/>
    <w:rsid w:val="00031CB0"/>
    <w:rPr>
      <w:b/>
      <w:color w:val="4F81BD"/>
    </w:rPr>
  </w:style>
  <w:style w:type="paragraph" w:styleId="Caption">
    <w:name w:val="caption"/>
    <w:basedOn w:val="Normal"/>
    <w:next w:val="Normal"/>
    <w:uiPriority w:val="35"/>
    <w:unhideWhenUsed/>
    <w:qFormat/>
    <w:locked/>
    <w:rsid w:val="00031CB0"/>
    <w:pPr>
      <w:spacing w:after="200" w:line="240" w:lineRule="auto"/>
      <w:jc w:val="both"/>
    </w:pPr>
    <w:rPr>
      <w:rFonts w:eastAsia="Calibri" w:cs="Arial"/>
      <w:b/>
      <w:bCs/>
      <w:color w:val="4F81BD"/>
      <w:sz w:val="18"/>
      <w:szCs w:val="18"/>
    </w:rPr>
  </w:style>
  <w:style w:type="character" w:customStyle="1" w:styleId="Pink">
    <w:name w:val="Pink"/>
    <w:basedOn w:val="DefaultParagraphFont"/>
    <w:uiPriority w:val="1"/>
    <w:qFormat/>
    <w:rsid w:val="00031CB0"/>
    <w:rPr>
      <w:color w:val="C0504D"/>
    </w:rPr>
  </w:style>
  <w:style w:type="paragraph" w:styleId="PlainText">
    <w:name w:val="Plain Text"/>
    <w:basedOn w:val="Normal"/>
    <w:link w:val="PlainTextChar"/>
    <w:uiPriority w:val="99"/>
    <w:unhideWhenUsed/>
    <w:locked/>
    <w:rsid w:val="00031CB0"/>
    <w:pPr>
      <w:spacing w:after="0" w:line="240" w:lineRule="auto"/>
      <w:jc w:val="both"/>
    </w:pPr>
    <w:rPr>
      <w:rFonts w:eastAsia="Calibri" w:cs="Arial"/>
      <w:color w:val="auto"/>
      <w:sz w:val="20"/>
      <w:szCs w:val="21"/>
    </w:rPr>
  </w:style>
  <w:style w:type="character" w:customStyle="1" w:styleId="PlainTextChar">
    <w:name w:val="Plain Text Char"/>
    <w:basedOn w:val="DefaultParagraphFont"/>
    <w:link w:val="PlainText"/>
    <w:uiPriority w:val="99"/>
    <w:rsid w:val="00031CB0"/>
    <w:rPr>
      <w:rFonts w:eastAsia="Calibri" w:cs="Arial"/>
      <w:color w:val="auto"/>
      <w:sz w:val="20"/>
      <w:szCs w:val="21"/>
    </w:rPr>
  </w:style>
  <w:style w:type="paragraph" w:customStyle="1" w:styleId="tablecolumntext">
    <w:name w:val="table column text"/>
    <w:basedOn w:val="Normal"/>
    <w:rsid w:val="00031CB0"/>
    <w:pPr>
      <w:spacing w:after="0" w:line="240" w:lineRule="auto"/>
      <w:jc w:val="both"/>
    </w:pPr>
    <w:rPr>
      <w:rFonts w:eastAsia="Times New Roman" w:cs="Arial"/>
      <w:color w:val="auto"/>
      <w:lang w:eastAsia="en-GB"/>
    </w:rPr>
  </w:style>
  <w:style w:type="paragraph" w:customStyle="1" w:styleId="Tabletext">
    <w:name w:val="Tabletext"/>
    <w:basedOn w:val="Normal"/>
    <w:rsid w:val="00031CB0"/>
    <w:pPr>
      <w:keepLines/>
      <w:widowControl w:val="0"/>
      <w:tabs>
        <w:tab w:val="left" w:pos="567"/>
      </w:tabs>
      <w:spacing w:before="80" w:after="0" w:line="240" w:lineRule="atLeast"/>
      <w:jc w:val="both"/>
    </w:pPr>
    <w:rPr>
      <w:rFonts w:eastAsia="Times New Roman" w:cs="Arial"/>
      <w:color w:val="auto"/>
      <w:sz w:val="18"/>
    </w:rPr>
  </w:style>
  <w:style w:type="paragraph" w:customStyle="1" w:styleId="DDHeading2">
    <w:name w:val="DD Heading 2"/>
    <w:basedOn w:val="Heading2"/>
    <w:link w:val="DDHeading2Char"/>
    <w:qFormat/>
    <w:rsid w:val="00031CB0"/>
    <w:pPr>
      <w:keepNext w:val="0"/>
      <w:keepLines w:val="0"/>
      <w:numPr>
        <w:ilvl w:val="1"/>
      </w:numPr>
      <w:spacing w:before="240" w:after="60" w:line="240" w:lineRule="auto"/>
      <w:ind w:left="576" w:hanging="576"/>
      <w:jc w:val="both"/>
    </w:pPr>
    <w:rPr>
      <w:rFonts w:ascii="Arial Bold" w:eastAsia="Times New Roman" w:hAnsi="Arial Bold" w:cs="Arial"/>
      <w:color w:val="auto"/>
      <w:lang w:eastAsia="en-GB"/>
    </w:rPr>
  </w:style>
  <w:style w:type="paragraph" w:customStyle="1" w:styleId="DDheading3">
    <w:name w:val="DD heading3"/>
    <w:basedOn w:val="Heading3"/>
    <w:link w:val="DDheading3Char"/>
    <w:qFormat/>
    <w:rsid w:val="00031CB0"/>
    <w:pPr>
      <w:keepLines w:val="0"/>
      <w:numPr>
        <w:ilvl w:val="2"/>
      </w:numPr>
      <w:spacing w:before="0" w:after="0" w:line="240" w:lineRule="auto"/>
      <w:ind w:left="720" w:hanging="720"/>
      <w:jc w:val="both"/>
    </w:pPr>
    <w:rPr>
      <w:rFonts w:eastAsia="Times New Roman" w:cs="Arial"/>
      <w:b/>
      <w:color w:val="auto"/>
      <w:lang w:eastAsia="en-GB"/>
    </w:rPr>
  </w:style>
  <w:style w:type="character" w:customStyle="1" w:styleId="DDHeading2Char">
    <w:name w:val="DD Heading 2 Char"/>
    <w:basedOn w:val="Heading2Char"/>
    <w:link w:val="DDHeading2"/>
    <w:rsid w:val="00031CB0"/>
    <w:rPr>
      <w:rFonts w:ascii="Arial Bold" w:eastAsia="Times New Roman" w:hAnsi="Arial Bold" w:cs="Arial"/>
      <w:b/>
      <w:color w:val="auto"/>
      <w:sz w:val="32"/>
      <w:szCs w:val="26"/>
      <w:lang w:eastAsia="en-GB"/>
    </w:rPr>
  </w:style>
  <w:style w:type="character" w:customStyle="1" w:styleId="DDheading3Char">
    <w:name w:val="DD heading3 Char"/>
    <w:basedOn w:val="Heading3Char"/>
    <w:link w:val="DDheading3"/>
    <w:rsid w:val="00031CB0"/>
    <w:rPr>
      <w:rFonts w:asciiTheme="majorHAnsi" w:eastAsia="Times New Roman" w:hAnsiTheme="majorHAnsi" w:cs="Arial"/>
      <w:b/>
      <w:color w:val="auto"/>
      <w:sz w:val="24"/>
      <w:szCs w:val="24"/>
      <w:lang w:eastAsia="en-GB"/>
    </w:rPr>
  </w:style>
  <w:style w:type="paragraph" w:customStyle="1" w:styleId="DDheading">
    <w:name w:val="DD heading"/>
    <w:link w:val="DDheadingChar"/>
    <w:qFormat/>
    <w:rsid w:val="00031CB0"/>
    <w:pPr>
      <w:spacing w:after="0" w:line="240" w:lineRule="auto"/>
    </w:pPr>
    <w:rPr>
      <w:rFonts w:ascii="Arial Bold" w:eastAsiaTheme="majorEastAsia" w:hAnsi="Arial Bold" w:cstheme="majorBidi"/>
      <w:b/>
      <w:color w:val="auto"/>
      <w:spacing w:val="5"/>
      <w:kern w:val="28"/>
      <w:sz w:val="32"/>
      <w:szCs w:val="52"/>
      <w:lang w:eastAsia="en-GB"/>
    </w:rPr>
  </w:style>
  <w:style w:type="character" w:customStyle="1" w:styleId="DDheadingChar">
    <w:name w:val="DD heading Char"/>
    <w:basedOn w:val="DefaultParagraphFont"/>
    <w:link w:val="DDheading"/>
    <w:rsid w:val="00031CB0"/>
    <w:rPr>
      <w:rFonts w:ascii="Arial Bold" w:eastAsiaTheme="majorEastAsia" w:hAnsi="Arial Bold" w:cstheme="majorBidi"/>
      <w:b/>
      <w:color w:val="auto"/>
      <w:spacing w:val="5"/>
      <w:kern w:val="28"/>
      <w:sz w:val="32"/>
      <w:szCs w:val="52"/>
      <w:lang w:eastAsia="en-GB"/>
    </w:rPr>
  </w:style>
  <w:style w:type="paragraph" w:customStyle="1" w:styleId="BoldTableHeading">
    <w:name w:val="Bold Table Heading"/>
    <w:basedOn w:val="Normal"/>
    <w:link w:val="BoldTableHeadingChar"/>
    <w:qFormat/>
    <w:rsid w:val="00031CB0"/>
    <w:pPr>
      <w:spacing w:after="0" w:line="240" w:lineRule="auto"/>
      <w:jc w:val="both"/>
    </w:pPr>
    <w:rPr>
      <w:rFonts w:eastAsia="Times New Roman" w:cs="Arial"/>
      <w:b/>
      <w:color w:val="auto"/>
      <w:lang w:eastAsia="en-GB"/>
    </w:rPr>
  </w:style>
  <w:style w:type="character" w:customStyle="1" w:styleId="BoldTableHeadingChar">
    <w:name w:val="Bold Table Heading Char"/>
    <w:basedOn w:val="DefaultParagraphFont"/>
    <w:link w:val="BoldTableHeading"/>
    <w:rsid w:val="00031CB0"/>
    <w:rPr>
      <w:rFonts w:eastAsia="Times New Roman" w:cs="Arial"/>
      <w:b/>
      <w:color w:val="auto"/>
      <w:lang w:eastAsia="en-GB"/>
    </w:rPr>
  </w:style>
  <w:style w:type="paragraph" w:customStyle="1" w:styleId="TableText0">
    <w:name w:val="Table Text"/>
    <w:basedOn w:val="Normal"/>
    <w:qFormat/>
    <w:rsid w:val="00031CB0"/>
    <w:pPr>
      <w:spacing w:before="60" w:after="60" w:line="240" w:lineRule="auto"/>
      <w:ind w:left="85" w:right="85"/>
    </w:pPr>
    <w:rPr>
      <w:rFonts w:ascii="Calibri" w:eastAsia="Times New Roman" w:hAnsi="Calibri" w:cs="Times New Roman"/>
      <w:color w:val="auto"/>
      <w:sz w:val="20"/>
    </w:rPr>
  </w:style>
  <w:style w:type="paragraph" w:styleId="TOC6">
    <w:name w:val="toc 6"/>
    <w:basedOn w:val="Normal"/>
    <w:next w:val="Normal"/>
    <w:autoRedefine/>
    <w:uiPriority w:val="39"/>
    <w:locked/>
    <w:rsid w:val="00031CB0"/>
    <w:pPr>
      <w:spacing w:after="100" w:line="240" w:lineRule="auto"/>
      <w:ind w:left="1200"/>
      <w:jc w:val="both"/>
    </w:pPr>
    <w:rPr>
      <w:rFonts w:eastAsia="Times New Roman" w:cs="Arial"/>
      <w:color w:val="auto"/>
      <w:lang w:eastAsia="en-GB"/>
    </w:rPr>
  </w:style>
  <w:style w:type="numbering" w:customStyle="1" w:styleId="NoList1">
    <w:name w:val="No List1"/>
    <w:next w:val="NoList"/>
    <w:uiPriority w:val="99"/>
    <w:semiHidden/>
    <w:unhideWhenUsed/>
    <w:rsid w:val="00031CB0"/>
  </w:style>
  <w:style w:type="character" w:customStyle="1" w:styleId="EndnoteTextChar1">
    <w:name w:val="Endnote Text Char1"/>
    <w:basedOn w:val="DefaultParagraphFont"/>
    <w:uiPriority w:val="99"/>
    <w:semiHidden/>
    <w:rsid w:val="00031CB0"/>
    <w:rPr>
      <w:rFonts w:ascii="Arial" w:eastAsia="Times New Roman" w:hAnsi="Arial" w:cs="Arial"/>
    </w:rPr>
  </w:style>
  <w:style w:type="character" w:customStyle="1" w:styleId="CommentSubjectChar1">
    <w:name w:val="Comment Subject Char1"/>
    <w:basedOn w:val="CommentTextChar"/>
    <w:uiPriority w:val="99"/>
    <w:semiHidden/>
    <w:rsid w:val="00031CB0"/>
    <w:rPr>
      <w:rFonts w:ascii="Arial" w:eastAsia="Times New Roman" w:hAnsi="Arial" w:cs="Arial"/>
      <w:b/>
      <w:bCs/>
      <w:sz w:val="20"/>
      <w:szCs w:val="24"/>
    </w:rPr>
  </w:style>
  <w:style w:type="table" w:customStyle="1" w:styleId="TableGrid1">
    <w:name w:val="Table Grid1"/>
    <w:basedOn w:val="TableNormal"/>
    <w:next w:val="TableGrid"/>
    <w:uiPriority w:val="59"/>
    <w:rsid w:val="00031CB0"/>
    <w:pPr>
      <w:spacing w:after="0" w:line="240" w:lineRule="auto"/>
    </w:pPr>
    <w:rPr>
      <w:rFonts w:ascii="Calibri" w:eastAsia="Calibri" w:hAnsi="Calibri"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031CB0"/>
  </w:style>
  <w:style w:type="paragraph" w:styleId="NoSpacing">
    <w:name w:val="No Spacing"/>
    <w:uiPriority w:val="1"/>
    <w:qFormat/>
    <w:locked/>
    <w:rsid w:val="00031CB0"/>
    <w:pPr>
      <w:spacing w:after="0" w:line="276" w:lineRule="auto"/>
    </w:pPr>
    <w:rPr>
      <w:rFonts w:eastAsia="Times New Roman" w:cs="Times New Roman"/>
      <w:color w:val="auto"/>
      <w:sz w:val="20"/>
    </w:rPr>
  </w:style>
  <w:style w:type="paragraph" w:customStyle="1" w:styleId="Blocksubheading">
    <w:name w:val="Block sub heading"/>
    <w:basedOn w:val="Normal"/>
    <w:link w:val="BlocksubheadingChar"/>
    <w:qFormat/>
    <w:rsid w:val="00031CB0"/>
    <w:pPr>
      <w:spacing w:before="60" w:after="0" w:line="240" w:lineRule="auto"/>
      <w:outlineLvl w:val="2"/>
    </w:pPr>
    <w:rPr>
      <w:rFonts w:ascii="Arial Bold" w:eastAsia="Times New Roman" w:hAnsi="Arial Bold" w:cs="Times New Roman"/>
      <w:b/>
      <w:bCs/>
      <w:color w:val="00AF41"/>
      <w:sz w:val="22"/>
      <w:szCs w:val="22"/>
    </w:rPr>
  </w:style>
  <w:style w:type="character" w:customStyle="1" w:styleId="BlocksubheadingChar">
    <w:name w:val="Block sub heading Char"/>
    <w:link w:val="Blocksubheading"/>
    <w:rsid w:val="00031CB0"/>
    <w:rPr>
      <w:rFonts w:ascii="Arial Bold" w:eastAsia="Times New Roman" w:hAnsi="Arial Bold" w:cs="Times New Roman"/>
      <w:b/>
      <w:bCs/>
      <w:color w:val="00AF41"/>
      <w:sz w:val="22"/>
      <w:szCs w:val="22"/>
    </w:rPr>
  </w:style>
  <w:style w:type="character" w:customStyle="1" w:styleId="BlockText1">
    <w:name w:val="Block Text1"/>
    <w:qFormat/>
    <w:rsid w:val="00031CB0"/>
    <w:rPr>
      <w:rFonts w:ascii="Arial" w:hAnsi="Arial" w:cs="Arial"/>
      <w:b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5170">
      <w:bodyDiv w:val="1"/>
      <w:marLeft w:val="0"/>
      <w:marRight w:val="0"/>
      <w:marTop w:val="0"/>
      <w:marBottom w:val="0"/>
      <w:divBdr>
        <w:top w:val="none" w:sz="0" w:space="0" w:color="auto"/>
        <w:left w:val="none" w:sz="0" w:space="0" w:color="auto"/>
        <w:bottom w:val="none" w:sz="0" w:space="0" w:color="auto"/>
        <w:right w:val="none" w:sz="0" w:space="0" w:color="auto"/>
      </w:divBdr>
    </w:div>
    <w:div w:id="77676040">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97410349">
      <w:bodyDiv w:val="1"/>
      <w:marLeft w:val="0"/>
      <w:marRight w:val="0"/>
      <w:marTop w:val="0"/>
      <w:marBottom w:val="0"/>
      <w:divBdr>
        <w:top w:val="none" w:sz="0" w:space="0" w:color="auto"/>
        <w:left w:val="none" w:sz="0" w:space="0" w:color="auto"/>
        <w:bottom w:val="none" w:sz="0" w:space="0" w:color="auto"/>
        <w:right w:val="none" w:sz="0" w:space="0" w:color="auto"/>
      </w:divBdr>
      <w:divsChild>
        <w:div w:id="305595563">
          <w:marLeft w:val="0"/>
          <w:marRight w:val="0"/>
          <w:marTop w:val="0"/>
          <w:marBottom w:val="0"/>
          <w:divBdr>
            <w:top w:val="none" w:sz="0" w:space="0" w:color="auto"/>
            <w:left w:val="none" w:sz="0" w:space="0" w:color="auto"/>
            <w:bottom w:val="none" w:sz="0" w:space="0" w:color="auto"/>
            <w:right w:val="none" w:sz="0" w:space="0" w:color="auto"/>
          </w:divBdr>
        </w:div>
        <w:div w:id="431365576">
          <w:marLeft w:val="0"/>
          <w:marRight w:val="0"/>
          <w:marTop w:val="0"/>
          <w:marBottom w:val="0"/>
          <w:divBdr>
            <w:top w:val="none" w:sz="0" w:space="0" w:color="auto"/>
            <w:left w:val="none" w:sz="0" w:space="0" w:color="auto"/>
            <w:bottom w:val="none" w:sz="0" w:space="0" w:color="auto"/>
            <w:right w:val="none" w:sz="0" w:space="0" w:color="auto"/>
          </w:divBdr>
        </w:div>
        <w:div w:id="529149787">
          <w:marLeft w:val="0"/>
          <w:marRight w:val="0"/>
          <w:marTop w:val="0"/>
          <w:marBottom w:val="0"/>
          <w:divBdr>
            <w:top w:val="none" w:sz="0" w:space="0" w:color="auto"/>
            <w:left w:val="none" w:sz="0" w:space="0" w:color="auto"/>
            <w:bottom w:val="none" w:sz="0" w:space="0" w:color="auto"/>
            <w:right w:val="none" w:sz="0" w:space="0" w:color="auto"/>
          </w:divBdr>
        </w:div>
        <w:div w:id="1398627823">
          <w:marLeft w:val="0"/>
          <w:marRight w:val="0"/>
          <w:marTop w:val="0"/>
          <w:marBottom w:val="0"/>
          <w:divBdr>
            <w:top w:val="none" w:sz="0" w:space="0" w:color="auto"/>
            <w:left w:val="none" w:sz="0" w:space="0" w:color="auto"/>
            <w:bottom w:val="none" w:sz="0" w:space="0" w:color="auto"/>
            <w:right w:val="none" w:sz="0" w:space="0" w:color="auto"/>
          </w:divBdr>
        </w:div>
        <w:div w:id="793452337">
          <w:marLeft w:val="0"/>
          <w:marRight w:val="0"/>
          <w:marTop w:val="0"/>
          <w:marBottom w:val="0"/>
          <w:divBdr>
            <w:top w:val="none" w:sz="0" w:space="0" w:color="auto"/>
            <w:left w:val="none" w:sz="0" w:space="0" w:color="auto"/>
            <w:bottom w:val="none" w:sz="0" w:space="0" w:color="auto"/>
            <w:right w:val="none" w:sz="0" w:space="0" w:color="auto"/>
          </w:divBdr>
        </w:div>
        <w:div w:id="646319917">
          <w:marLeft w:val="0"/>
          <w:marRight w:val="0"/>
          <w:marTop w:val="0"/>
          <w:marBottom w:val="0"/>
          <w:divBdr>
            <w:top w:val="none" w:sz="0" w:space="0" w:color="auto"/>
            <w:left w:val="none" w:sz="0" w:space="0" w:color="auto"/>
            <w:bottom w:val="none" w:sz="0" w:space="0" w:color="auto"/>
            <w:right w:val="none" w:sz="0" w:space="0" w:color="auto"/>
          </w:divBdr>
        </w:div>
        <w:div w:id="804591805">
          <w:marLeft w:val="0"/>
          <w:marRight w:val="0"/>
          <w:marTop w:val="0"/>
          <w:marBottom w:val="0"/>
          <w:divBdr>
            <w:top w:val="none" w:sz="0" w:space="0" w:color="auto"/>
            <w:left w:val="none" w:sz="0" w:space="0" w:color="auto"/>
            <w:bottom w:val="none" w:sz="0" w:space="0" w:color="auto"/>
            <w:right w:val="none" w:sz="0" w:space="0" w:color="auto"/>
          </w:divBdr>
        </w:div>
      </w:divsChild>
    </w:div>
    <w:div w:id="505174499">
      <w:bodyDiv w:val="1"/>
      <w:marLeft w:val="0"/>
      <w:marRight w:val="0"/>
      <w:marTop w:val="0"/>
      <w:marBottom w:val="0"/>
      <w:divBdr>
        <w:top w:val="none" w:sz="0" w:space="0" w:color="auto"/>
        <w:left w:val="none" w:sz="0" w:space="0" w:color="auto"/>
        <w:bottom w:val="none" w:sz="0" w:space="0" w:color="auto"/>
        <w:right w:val="none" w:sz="0" w:space="0" w:color="auto"/>
      </w:divBdr>
    </w:div>
    <w:div w:id="50937252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22255259">
      <w:bodyDiv w:val="1"/>
      <w:marLeft w:val="0"/>
      <w:marRight w:val="0"/>
      <w:marTop w:val="0"/>
      <w:marBottom w:val="0"/>
      <w:divBdr>
        <w:top w:val="none" w:sz="0" w:space="0" w:color="auto"/>
        <w:left w:val="none" w:sz="0" w:space="0" w:color="auto"/>
        <w:bottom w:val="none" w:sz="0" w:space="0" w:color="auto"/>
        <w:right w:val="none" w:sz="0" w:space="0" w:color="auto"/>
      </w:divBdr>
      <w:divsChild>
        <w:div w:id="320157788">
          <w:marLeft w:val="0"/>
          <w:marRight w:val="0"/>
          <w:marTop w:val="0"/>
          <w:marBottom w:val="0"/>
          <w:divBdr>
            <w:top w:val="none" w:sz="0" w:space="0" w:color="auto"/>
            <w:left w:val="none" w:sz="0" w:space="0" w:color="auto"/>
            <w:bottom w:val="none" w:sz="0" w:space="0" w:color="auto"/>
            <w:right w:val="none" w:sz="0" w:space="0" w:color="auto"/>
          </w:divBdr>
        </w:div>
        <w:div w:id="784925295">
          <w:marLeft w:val="0"/>
          <w:marRight w:val="0"/>
          <w:marTop w:val="0"/>
          <w:marBottom w:val="0"/>
          <w:divBdr>
            <w:top w:val="none" w:sz="0" w:space="0" w:color="auto"/>
            <w:left w:val="none" w:sz="0" w:space="0" w:color="auto"/>
            <w:bottom w:val="none" w:sz="0" w:space="0" w:color="auto"/>
            <w:right w:val="none" w:sz="0" w:space="0" w:color="auto"/>
          </w:divBdr>
        </w:div>
        <w:div w:id="1712654263">
          <w:marLeft w:val="0"/>
          <w:marRight w:val="0"/>
          <w:marTop w:val="0"/>
          <w:marBottom w:val="0"/>
          <w:divBdr>
            <w:top w:val="none" w:sz="0" w:space="0" w:color="auto"/>
            <w:left w:val="none" w:sz="0" w:space="0" w:color="auto"/>
            <w:bottom w:val="none" w:sz="0" w:space="0" w:color="auto"/>
            <w:right w:val="none" w:sz="0" w:space="0" w:color="auto"/>
          </w:divBdr>
        </w:div>
        <w:div w:id="87627062">
          <w:marLeft w:val="0"/>
          <w:marRight w:val="0"/>
          <w:marTop w:val="0"/>
          <w:marBottom w:val="0"/>
          <w:divBdr>
            <w:top w:val="none" w:sz="0" w:space="0" w:color="auto"/>
            <w:left w:val="none" w:sz="0" w:space="0" w:color="auto"/>
            <w:bottom w:val="none" w:sz="0" w:space="0" w:color="auto"/>
            <w:right w:val="none" w:sz="0" w:space="0" w:color="auto"/>
          </w:divBdr>
        </w:div>
        <w:div w:id="1216310523">
          <w:marLeft w:val="0"/>
          <w:marRight w:val="0"/>
          <w:marTop w:val="0"/>
          <w:marBottom w:val="0"/>
          <w:divBdr>
            <w:top w:val="none" w:sz="0" w:space="0" w:color="auto"/>
            <w:left w:val="none" w:sz="0" w:space="0" w:color="auto"/>
            <w:bottom w:val="none" w:sz="0" w:space="0" w:color="auto"/>
            <w:right w:val="none" w:sz="0" w:space="0" w:color="auto"/>
          </w:divBdr>
        </w:div>
        <w:div w:id="2071726177">
          <w:marLeft w:val="0"/>
          <w:marRight w:val="0"/>
          <w:marTop w:val="0"/>
          <w:marBottom w:val="0"/>
          <w:divBdr>
            <w:top w:val="none" w:sz="0" w:space="0" w:color="auto"/>
            <w:left w:val="none" w:sz="0" w:space="0" w:color="auto"/>
            <w:bottom w:val="none" w:sz="0" w:space="0" w:color="auto"/>
            <w:right w:val="none" w:sz="0" w:space="0" w:color="auto"/>
          </w:divBdr>
        </w:div>
        <w:div w:id="82995953">
          <w:marLeft w:val="0"/>
          <w:marRight w:val="0"/>
          <w:marTop w:val="0"/>
          <w:marBottom w:val="0"/>
          <w:divBdr>
            <w:top w:val="none" w:sz="0" w:space="0" w:color="auto"/>
            <w:left w:val="none" w:sz="0" w:space="0" w:color="auto"/>
            <w:bottom w:val="none" w:sz="0" w:space="0" w:color="auto"/>
            <w:right w:val="none" w:sz="0" w:space="0" w:color="auto"/>
          </w:divBdr>
        </w:div>
      </w:divsChild>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7527439">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11904773">
      <w:bodyDiv w:val="1"/>
      <w:marLeft w:val="0"/>
      <w:marRight w:val="0"/>
      <w:marTop w:val="0"/>
      <w:marBottom w:val="0"/>
      <w:divBdr>
        <w:top w:val="none" w:sz="0" w:space="0" w:color="auto"/>
        <w:left w:val="none" w:sz="0" w:space="0" w:color="auto"/>
        <w:bottom w:val="none" w:sz="0" w:space="0" w:color="auto"/>
        <w:right w:val="none" w:sz="0" w:space="0" w:color="auto"/>
      </w:divBdr>
      <w:divsChild>
        <w:div w:id="656495113">
          <w:marLeft w:val="0"/>
          <w:marRight w:val="0"/>
          <w:marTop w:val="0"/>
          <w:marBottom w:val="0"/>
          <w:divBdr>
            <w:top w:val="none" w:sz="0" w:space="0" w:color="auto"/>
            <w:left w:val="none" w:sz="0" w:space="0" w:color="auto"/>
            <w:bottom w:val="none" w:sz="0" w:space="0" w:color="auto"/>
            <w:right w:val="none" w:sz="0" w:space="0" w:color="auto"/>
          </w:divBdr>
        </w:div>
        <w:div w:id="1173491082">
          <w:marLeft w:val="0"/>
          <w:marRight w:val="0"/>
          <w:marTop w:val="0"/>
          <w:marBottom w:val="0"/>
          <w:divBdr>
            <w:top w:val="none" w:sz="0" w:space="0" w:color="auto"/>
            <w:left w:val="none" w:sz="0" w:space="0" w:color="auto"/>
            <w:bottom w:val="none" w:sz="0" w:space="0" w:color="auto"/>
            <w:right w:val="none" w:sz="0" w:space="0" w:color="auto"/>
          </w:divBdr>
        </w:div>
        <w:div w:id="2032487369">
          <w:marLeft w:val="0"/>
          <w:marRight w:val="0"/>
          <w:marTop w:val="0"/>
          <w:marBottom w:val="0"/>
          <w:divBdr>
            <w:top w:val="none" w:sz="0" w:space="0" w:color="auto"/>
            <w:left w:val="none" w:sz="0" w:space="0" w:color="auto"/>
            <w:bottom w:val="none" w:sz="0" w:space="0" w:color="auto"/>
            <w:right w:val="none" w:sz="0" w:space="0" w:color="auto"/>
          </w:divBdr>
        </w:div>
        <w:div w:id="1882085219">
          <w:marLeft w:val="0"/>
          <w:marRight w:val="0"/>
          <w:marTop w:val="0"/>
          <w:marBottom w:val="0"/>
          <w:divBdr>
            <w:top w:val="none" w:sz="0" w:space="0" w:color="auto"/>
            <w:left w:val="none" w:sz="0" w:space="0" w:color="auto"/>
            <w:bottom w:val="none" w:sz="0" w:space="0" w:color="auto"/>
            <w:right w:val="none" w:sz="0" w:space="0" w:color="auto"/>
          </w:divBdr>
        </w:div>
        <w:div w:id="327365418">
          <w:marLeft w:val="0"/>
          <w:marRight w:val="0"/>
          <w:marTop w:val="0"/>
          <w:marBottom w:val="0"/>
          <w:divBdr>
            <w:top w:val="none" w:sz="0" w:space="0" w:color="auto"/>
            <w:left w:val="none" w:sz="0" w:space="0" w:color="auto"/>
            <w:bottom w:val="none" w:sz="0" w:space="0" w:color="auto"/>
            <w:right w:val="none" w:sz="0" w:space="0" w:color="auto"/>
          </w:divBdr>
        </w:div>
        <w:div w:id="1981494348">
          <w:marLeft w:val="0"/>
          <w:marRight w:val="0"/>
          <w:marTop w:val="0"/>
          <w:marBottom w:val="0"/>
          <w:divBdr>
            <w:top w:val="none" w:sz="0" w:space="0" w:color="auto"/>
            <w:left w:val="none" w:sz="0" w:space="0" w:color="auto"/>
            <w:bottom w:val="none" w:sz="0" w:space="0" w:color="auto"/>
            <w:right w:val="none" w:sz="0" w:space="0" w:color="auto"/>
          </w:divBdr>
        </w:div>
        <w:div w:id="1518232398">
          <w:marLeft w:val="0"/>
          <w:marRight w:val="0"/>
          <w:marTop w:val="0"/>
          <w:marBottom w:val="0"/>
          <w:divBdr>
            <w:top w:val="none" w:sz="0" w:space="0" w:color="auto"/>
            <w:left w:val="none" w:sz="0" w:space="0" w:color="auto"/>
            <w:bottom w:val="none" w:sz="0" w:space="0" w:color="auto"/>
            <w:right w:val="none" w:sz="0" w:space="0" w:color="auto"/>
          </w:divBdr>
        </w:div>
      </w:divsChild>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466196565">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591548507">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03045275">
      <w:bodyDiv w:val="1"/>
      <w:marLeft w:val="0"/>
      <w:marRight w:val="0"/>
      <w:marTop w:val="0"/>
      <w:marBottom w:val="0"/>
      <w:divBdr>
        <w:top w:val="none" w:sz="0" w:space="0" w:color="auto"/>
        <w:left w:val="none" w:sz="0" w:space="0" w:color="auto"/>
        <w:bottom w:val="none" w:sz="0" w:space="0" w:color="auto"/>
        <w:right w:val="none" w:sz="0" w:space="0" w:color="auto"/>
      </w:divBdr>
    </w:div>
    <w:div w:id="2141800909">
      <w:bodyDiv w:val="1"/>
      <w:marLeft w:val="0"/>
      <w:marRight w:val="0"/>
      <w:marTop w:val="0"/>
      <w:marBottom w:val="0"/>
      <w:divBdr>
        <w:top w:val="none" w:sz="0" w:space="0" w:color="auto"/>
        <w:left w:val="none" w:sz="0" w:space="0" w:color="auto"/>
        <w:bottom w:val="none" w:sz="0" w:space="0" w:color="auto"/>
        <w:right w:val="none" w:sz="0" w:space="0" w:color="auto"/>
      </w:divBdr>
      <w:divsChild>
        <w:div w:id="1969824161">
          <w:marLeft w:val="0"/>
          <w:marRight w:val="0"/>
          <w:marTop w:val="0"/>
          <w:marBottom w:val="0"/>
          <w:divBdr>
            <w:top w:val="none" w:sz="0" w:space="0" w:color="auto"/>
            <w:left w:val="none" w:sz="0" w:space="0" w:color="auto"/>
            <w:bottom w:val="none" w:sz="0" w:space="0" w:color="auto"/>
            <w:right w:val="none" w:sz="0" w:space="0" w:color="auto"/>
          </w:divBdr>
        </w:div>
        <w:div w:id="721515280">
          <w:marLeft w:val="0"/>
          <w:marRight w:val="0"/>
          <w:marTop w:val="0"/>
          <w:marBottom w:val="0"/>
          <w:divBdr>
            <w:top w:val="none" w:sz="0" w:space="0" w:color="auto"/>
            <w:left w:val="none" w:sz="0" w:space="0" w:color="auto"/>
            <w:bottom w:val="none" w:sz="0" w:space="0" w:color="auto"/>
            <w:right w:val="none" w:sz="0" w:space="0" w:color="auto"/>
          </w:divBdr>
        </w:div>
        <w:div w:id="1268463505">
          <w:marLeft w:val="0"/>
          <w:marRight w:val="0"/>
          <w:marTop w:val="0"/>
          <w:marBottom w:val="0"/>
          <w:divBdr>
            <w:top w:val="none" w:sz="0" w:space="0" w:color="auto"/>
            <w:left w:val="none" w:sz="0" w:space="0" w:color="auto"/>
            <w:bottom w:val="none" w:sz="0" w:space="0" w:color="auto"/>
            <w:right w:val="none" w:sz="0" w:space="0" w:color="auto"/>
          </w:divBdr>
        </w:div>
        <w:div w:id="1370838220">
          <w:marLeft w:val="0"/>
          <w:marRight w:val="0"/>
          <w:marTop w:val="0"/>
          <w:marBottom w:val="0"/>
          <w:divBdr>
            <w:top w:val="none" w:sz="0" w:space="0" w:color="auto"/>
            <w:left w:val="none" w:sz="0" w:space="0" w:color="auto"/>
            <w:bottom w:val="none" w:sz="0" w:space="0" w:color="auto"/>
            <w:right w:val="none" w:sz="0" w:space="0" w:color="auto"/>
          </w:divBdr>
        </w:div>
        <w:div w:id="817504027">
          <w:marLeft w:val="0"/>
          <w:marRight w:val="0"/>
          <w:marTop w:val="0"/>
          <w:marBottom w:val="0"/>
          <w:divBdr>
            <w:top w:val="none" w:sz="0" w:space="0" w:color="auto"/>
            <w:left w:val="none" w:sz="0" w:space="0" w:color="auto"/>
            <w:bottom w:val="none" w:sz="0" w:space="0" w:color="auto"/>
            <w:right w:val="none" w:sz="0" w:space="0" w:color="auto"/>
          </w:divBdr>
        </w:div>
        <w:div w:id="1912423125">
          <w:marLeft w:val="0"/>
          <w:marRight w:val="0"/>
          <w:marTop w:val="0"/>
          <w:marBottom w:val="0"/>
          <w:divBdr>
            <w:top w:val="none" w:sz="0" w:space="0" w:color="auto"/>
            <w:left w:val="none" w:sz="0" w:space="0" w:color="auto"/>
            <w:bottom w:val="none" w:sz="0" w:space="0" w:color="auto"/>
            <w:right w:val="none" w:sz="0" w:space="0" w:color="auto"/>
          </w:divBdr>
        </w:div>
        <w:div w:id="198916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ur-lex.europa.eu/legal-content/EN/TXT/PDF/?uri=CELEX:32014D073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efra-my.sharepoint.com/personal/kirstie_lythgo_environment-agency_gov_uk/Documents/MyEssar/DRAFTS/superseded/Industrial%20emissions%20directive%20Guidance%20on%20Part%20A%20installations&#8217;"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bf263031-ffd2-4e86-8f4d-1e64fa475fec">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Manufacturing WIP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Installations Regime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B7CA8FB5175F54D9E0CBA42E79C5691" ma:contentTypeVersion="34" ma:contentTypeDescription="Create a new document." ma:contentTypeScope="" ma:versionID="8c385500ec8f062723e27ec5898a7685">
  <xsd:schema xmlns:xsd="http://www.w3.org/2001/XMLSchema" xmlns:xs="http://www.w3.org/2001/XMLSchema" xmlns:p="http://schemas.microsoft.com/office/2006/metadata/properties" xmlns:ns2="662745e8-e224-48e8-a2e3-254862b8c2f5" xmlns:ns3="bf263031-ffd2-4e86-8f4d-1e64fa475fec" xmlns:ns4="e76eb3f9-f7d4-4afe-8d75-1839375753c6" targetNamespace="http://schemas.microsoft.com/office/2006/metadata/properties" ma:root="true" ma:fieldsID="08c6831645a4812244e002766202b202" ns2:_="" ns3:_="" ns4:_="">
    <xsd:import namespace="662745e8-e224-48e8-a2e3-254862b8c2f5"/>
    <xsd:import namespace="bf263031-ffd2-4e86-8f4d-1e64fa475fec"/>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14b903-0b07-4e5f-bc01-af818658ec3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stallations Regime" ma:internalName="Team" ma:readOnly="false">
      <xsd:simpleType>
        <xsd:restriction base="dms:Text"/>
      </xsd:simpleType>
    </xsd:element>
    <xsd:element name="Topic" ma:index="20" nillable="true" ma:displayName="Topic" ma:default="Manufacturing WIP"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263031-ffd2-4e86-8f4d-1e64fa475fec"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876B3F5-B39C-484F-B865-36562BAE00C1}">
  <ds:schemaRefs>
    <ds:schemaRef ds:uri="Microsoft.SharePoint.Taxonomy.ContentTypeSync"/>
  </ds:schemaRefs>
</ds:datastoreItem>
</file>

<file path=customXml/itemProps2.xml><?xml version="1.0" encoding="utf-8"?>
<ds:datastoreItem xmlns:ds="http://schemas.openxmlformats.org/officeDocument/2006/customXml" ds:itemID="{FF7CFC3B-E3FA-4B6D-B206-E41D77769076}">
  <ds:schemaRefs>
    <ds:schemaRef ds:uri="http://schemas.microsoft.com/sharepoint/v3/contenttype/forms"/>
  </ds:schemaRefs>
</ds:datastoreItem>
</file>

<file path=customXml/itemProps3.xml><?xml version="1.0" encoding="utf-8"?>
<ds:datastoreItem xmlns:ds="http://schemas.openxmlformats.org/officeDocument/2006/customXml" ds:itemID="{ED419E52-76DC-4726-AD2D-DEBA38712B3A}">
  <ds:schemaRefs>
    <ds:schemaRef ds:uri="http://schemas.microsoft.com/office/2006/metadata/properties"/>
    <ds:schemaRef ds:uri="http://schemas.microsoft.com/office/infopath/2007/PartnerControls"/>
    <ds:schemaRef ds:uri="662745e8-e224-48e8-a2e3-254862b8c2f5"/>
    <ds:schemaRef ds:uri="bf263031-ffd2-4e86-8f4d-1e64fa475fec"/>
  </ds:schemaRefs>
</ds:datastoreItem>
</file>

<file path=customXml/itemProps4.xml><?xml version="1.0" encoding="utf-8"?>
<ds:datastoreItem xmlns:ds="http://schemas.openxmlformats.org/officeDocument/2006/customXml" ds:itemID="{6247EF64-1075-42A1-891E-96D953D70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f263031-ffd2-4e86-8f4d-1e64fa475fec"/>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8AE0A2-4138-405C-9AB9-2C3C291E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6003</Words>
  <Characters>34219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Decision document variation</vt:lpstr>
    </vt:vector>
  </TitlesOfParts>
  <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document variation</dc:title>
  <dc:subject/>
  <dc:creator>Lythgo, Kirstie</dc:creator>
  <cp:keywords/>
  <dc:description/>
  <cp:lastModifiedBy>Guy Pullen</cp:lastModifiedBy>
  <cp:revision>38</cp:revision>
  <dcterms:created xsi:type="dcterms:W3CDTF">2025-04-25T13:25:00Z</dcterms:created>
  <dcterms:modified xsi:type="dcterms:W3CDTF">2025-05-06T14:36:00Z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0x010100A5BF1C78D9F64B679A5EBDE1C6598EBC01002B7CA8FB5175F54D9E0CBA42E79C5691</vt:lpwstr>
  </property>
  <property fmtid="{D5CDD505-2E9C-101B-9397-08002B2CF9AE}" pid="3" name="AuthorIds_UIVersion_513">
    <vt:lpwstr>9</vt:lpwstr>
  </property>
  <property fmtid="{D5CDD505-2E9C-101B-9397-08002B2CF9AE}" pid="4" name="AuthorIds_UIVersion_514">
    <vt:lpwstr>9</vt:lpwstr>
  </property>
  <property fmtid="{D5CDD505-2E9C-101B-9397-08002B2CF9AE}" pid="5" name="AuthorIds_UIVersion_515">
    <vt:lpwstr>9</vt:lpwstr>
  </property>
  <property fmtid="{D5CDD505-2E9C-101B-9397-08002B2CF9AE}" pid="6" name="_dlc_DocIdItemGuid">
    <vt:lpwstr>c17eabd1-0483-4c5b-8645-45209c6308fc</vt:lpwstr>
  </property>
  <property fmtid="{D5CDD505-2E9C-101B-9397-08002B2CF9AE}" pid="7" name="_ip_UnifiedCompliancePolicyUIAction">
    <vt:lpwstr/>
  </property>
  <property fmtid="{D5CDD505-2E9C-101B-9397-08002B2CF9AE}" pid="8" name="_ip_UnifiedCompliancePolicyProperties">
    <vt:lpwstr/>
  </property>
  <property fmtid="{D5CDD505-2E9C-101B-9397-08002B2CF9AE}" pid="9" name="MediaServiceImageTags">
    <vt:lpwstr/>
  </property>
  <property fmtid="{D5CDD505-2E9C-101B-9397-08002B2CF9AE}" pid="10" name="InformationType">
    <vt:lpwstr/>
  </property>
  <property fmtid="{D5CDD505-2E9C-101B-9397-08002B2CF9AE}" pid="11" name="Distribution">
    <vt:lpwstr>9;#Internal EA|b77da37e-7166-4741-8c12-4679faab22d9</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HOSiteType">
    <vt:lpwstr>10;#Team|ff0485df-0575-416f-802f-e999165821b7</vt:lpwstr>
  </property>
  <property fmtid="{D5CDD505-2E9C-101B-9397-08002B2CF9AE}" pid="15" name="OrganisationalUnit">
    <vt:lpwstr>8;#EA|d5f78ddb-b1b6-4328-9877-d7e3ed06fdac</vt:lpwstr>
  </property>
</Properties>
</file>