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FFA1" w14:textId="75EF96BD" w:rsidR="00022A19" w:rsidRPr="00022A19" w:rsidRDefault="0008390A" w:rsidP="00022A19">
      <w:pPr>
        <w:rPr>
          <w:b/>
          <w:bCs/>
        </w:rPr>
      </w:pPr>
      <w:r>
        <w:rPr>
          <w:b/>
          <w:bCs/>
        </w:rPr>
        <w:t xml:space="preserve">Air Dispersion Modelling Results at VOC Emissions of 10g/Nm3 </w:t>
      </w:r>
    </w:p>
    <w:p w14:paraId="4BA7B55F" w14:textId="68318CBB" w:rsidR="00022A19" w:rsidRPr="00022A19" w:rsidRDefault="00022A19" w:rsidP="00022A19">
      <w:r w:rsidRPr="00022A19">
        <w:t>The significance of the released emissions was assessed by comparing the Process Contribution</w:t>
      </w:r>
      <w:r>
        <w:t xml:space="preserve"> </w:t>
      </w:r>
      <w:r w:rsidRPr="00022A19">
        <w:t>(PC) of each hydrocarbon to the relevant air quality standards, where available.</w:t>
      </w:r>
    </w:p>
    <w:p w14:paraId="7D7444B9" w14:textId="1F3F95C9" w:rsidR="00022A19" w:rsidRPr="00022A19" w:rsidRDefault="00022A19" w:rsidP="00022A19">
      <w:r w:rsidRPr="00022A19">
        <w:t>For long-term objectives, the Environment Agency considers the release to be insignificant if the</w:t>
      </w:r>
      <w:r>
        <w:t xml:space="preserve"> </w:t>
      </w:r>
      <w:r w:rsidRPr="00022A19">
        <w:t>PC is less than 1% of the air quality standard.2 For short-term objectives, including percentiles,</w:t>
      </w:r>
      <w:r>
        <w:t xml:space="preserve"> </w:t>
      </w:r>
      <w:r w:rsidRPr="00022A19">
        <w:t>the Agency considers the release to be insignificant if the PC is less than 10% of the air quality</w:t>
      </w:r>
      <w:r>
        <w:t xml:space="preserve"> </w:t>
      </w:r>
      <w:r w:rsidRPr="00022A19">
        <w:t>standard. Where a release is insignificant, the pollutant is screened out and no further assessment</w:t>
      </w:r>
      <w:r>
        <w:t xml:space="preserve"> </w:t>
      </w:r>
      <w:r w:rsidRPr="00022A19">
        <w:t>of levels of that pollutant undertaken.</w:t>
      </w:r>
    </w:p>
    <w:p w14:paraId="5F2FD7B5" w14:textId="78E77461" w:rsidR="00022A19" w:rsidRPr="00022A19" w:rsidRDefault="00022A19" w:rsidP="00022A19">
      <w:r w:rsidRPr="00022A19">
        <w:t>Where a release is significant, the Predicted Environmental Concentration (PEC) is calculated by</w:t>
      </w:r>
      <w:r>
        <w:t xml:space="preserve"> </w:t>
      </w:r>
      <w:r w:rsidRPr="00022A19">
        <w:t>taking the background concentration of the pollutant into account. For these hydrocarbons, the</w:t>
      </w:r>
      <w:r>
        <w:t xml:space="preserve"> </w:t>
      </w:r>
      <w:r w:rsidRPr="00022A19">
        <w:t>background concentration is assumed to be negligible, and so the PC is equal to the PEC.</w:t>
      </w:r>
    </w:p>
    <w:p w14:paraId="3ED5BF81" w14:textId="62F84F36" w:rsidR="001E4A12" w:rsidRDefault="00022A19" w:rsidP="00022A19">
      <w:r w:rsidRPr="00022A19">
        <w:t>All maximum concentrations represent the maximum offsite concentrations; that is,</w:t>
      </w:r>
      <w:r>
        <w:t xml:space="preserve"> </w:t>
      </w:r>
      <w:r w:rsidRPr="00022A19">
        <w:t>concentrations within the site boundary were excluded.</w:t>
      </w:r>
    </w:p>
    <w:tbl>
      <w:tblPr>
        <w:tblW w:w="8958" w:type="dxa"/>
        <w:tblLook w:val="04A0" w:firstRow="1" w:lastRow="0" w:firstColumn="1" w:lastColumn="0" w:noHBand="0" w:noVBand="1"/>
      </w:tblPr>
      <w:tblGrid>
        <w:gridCol w:w="978"/>
        <w:gridCol w:w="880"/>
        <w:gridCol w:w="1320"/>
        <w:gridCol w:w="1340"/>
        <w:gridCol w:w="1560"/>
        <w:gridCol w:w="1500"/>
        <w:gridCol w:w="1380"/>
      </w:tblGrid>
      <w:tr w:rsidR="001E4A12" w:rsidRPr="001E4A12" w14:paraId="2397B805" w14:textId="77777777" w:rsidTr="001E4A12">
        <w:trPr>
          <w:trHeight w:val="3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A0C1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Butane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BC99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DAB2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E9CE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6984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B317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2D6D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4A12" w:rsidRPr="001E4A12" w14:paraId="2EF36E55" w14:textId="77777777" w:rsidTr="001E4A12">
        <w:trPr>
          <w:trHeight w:val="59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5064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Year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C520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EAL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2A54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EAL Value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99DA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 at 2g/nm3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2905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 at 10g/nm3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8314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Max PC% of objective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45D12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Screened Out</w:t>
            </w:r>
          </w:p>
        </w:tc>
      </w:tr>
      <w:tr w:rsidR="00022A19" w:rsidRPr="001E4A12" w14:paraId="51F3A2FF" w14:textId="77777777" w:rsidTr="00022A19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70D8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2016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502DF" w14:textId="77777777" w:rsidR="00022A19" w:rsidRPr="001E4A12" w:rsidRDefault="00022A19" w:rsidP="00022A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ong </w:t>
            </w: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erm</w:t>
            </w:r>
          </w:p>
          <w:p w14:paraId="62E1F09F" w14:textId="08D2219F" w:rsidR="00022A19" w:rsidRPr="001E4A12" w:rsidRDefault="00022A19" w:rsidP="00022A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0205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2FC3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43A6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223A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5ECA1" w14:textId="77777777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</w:tr>
      <w:tr w:rsidR="00022A19" w:rsidRPr="001E4A12" w14:paraId="1BBE9749" w14:textId="77777777" w:rsidTr="00E7312B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E78F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2017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010A" w14:textId="3BA5FBAD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96ED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E813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02E8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6E99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5C836" w14:textId="77777777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</w:tr>
      <w:tr w:rsidR="00022A19" w:rsidRPr="001E4A12" w14:paraId="748AF6DE" w14:textId="77777777" w:rsidTr="00E7312B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92EC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2018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6BE9" w14:textId="4842C973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8D01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4485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5E09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5031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7483B" w14:textId="77777777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7671CBBE" w14:textId="77777777" w:rsidTr="00E7312B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9105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35B8" w14:textId="3BEE6F46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C9EF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937E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0F0E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7475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6ADAE" w14:textId="77777777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</w:t>
            </w:r>
          </w:p>
        </w:tc>
      </w:tr>
      <w:tr w:rsidR="00022A19" w:rsidRPr="001E4A12" w14:paraId="09F60F0B" w14:textId="77777777" w:rsidTr="00E7312B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2892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8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15ED" w14:textId="1A335171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D101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FE22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5857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A9FF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74B72" w14:textId="77777777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1E4A12" w:rsidRPr="001E4A12" w14:paraId="59408760" w14:textId="77777777" w:rsidTr="001E4A12">
        <w:trPr>
          <w:trHeight w:val="29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DD25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A2DB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7596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E704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511B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4BAE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2802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4A12" w:rsidRPr="001E4A12" w14:paraId="234344B9" w14:textId="77777777" w:rsidTr="001E4A12">
        <w:trPr>
          <w:trHeight w:val="3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65FD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Butane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54E7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1264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2C2B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3D0C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BD84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47B8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4A12" w:rsidRPr="001E4A12" w14:paraId="6E47A24D" w14:textId="77777777" w:rsidTr="001E4A12">
        <w:trPr>
          <w:trHeight w:val="59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2FBE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Year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7141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EAL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D4C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EAL Value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8FC7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 at 2g/nm3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7FBC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 at 10g/nm3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4336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Max PC% of objective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A4861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Screened Out</w:t>
            </w:r>
          </w:p>
        </w:tc>
      </w:tr>
      <w:tr w:rsidR="00022A19" w:rsidRPr="001E4A12" w14:paraId="7D626044" w14:textId="77777777" w:rsidTr="00022A19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67D9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2016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EBDAE" w14:textId="2E5D98B0" w:rsidR="00022A19" w:rsidRPr="001E4A12" w:rsidRDefault="00022A19" w:rsidP="00022A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hort </w:t>
            </w: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B1D8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B291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2B55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4792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40BC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43282" w14:textId="77777777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6F9E9174" w14:textId="77777777" w:rsidTr="00040DFF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1600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2017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CDD3D" w14:textId="57B755C1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1B76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87CF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F979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4605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78BC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FC612" w14:textId="77777777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38997A3D" w14:textId="77777777" w:rsidTr="00040DFF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0527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2018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864D" w14:textId="2F61A156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2FB6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16A3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2391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4381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1592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B35BE" w14:textId="77777777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092455D6" w14:textId="77777777" w:rsidTr="00040DFF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432F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57C9" w14:textId="4F771A03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A1A5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18DF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0C5C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0E18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2.2%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6A567" w14:textId="77777777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4E871A75" w14:textId="77777777" w:rsidTr="00040DFF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9821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8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1C55" w14:textId="272DC0A7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A367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5493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610B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D471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0A6AD" w14:textId="77777777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1E4A12" w:rsidRPr="001E4A12" w14:paraId="2306DDD8" w14:textId="77777777" w:rsidTr="001E4A12">
        <w:trPr>
          <w:trHeight w:val="29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CBA7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94A4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42A7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C9CD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7BBD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D955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49EE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4A12" w:rsidRPr="001E4A12" w14:paraId="419CF31C" w14:textId="77777777" w:rsidTr="001E4A12">
        <w:trPr>
          <w:trHeight w:val="3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6BA7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Butene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CAC0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DC80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EF8C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878E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272F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EC52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4A12" w:rsidRPr="001E4A12" w14:paraId="0AB5A41E" w14:textId="77777777" w:rsidTr="001E4A12">
        <w:trPr>
          <w:trHeight w:val="59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5389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Year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8ADC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EAL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D676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EAL Value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6413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 at 2g/nm3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2CBB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 at 10g/nm3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D722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Max PC% of objective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CD49E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Screened Out</w:t>
            </w:r>
          </w:p>
        </w:tc>
      </w:tr>
      <w:tr w:rsidR="00022A19" w:rsidRPr="001E4A12" w14:paraId="173E1C69" w14:textId="77777777" w:rsidTr="00022A19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C9F8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2016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21C56" w14:textId="22A007B3" w:rsidR="00022A19" w:rsidRPr="001E4A12" w:rsidRDefault="00022A19" w:rsidP="00022A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ong </w:t>
            </w: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0927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E4F3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1892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47CC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71DC7" w14:textId="77777777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38138565" w14:textId="77777777" w:rsidTr="0022583B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95B3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2017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DEA7" w14:textId="70542B33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725B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BDAF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DE5A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2599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0.6%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B1EA6" w14:textId="77777777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6FD23DDE" w14:textId="77777777" w:rsidTr="0022583B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4B48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2018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EFF5" w14:textId="680A472D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6BEF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992D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15A8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C4B8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B95E4" w14:textId="77777777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5F20B0BA" w14:textId="77777777" w:rsidTr="0022583B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5905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F9E5" w14:textId="6D5968BB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A160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E240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8D31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3F69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B51E0" w14:textId="77777777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2473A756" w14:textId="77777777" w:rsidTr="0022583B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B750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8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2ADE" w14:textId="1A13B08B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3FF7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E536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1379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CE0A" w14:textId="77777777" w:rsidR="00022A19" w:rsidRPr="001E4A12" w:rsidRDefault="00022A19" w:rsidP="001E4A1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A419B" w14:textId="77777777" w:rsidR="00022A19" w:rsidRPr="001E4A12" w:rsidRDefault="00022A19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1E4A12" w:rsidRPr="001E4A12" w14:paraId="30F1A5CF" w14:textId="77777777" w:rsidTr="001E4A12">
        <w:trPr>
          <w:trHeight w:val="29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416C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8208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56C9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0362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A072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E0BA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F299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4A12" w:rsidRPr="001E4A12" w14:paraId="260B56AF" w14:textId="77777777" w:rsidTr="001E4A12">
        <w:trPr>
          <w:trHeight w:val="3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C1F4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Butene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799E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8347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35AD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037D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C3DB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5C30" w14:textId="77777777" w:rsidR="001E4A12" w:rsidRPr="001E4A12" w:rsidRDefault="001E4A12" w:rsidP="001E4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E4A12" w:rsidRPr="001E4A12" w14:paraId="29287939" w14:textId="77777777" w:rsidTr="001E4A12">
        <w:trPr>
          <w:trHeight w:val="59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48BA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Year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C730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EAL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3815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EAL Value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4794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 at 2g/nm3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03B0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 at 10g/nm3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216D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Max PC% of objective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505B3" w14:textId="77777777" w:rsidR="001E4A12" w:rsidRPr="001E4A12" w:rsidRDefault="001E4A12" w:rsidP="001E4A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Screened Out</w:t>
            </w:r>
          </w:p>
        </w:tc>
      </w:tr>
      <w:tr w:rsidR="00022A19" w:rsidRPr="001E4A12" w14:paraId="38639594" w14:textId="77777777" w:rsidTr="00022A19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4757" w14:textId="52FD9930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2016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4DF8E" w14:textId="2FC0EAE2" w:rsidR="00022A19" w:rsidRPr="001E4A12" w:rsidRDefault="00022A19" w:rsidP="00022A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hort </w:t>
            </w: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erm</w:t>
            </w:r>
          </w:p>
          <w:p w14:paraId="1520A0F6" w14:textId="1FA1CC6E" w:rsidR="00022A19" w:rsidRPr="001E4A12" w:rsidRDefault="00022A19" w:rsidP="00022A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B45E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3A0F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4F55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295A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E2163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03A7FCA8" w14:textId="77777777" w:rsidTr="0031523D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499" w14:textId="77A5D7D9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2017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1683" w14:textId="17188EA4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6CC4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787E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32B8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987C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58625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46B63C80" w14:textId="77777777" w:rsidTr="0031523D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69E2" w14:textId="02C29393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2018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ED6C" w14:textId="35439745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3EC6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F331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80A9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8F6A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79BF1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36EEEC01" w14:textId="77777777" w:rsidTr="0031523D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CD12" w14:textId="1C8F2819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0BD3" w14:textId="2F6CEFA6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60CA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F5A2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0FEF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39F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0.9%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7A5C2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6C493CBD" w14:textId="77777777" w:rsidTr="0031523D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A4C1" w14:textId="55DF12A8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8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310A" w14:textId="5F81D1F9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3DED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7927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8EA9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936D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4B8FB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6414FFC6" w14:textId="77777777" w:rsidTr="001E4A12">
        <w:trPr>
          <w:trHeight w:val="29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0A68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1969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C4FB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CA7F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209C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DC89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41C5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2A19" w:rsidRPr="001E4A12" w14:paraId="22F810A0" w14:textId="77777777" w:rsidTr="001E4A12">
        <w:trPr>
          <w:trHeight w:val="3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4DA3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Pentane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1F9D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82C2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1335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C414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F56E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3F5A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2A19" w:rsidRPr="001E4A12" w14:paraId="0B732837" w14:textId="77777777" w:rsidTr="001E4A12">
        <w:trPr>
          <w:trHeight w:val="59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950E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Year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0623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EAL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5491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EAL Value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0F39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 at 2g/nm3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E1AA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 at 10g/nm3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F613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Max PC% of objective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7FD09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Screened Out</w:t>
            </w:r>
          </w:p>
        </w:tc>
      </w:tr>
      <w:tr w:rsidR="00022A19" w:rsidRPr="001E4A12" w14:paraId="685ED787" w14:textId="77777777" w:rsidTr="00022A19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6B12" w14:textId="6A643EFB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2016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4A6801" w14:textId="3305EA0B" w:rsidR="00022A19" w:rsidRPr="001E4A12" w:rsidRDefault="00022A19" w:rsidP="00022A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ong </w:t>
            </w: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DFBA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DBF4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035E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245C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3B6F6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1340667E" w14:textId="77777777" w:rsidTr="00A02696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3FEB" w14:textId="4A4D7566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2017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E719" w14:textId="04F071CE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83ED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C669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5D2C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2F35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8F65E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29E7D06E" w14:textId="77777777" w:rsidTr="00A02696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AA4B" w14:textId="720A20D8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2018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D3C3" w14:textId="174A9C18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DBD8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DEEA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6AA3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A876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D8804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5D9E37CC" w14:textId="77777777" w:rsidTr="00A02696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D0AC" w14:textId="18F26C33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1F9E" w14:textId="2452F74C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AEAA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876C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2802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8C40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33D93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6052F76B" w14:textId="77777777" w:rsidTr="00A02696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6FA5" w14:textId="1F0328F4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8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BAF3" w14:textId="1DE5E964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C3FC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6DDF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B6E3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091F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F97E5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1800FC1F" w14:textId="77777777" w:rsidTr="001E4A12">
        <w:trPr>
          <w:trHeight w:val="29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ABCB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8879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8237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665A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5386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2ACD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BC57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2A19" w:rsidRPr="001E4A12" w14:paraId="052999F0" w14:textId="77777777" w:rsidTr="001E4A12">
        <w:trPr>
          <w:trHeight w:val="3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F2AC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Pentene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B748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164D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7D50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2AC5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B710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9F14" w14:textId="77777777" w:rsidR="00022A19" w:rsidRPr="001E4A12" w:rsidRDefault="00022A19" w:rsidP="00022A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2A19" w:rsidRPr="001E4A12" w14:paraId="556EAE31" w14:textId="77777777" w:rsidTr="001E4A12">
        <w:trPr>
          <w:trHeight w:val="590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2D3C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Year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0E3F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EAL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4A40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EAL Value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380A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 at 2g/nm3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B9B6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 at 10g/nm3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7E05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Max PC% of objective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D45E0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Screened Out</w:t>
            </w:r>
          </w:p>
        </w:tc>
      </w:tr>
      <w:tr w:rsidR="00022A19" w:rsidRPr="001E4A12" w14:paraId="499E6003" w14:textId="77777777" w:rsidTr="00022A19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658C" w14:textId="156126B1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2016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CD53E0" w14:textId="31FC2A89" w:rsidR="00022A19" w:rsidRPr="001E4A12" w:rsidRDefault="00022A19" w:rsidP="00022A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ong </w:t>
            </w: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6BB4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9C20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5942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0673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662EF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7611078B" w14:textId="77777777" w:rsidTr="001A1968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3039" w14:textId="2704512A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2017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F271" w14:textId="31F892D3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BCEE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D52C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C33D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D53A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5D249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123B21C0" w14:textId="77777777" w:rsidTr="001A1968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5536" w14:textId="08A2870B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2018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B9E0" w14:textId="28258651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E98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7FC0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BD1F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15F8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59E6A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3560FF79" w14:textId="77777777" w:rsidTr="001A1968">
        <w:trPr>
          <w:trHeight w:val="29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830B" w14:textId="0FF1BAB3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EAA1" w14:textId="429E86DA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EDB8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78DE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D25C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FAF9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1FD59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  <w:tr w:rsidR="00022A19" w:rsidRPr="001E4A12" w14:paraId="5D2CD471" w14:textId="77777777" w:rsidTr="001A1968">
        <w:trPr>
          <w:trHeight w:val="30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8B03" w14:textId="18E70E3E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8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EBEC" w14:textId="56A8203A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A3EA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000E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EDD4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C891" w14:textId="77777777" w:rsidR="00022A19" w:rsidRPr="001E4A12" w:rsidRDefault="00022A19" w:rsidP="00022A1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0.0%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B2164" w14:textId="77777777" w:rsidR="00022A19" w:rsidRPr="001E4A12" w:rsidRDefault="00022A19" w:rsidP="00022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E4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YES</w:t>
            </w:r>
          </w:p>
        </w:tc>
      </w:tr>
    </w:tbl>
    <w:p w14:paraId="555F35F6" w14:textId="77777777" w:rsidR="00E377F9" w:rsidRDefault="00E377F9"/>
    <w:p w14:paraId="4D18F7AB" w14:textId="77CEDFC5" w:rsidR="00022A19" w:rsidRDefault="00022A19" w:rsidP="00022A19">
      <w:r w:rsidRPr="00022A19">
        <w:t>Maximum annual average offsite butene</w:t>
      </w:r>
      <w:r>
        <w:t>, pentane and pentene</w:t>
      </w:r>
      <w:r w:rsidRPr="00022A19">
        <w:t xml:space="preserve"> concentrations are screened out, as they</w:t>
      </w:r>
      <w:r>
        <w:t xml:space="preserve"> </w:t>
      </w:r>
      <w:r w:rsidRPr="00022A19">
        <w:t>are less than 1% of the respective EALs.</w:t>
      </w:r>
    </w:p>
    <w:p w14:paraId="0F1F3626" w14:textId="6EF33A44" w:rsidR="00022A19" w:rsidRDefault="00022A19" w:rsidP="00022A19">
      <w:r w:rsidRPr="00022A19">
        <w:t>Maximum hourly average offsite but</w:t>
      </w:r>
      <w:r w:rsidR="00B55173">
        <w:t>a</w:t>
      </w:r>
      <w:r w:rsidRPr="00022A19">
        <w:t xml:space="preserve">ne </w:t>
      </w:r>
      <w:r w:rsidR="00B55173">
        <w:t xml:space="preserve">and butene </w:t>
      </w:r>
      <w:r w:rsidRPr="00022A19">
        <w:t>concentrations are screened out, as they</w:t>
      </w:r>
      <w:r w:rsidR="00B55173">
        <w:t xml:space="preserve"> </w:t>
      </w:r>
      <w:r w:rsidRPr="00022A19">
        <w:t>are less than 10% of the respective EALs.</w:t>
      </w:r>
    </w:p>
    <w:p w14:paraId="63C18124" w14:textId="77777777" w:rsidR="00780471" w:rsidRDefault="00B55173" w:rsidP="00022A19">
      <w:r>
        <w:t xml:space="preserve">There are several years in the results for the maximum annual average offsite butane concentrations which are not screened out as they are above 1% of the respective EAL. In each case they are only very slightly above 1% of the EAL (1.1% or 1.3%). The </w:t>
      </w:r>
      <w:proofErr w:type="gramStart"/>
      <w:r>
        <w:t>long term</w:t>
      </w:r>
      <w:proofErr w:type="gramEnd"/>
      <w:r>
        <w:t xml:space="preserve"> figures are calculated on the basis of a continuous emission, as this was considered to be the most conservative basis. </w:t>
      </w:r>
    </w:p>
    <w:p w14:paraId="7C77337E" w14:textId="645EA3CE" w:rsidR="00780471" w:rsidRDefault="00780471" w:rsidP="00022A19">
      <w:r>
        <w:t xml:space="preserve">An alternative model could be completed based on the maximum total annual loading, as advised in an earlier question, of </w:t>
      </w:r>
      <w:r w:rsidRPr="00780471">
        <w:t xml:space="preserve">2,900,000m3/annum and a flowrate of 500m3/hour (which is 50% of the design flow), this would result in a maximum total duration of usage of 241.6 days per annum, equivalent to 66% of the year. </w:t>
      </w:r>
      <w:r>
        <w:t xml:space="preserve">This basis is still highly conservative as the maximum loading is significantly above the planned and it assumes an equivalent flow of </w:t>
      </w:r>
      <w:r>
        <w:lastRenderedPageBreak/>
        <w:t>hydrocarbon in the emissions to air – even though the flowrate to the ship is 50% of the design flow at which the modelled emission flowrate is calculated.</w:t>
      </w:r>
    </w:p>
    <w:p w14:paraId="41370EEF" w14:textId="2942FDE7" w:rsidR="00780471" w:rsidRPr="00780471" w:rsidRDefault="00780471" w:rsidP="00022A19">
      <w:r>
        <w:t>This alternative model would therefore be expected to produce maximum annual offsite butane concentrations which were screened out</w:t>
      </w:r>
      <w:r w:rsidR="00833520">
        <w:t xml:space="preserve">, </w:t>
      </w:r>
      <w:r w:rsidR="00833520" w:rsidRPr="00022A19">
        <w:t>as they</w:t>
      </w:r>
      <w:r w:rsidR="00833520">
        <w:t xml:space="preserve"> were</w:t>
      </w:r>
      <w:r w:rsidR="00833520" w:rsidRPr="00022A19">
        <w:t xml:space="preserve"> less than 1% of the respective EAL.</w:t>
      </w:r>
    </w:p>
    <w:p w14:paraId="78EC9631" w14:textId="77777777" w:rsidR="00B55173" w:rsidRDefault="00B55173" w:rsidP="00022A19"/>
    <w:p w14:paraId="4CF932D0" w14:textId="77777777" w:rsidR="00022A19" w:rsidRDefault="00022A19" w:rsidP="00022A19"/>
    <w:sectPr w:rsidR="00022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12"/>
    <w:rsid w:val="00022A19"/>
    <w:rsid w:val="0008390A"/>
    <w:rsid w:val="001E4A12"/>
    <w:rsid w:val="00386030"/>
    <w:rsid w:val="0038765D"/>
    <w:rsid w:val="004D6505"/>
    <w:rsid w:val="006F4BC8"/>
    <w:rsid w:val="00780471"/>
    <w:rsid w:val="00833520"/>
    <w:rsid w:val="00B55173"/>
    <w:rsid w:val="00C140EC"/>
    <w:rsid w:val="00CB472E"/>
    <w:rsid w:val="00D87F29"/>
    <w:rsid w:val="00E3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A466"/>
  <w15:chartTrackingRefBased/>
  <w15:docId w15:val="{A72BC8C8-6EBA-426E-AE65-6304BBE2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A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A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A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A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2B7CA8FB5175F54D9E0CBA42E79C5691" ma:contentTypeVersion="33" ma:contentTypeDescription="Create a new document." ma:contentTypeScope="" ma:versionID="22c67fa1ca36ac296b2c1705ecc932d9">
  <xsd:schema xmlns:xsd="http://www.w3.org/2001/XMLSchema" xmlns:xs="http://www.w3.org/2001/XMLSchema" xmlns:p="http://schemas.microsoft.com/office/2006/metadata/properties" xmlns:ns2="662745e8-e224-48e8-a2e3-254862b8c2f5" xmlns:ns3="bf263031-ffd2-4e86-8f4d-1e64fa475fec" xmlns:ns4="e76eb3f9-f7d4-4afe-8d75-1839375753c6" targetNamespace="http://schemas.microsoft.com/office/2006/metadata/properties" ma:root="true" ma:fieldsID="58c75edd420a70a213b218b3c631de6e" ns2:_="" ns3:_="" ns4:_="">
    <xsd:import namespace="662745e8-e224-48e8-a2e3-254862b8c2f5"/>
    <xsd:import namespace="bf263031-ffd2-4e86-8f4d-1e64fa475fec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14b903-0b07-4e5f-bc01-af818658ec3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14b903-0b07-4e5f-bc01-af818658ec35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Permitting Service Installations Regime" ma:internalName="Team">
      <xsd:simpleType>
        <xsd:restriction base="dms:Text"/>
      </xsd:simpleType>
    </xsd:element>
    <xsd:element name="Topic" ma:index="20" nillable="true" ma:displayName="Topic" ma:default="Manufacturing WIP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63031-ffd2-4e86-8f4d-1e64fa475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56E373D105EEC340838F4C20D6107928" ma:contentTypeVersion="47" ma:contentTypeDescription="Create a new document." ma:contentTypeScope="" ma:versionID="18bde6dbf5fe6aa50d6cd85996f81450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da21e935-9c4e-465c-9eca-732bd850eeb1" targetNamespace="http://schemas.microsoft.com/office/2006/metadata/properties" ma:root="true" ma:fieldsID="97c6a69e2213f72385799e488ce207b2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da21e935-9c4e-465c-9eca-732bd850eeb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ServiceOCR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1e935-9c4e-465c-9eca-732bd850e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5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1" nillable="true" ma:displayName="Tags" ma:internalName="MediaServiceAutoTags" ma:readOnly="true">
      <xsd:simpleType>
        <xsd:restriction base="dms:Text"/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49</Value>
      <Value>11</Value>
      <Value>48</Value>
      <Value>14</Value>
    </TaxCatchAll>
    <lcf76f155ced4ddcb4097134ff3c332f xmlns="da21e935-9c4e-465c-9eca-732bd850eeb1">
      <Terms xmlns="http://schemas.microsoft.com/office/infopath/2007/PartnerControls"/>
    </lcf76f155ced4ddcb4097134ff3c332f>
    <EAReceivedDate xmlns="eebef177-55b5-4448-a5fb-28ea454417ee">2024-12-05T00:00:00+00:00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EPR-TP3301MD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Stanlow Terminals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2024-12-05T00:00:00+00:00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EPR/TP3301MD/T001</EPRNumber>
    <FacilityAddressPostcode xmlns="eebef177-55b5-4448-a5fb-28ea454417ee">CH42 1LQ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Jane Shorthall</ExternalAuthor>
    <SiteName xmlns="eebef177-55b5-4448-a5fb-28ea454417ee">Tranmere Oil Terminal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Tranmere Oil Terminal New Chester Road Tranmere Wirral CH42 1LQ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DFDE66D1-57C5-4276-A90E-BF46D386C840}"/>
</file>

<file path=customXml/itemProps2.xml><?xml version="1.0" encoding="utf-8"?>
<ds:datastoreItem xmlns:ds="http://schemas.openxmlformats.org/officeDocument/2006/customXml" ds:itemID="{8583ADA4-8817-4A26-ABCD-440D04E4F077}"/>
</file>

<file path=customXml/itemProps3.xml><?xml version="1.0" encoding="utf-8"?>
<ds:datastoreItem xmlns:ds="http://schemas.openxmlformats.org/officeDocument/2006/customXml" ds:itemID="{037D096B-E2C1-446E-A0AA-2DF88F60174C}"/>
</file>

<file path=customXml/itemProps4.xml><?xml version="1.0" encoding="utf-8"?>
<ds:datastoreItem xmlns:ds="http://schemas.openxmlformats.org/officeDocument/2006/customXml" ds:itemID="{3B66EBD7-5C57-49BF-9D45-0A03BD44D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Essar Oil Uk Ltd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Rothwell, Katie J EETFUELS-ODU/10/06</dc:creator>
  <cp:keywords/>
  <dc:description/>
  <cp:lastModifiedBy>Rothwell, Katie J EETFUELS-ODU/10/06</cp:lastModifiedBy>
  <cp:revision>3</cp:revision>
  <dcterms:created xsi:type="dcterms:W3CDTF">2024-12-04T10:22:00Z</dcterms:created>
  <dcterms:modified xsi:type="dcterms:W3CDTF">2024-12-04T10:22:00Z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0x0101000E9AD557692E154F9D2697C8C6432F760056E373D105EEC340838F4C20D6107928</vt:lpwstr>
  </property>
  <property fmtid="{D5CDD505-2E9C-101B-9397-08002B2CF9AE}" pid="3" name="InformationType">
    <vt:lpwstr/>
  </property>
  <property fmtid="{D5CDD505-2E9C-101B-9397-08002B2CF9AE}" pid="4" name="Distribution">
    <vt:lpwstr>9;#Internal EA|b77da37e-7166-4741-8c12-4679faab22d9</vt:lpwstr>
  </property>
  <property fmtid="{D5CDD505-2E9C-101B-9397-08002B2CF9AE}" pid="5" name="MediaServiceImageTags">
    <vt:lpwstr/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8;#EA|d5f78ddb-b1b6-4328-9877-d7e3ed06fdac</vt:lpwstr>
  </property>
  <property fmtid="{D5CDD505-2E9C-101B-9397-08002B2CF9AE}" pid="10" name="PermitDocumentType">
    <vt:lpwstr/>
  </property>
  <property fmtid="{D5CDD505-2E9C-101B-9397-08002B2CF9AE}" pid="11" name="TypeofPermit">
    <vt:lpwstr>48;#N/A - Do not select for New Permits|0430e4c2-ee0a-4b2d-9af6-df735aafbcb2</vt:lpwstr>
  </property>
  <property fmtid="{D5CDD505-2E9C-101B-9397-08002B2CF9AE}" pid="12" name="DisclosureStatus">
    <vt:lpwstr>41;#Public Register|f1fcf6a6-5d97-4f1d-964e-a2f916eb1f18</vt:lpwstr>
  </property>
  <property fmtid="{D5CDD505-2E9C-101B-9397-08002B2CF9AE}" pid="13" name="ActivityGrouping">
    <vt:lpwstr>14;#Application ＆ Associated Docs|5eadfd3c-6deb-44e1-b7e1-16accd427bec</vt:lpwstr>
  </property>
  <property fmtid="{D5CDD505-2E9C-101B-9397-08002B2CF9AE}" pid="14" name="RegulatedActivityClass">
    <vt:lpwstr>49;#Installations|645f1c9c-65df-490a-9ce3-4a2aa7c5ff7f</vt:lpwstr>
  </property>
  <property fmtid="{D5CDD505-2E9C-101B-9397-08002B2CF9AE}" pid="15" name="Catchment">
    <vt:lpwstr/>
  </property>
  <property fmtid="{D5CDD505-2E9C-101B-9397-08002B2CF9AE}" pid="16" name="MajorProjectID">
    <vt:lpwstr/>
  </property>
  <property fmtid="{D5CDD505-2E9C-101B-9397-08002B2CF9AE}" pid="17" name="StandardRulesID">
    <vt:lpwstr/>
  </property>
  <property fmtid="{D5CDD505-2E9C-101B-9397-08002B2CF9AE}" pid="18" name="CessationStatus">
    <vt:lpwstr/>
  </property>
  <property fmtid="{D5CDD505-2E9C-101B-9397-08002B2CF9AE}" pid="19" name="Regime">
    <vt:lpwstr>11;#EPR|0e5af97d-1a8c-4d8f-a20b-528a11cab1f6</vt:lpwstr>
  </property>
  <property fmtid="{D5CDD505-2E9C-101B-9397-08002B2CF9AE}" pid="20" name="RegulatedActivitySub-Class">
    <vt:lpwstr/>
  </property>
  <property fmtid="{D5CDD505-2E9C-101B-9397-08002B2CF9AE}" pid="21" name="EventType1">
    <vt:lpwstr/>
  </property>
  <property fmtid="{D5CDD505-2E9C-101B-9397-08002B2CF9AE}" pid="22" name="RegulatedActivitySub_x002d_Class">
    <vt:lpwstr/>
  </property>
</Properties>
</file>