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26FFBE6" w:rsidP="726FFBE6" w:rsidRDefault="726FFBE6" w14:paraId="4247CA19" w14:textId="1BE9932E">
      <w:pPr>
        <w:spacing w:after="0" w:line="240" w:lineRule="auto"/>
        <w:rPr>
          <w:rStyle w:val="HSEQTitle"/>
        </w:rPr>
      </w:pPr>
    </w:p>
    <w:p w:rsidRPr="00DC035A" w:rsidR="00DC035A" w:rsidP="00DC035A" w:rsidRDefault="00E75950" w14:paraId="30B12013" w14:textId="4CFEB472">
      <w:pPr>
        <w:spacing w:after="0" w:line="240" w:lineRule="auto"/>
        <w:rPr>
          <w:rStyle w:val="HSEQTitle"/>
        </w:rPr>
      </w:pPr>
      <w:r>
        <w:rPr>
          <w:rStyle w:val="HSEQTitle"/>
        </w:rPr>
        <w:t>surface water management plan for waterbeach MBT Facility</w:t>
      </w:r>
    </w:p>
    <w:p w:rsidR="00542D0E" w:rsidP="00542D0E" w:rsidRDefault="00542D0E" w14:paraId="202085CE" w14:textId="77777777">
      <w:pPr>
        <w:pStyle w:val="AmeyTableText"/>
      </w:pPr>
    </w:p>
    <w:p w:rsidR="00E75950" w:rsidP="00E75950" w:rsidRDefault="00E75950" w14:paraId="6FC501A4" w14:textId="77777777">
      <w:pPr>
        <w:jc w:val="both"/>
        <w:rPr>
          <w:rFonts w:ascii="Arial" w:hAnsi="Arial" w:cs="Arial"/>
          <w:b/>
          <w:sz w:val="24"/>
          <w:szCs w:val="24"/>
        </w:rPr>
      </w:pPr>
      <w:r>
        <w:rPr>
          <w:rFonts w:ascii="Arial" w:hAnsi="Arial" w:cs="Arial"/>
          <w:b/>
          <w:sz w:val="24"/>
          <w:szCs w:val="24"/>
        </w:rPr>
        <w:t>Overview</w:t>
      </w:r>
    </w:p>
    <w:p w:rsidR="00E75950" w:rsidP="00E75950" w:rsidRDefault="00E75950" w14:paraId="7B8177AF" w14:textId="77777777">
      <w:pPr>
        <w:jc w:val="both"/>
        <w:rPr>
          <w:rFonts w:ascii="Arial" w:hAnsi="Arial" w:cs="Arial"/>
        </w:rPr>
      </w:pPr>
      <w:r>
        <w:rPr>
          <w:rFonts w:ascii="Arial" w:hAnsi="Arial" w:cs="Arial"/>
        </w:rPr>
        <w:t xml:space="preserve">The purpose of this document is to detail what provisions have been </w:t>
      </w:r>
      <w:proofErr w:type="gramStart"/>
      <w:r>
        <w:rPr>
          <w:rFonts w:ascii="Arial" w:hAnsi="Arial" w:cs="Arial"/>
        </w:rPr>
        <w:t>taken into account</w:t>
      </w:r>
      <w:proofErr w:type="gramEnd"/>
      <w:r>
        <w:rPr>
          <w:rFonts w:ascii="Arial" w:hAnsi="Arial" w:cs="Arial"/>
        </w:rPr>
        <w:t xml:space="preserve"> during the design phase of the project to manage the surface water </w:t>
      </w:r>
      <w:proofErr w:type="spellStart"/>
      <w:r>
        <w:rPr>
          <w:rFonts w:ascii="Arial" w:hAnsi="Arial" w:cs="Arial"/>
        </w:rPr>
        <w:t>run off</w:t>
      </w:r>
      <w:proofErr w:type="spellEnd"/>
      <w:r>
        <w:rPr>
          <w:rFonts w:ascii="Arial" w:hAnsi="Arial" w:cs="Arial"/>
        </w:rPr>
        <w:t xml:space="preserve"> from the site.  Further details giving the calculations used in the design can be found in the Drainage Design Philosophy (Revision B) produced by the scheme’s designers RPS Burks Green if required.  Attached to this document as Appendix 1 are the following drawings which provided as-built information on the drainage installed as part of the facility;</w:t>
      </w:r>
    </w:p>
    <w:p w:rsidR="00E75950" w:rsidP="00E75950" w:rsidRDefault="00E75950" w14:paraId="1DC9F16D" w14:textId="77777777">
      <w:pPr>
        <w:numPr>
          <w:ilvl w:val="0"/>
          <w:numId w:val="7"/>
        </w:numPr>
        <w:spacing w:after="0" w:line="240" w:lineRule="auto"/>
        <w:jc w:val="both"/>
        <w:rPr>
          <w:rFonts w:ascii="Arial" w:hAnsi="Arial" w:cs="Arial"/>
        </w:rPr>
      </w:pPr>
      <w:r>
        <w:rPr>
          <w:rFonts w:ascii="Arial" w:hAnsi="Arial" w:cs="Arial"/>
        </w:rPr>
        <w:t>14942/A1/0300 rev Q Surface Water Drainage</w:t>
      </w:r>
    </w:p>
    <w:p w:rsidR="00E75950" w:rsidP="00E75950" w:rsidRDefault="00E75950" w14:paraId="673FAAFA" w14:textId="77777777">
      <w:pPr>
        <w:numPr>
          <w:ilvl w:val="0"/>
          <w:numId w:val="7"/>
        </w:numPr>
        <w:spacing w:after="0" w:line="240" w:lineRule="auto"/>
        <w:jc w:val="both"/>
        <w:rPr>
          <w:rFonts w:ascii="Arial" w:hAnsi="Arial" w:cs="Arial"/>
        </w:rPr>
      </w:pPr>
      <w:r>
        <w:rPr>
          <w:rFonts w:ascii="Arial" w:hAnsi="Arial" w:cs="Arial"/>
        </w:rPr>
        <w:t>14942/A1/0301 rev C Foul Water Drainage Layout</w:t>
      </w:r>
    </w:p>
    <w:p w:rsidR="00E75950" w:rsidP="00E75950" w:rsidRDefault="00E75950" w14:paraId="108F247F" w14:textId="77777777">
      <w:pPr>
        <w:jc w:val="both"/>
        <w:rPr>
          <w:rFonts w:ascii="Arial" w:hAnsi="Arial" w:cs="Arial"/>
        </w:rPr>
      </w:pPr>
    </w:p>
    <w:p w:rsidR="00E75950" w:rsidP="00E75950" w:rsidRDefault="00E75950" w14:paraId="5E77D049" w14:textId="77777777">
      <w:pPr>
        <w:jc w:val="both"/>
        <w:rPr>
          <w:rFonts w:ascii="Arial" w:hAnsi="Arial" w:cs="Arial"/>
          <w:b/>
          <w:sz w:val="24"/>
          <w:szCs w:val="24"/>
        </w:rPr>
      </w:pPr>
      <w:r>
        <w:rPr>
          <w:rFonts w:ascii="Arial" w:hAnsi="Arial" w:cs="Arial"/>
          <w:b/>
          <w:sz w:val="24"/>
          <w:szCs w:val="24"/>
        </w:rPr>
        <w:t>Introduction</w:t>
      </w:r>
    </w:p>
    <w:p w:rsidR="00E75950" w:rsidP="00E75950" w:rsidRDefault="00E75950" w14:paraId="4DCA3129" w14:textId="77777777">
      <w:pPr>
        <w:jc w:val="both"/>
        <w:rPr>
          <w:rFonts w:ascii="Arial" w:hAnsi="Arial" w:cs="Arial"/>
        </w:rPr>
      </w:pPr>
      <w:r>
        <w:rPr>
          <w:rFonts w:ascii="Arial" w:hAnsi="Arial" w:cs="Arial"/>
        </w:rPr>
        <w:t xml:space="preserve">The design of the surface water drainage has been based on the philosophy to attenuate flows and retain surface water on site using a combination of swales and basins.  The discharge of site will be attenuated to a flow rate of 1.1 litres per second per hectare of catchment area as stated on the Flood Risk Assessment.  All flow from the site will be discharged into the existing Beach Ditch along the west boundary via a </w:t>
      </w:r>
      <w:proofErr w:type="spellStart"/>
      <w:r>
        <w:rPr>
          <w:rFonts w:ascii="Arial" w:hAnsi="Arial" w:cs="Arial"/>
        </w:rPr>
        <w:t>Hydrobrake</w:t>
      </w:r>
      <w:proofErr w:type="spellEnd"/>
      <w:r>
        <w:rPr>
          <w:rFonts w:ascii="Arial" w:hAnsi="Arial" w:cs="Arial"/>
        </w:rPr>
        <w:t xml:space="preserve"> which limits the discharged rate to a maximum of 6 litres per second.  Foul water drainage is only required for the offices and not the composting and this is processed by a </w:t>
      </w:r>
      <w:proofErr w:type="spellStart"/>
      <w:r>
        <w:rPr>
          <w:rFonts w:ascii="Arial" w:hAnsi="Arial" w:cs="Arial"/>
        </w:rPr>
        <w:t>Klargester</w:t>
      </w:r>
      <w:proofErr w:type="spellEnd"/>
      <w:r>
        <w:rPr>
          <w:rFonts w:ascii="Arial" w:hAnsi="Arial" w:cs="Arial"/>
        </w:rPr>
        <w:t xml:space="preserve"> </w:t>
      </w:r>
      <w:proofErr w:type="spellStart"/>
      <w:r>
        <w:rPr>
          <w:rFonts w:ascii="Arial" w:hAnsi="Arial" w:cs="Arial"/>
        </w:rPr>
        <w:t>Biodisc</w:t>
      </w:r>
      <w:proofErr w:type="spellEnd"/>
      <w:r>
        <w:rPr>
          <w:rFonts w:ascii="Arial" w:hAnsi="Arial" w:cs="Arial"/>
        </w:rPr>
        <w:t xml:space="preserve"> Sewer Treatment Tank before the treated water is discharged into the surface water system.  </w:t>
      </w:r>
    </w:p>
    <w:p w:rsidR="00E75950" w:rsidP="00E75950" w:rsidRDefault="00E75950" w14:paraId="60CCC37D" w14:textId="77777777">
      <w:pPr>
        <w:jc w:val="both"/>
        <w:rPr>
          <w:rFonts w:ascii="Arial" w:hAnsi="Arial" w:cs="Arial"/>
        </w:rPr>
      </w:pPr>
    </w:p>
    <w:p w:rsidR="00E75950" w:rsidP="00E75950" w:rsidRDefault="00E75950" w14:paraId="2A748B32" w14:textId="77777777">
      <w:pPr>
        <w:jc w:val="both"/>
        <w:rPr>
          <w:rFonts w:ascii="Arial" w:hAnsi="Arial" w:cs="Arial"/>
          <w:b/>
          <w:sz w:val="24"/>
          <w:szCs w:val="24"/>
        </w:rPr>
      </w:pPr>
      <w:r>
        <w:rPr>
          <w:rFonts w:ascii="Arial" w:hAnsi="Arial" w:cs="Arial"/>
          <w:b/>
          <w:sz w:val="24"/>
          <w:szCs w:val="24"/>
        </w:rPr>
        <w:t>Surface Water System</w:t>
      </w:r>
    </w:p>
    <w:p w:rsidR="00E75950" w:rsidP="00E75950" w:rsidRDefault="00E75950" w14:paraId="0A819FF9" w14:textId="77777777">
      <w:pPr>
        <w:jc w:val="both"/>
        <w:rPr>
          <w:rFonts w:ascii="Arial" w:hAnsi="Arial" w:cs="Arial"/>
        </w:rPr>
      </w:pPr>
      <w:r>
        <w:rPr>
          <w:rFonts w:ascii="Arial" w:hAnsi="Arial" w:cs="Arial"/>
        </w:rPr>
        <w:t xml:space="preserve">The surface water discharges via a system of 4No swales, a balancing pond and a re-profiled swale along the southern boundary.  All the swales and the basin are designed to remain dry during periods of low rainfall, but under periods of extreme rainfall provide sufficient capacity to compensate for the limited discharge through the </w:t>
      </w:r>
      <w:proofErr w:type="spellStart"/>
      <w:r>
        <w:rPr>
          <w:rFonts w:ascii="Arial" w:hAnsi="Arial" w:cs="Arial"/>
        </w:rPr>
        <w:t>Hydrobrake</w:t>
      </w:r>
      <w:proofErr w:type="spellEnd"/>
      <w:r>
        <w:rPr>
          <w:rFonts w:ascii="Arial" w:hAnsi="Arial" w:cs="Arial"/>
        </w:rPr>
        <w:t xml:space="preserve">.  The capacity of the drainage system has been designed so that no flooding detrimental to buildings shall be permitted in the worst case 1 in </w:t>
      </w:r>
      <w:proofErr w:type="gramStart"/>
      <w:r>
        <w:rPr>
          <w:rFonts w:ascii="Arial" w:hAnsi="Arial" w:cs="Arial"/>
        </w:rPr>
        <w:t>100 year</w:t>
      </w:r>
      <w:proofErr w:type="gramEnd"/>
      <w:r>
        <w:rPr>
          <w:rFonts w:ascii="Arial" w:hAnsi="Arial" w:cs="Arial"/>
        </w:rPr>
        <w:t xml:space="preserve"> storm.  Within the </w:t>
      </w:r>
      <w:proofErr w:type="gramStart"/>
      <w:r>
        <w:rPr>
          <w:rFonts w:ascii="Arial" w:hAnsi="Arial" w:cs="Arial"/>
        </w:rPr>
        <w:t>calculations</w:t>
      </w:r>
      <w:proofErr w:type="gramEnd"/>
      <w:r>
        <w:rPr>
          <w:rFonts w:ascii="Arial" w:hAnsi="Arial" w:cs="Arial"/>
        </w:rPr>
        <w:t xml:space="preserve"> a 20% increase in rainfall has been allowed for due to climate change.</w:t>
      </w:r>
    </w:p>
    <w:p w:rsidR="00E75950" w:rsidP="00E75950" w:rsidRDefault="00E75950" w14:paraId="29E2BC98" w14:textId="77777777">
      <w:pPr>
        <w:jc w:val="both"/>
        <w:rPr>
          <w:rFonts w:ascii="Arial" w:hAnsi="Arial" w:cs="Arial"/>
        </w:rPr>
      </w:pPr>
    </w:p>
    <w:p w:rsidR="00E75950" w:rsidP="00E75950" w:rsidRDefault="00E75950" w14:paraId="7A69E257" w14:textId="77777777">
      <w:pPr>
        <w:jc w:val="both"/>
        <w:rPr>
          <w:rFonts w:ascii="Arial" w:hAnsi="Arial" w:cs="Arial"/>
        </w:rPr>
      </w:pPr>
      <w:r>
        <w:rPr>
          <w:rFonts w:ascii="Arial" w:hAnsi="Arial" w:cs="Arial"/>
        </w:rPr>
        <w:t xml:space="preserve">Run off from the one half of the composting hall roof is diverted to an underground 560m3 rainwater harvesting tank for use in the process, which when full overflows into the balancing </w:t>
      </w:r>
      <w:r>
        <w:rPr>
          <w:rFonts w:ascii="Arial" w:hAnsi="Arial" w:cs="Arial"/>
        </w:rPr>
        <w:lastRenderedPageBreak/>
        <w:t xml:space="preserve">pond adjacent to Ely Road.  A proportion of the flow from the other half of the composting hall roof flows to a second 200m3 tank which feeds greywater to the Education Centre and overflows into the adjacent swale.  The remaining run off from the buildings and the external hard standing areas is all collected via gullies, Q-max channels and permeable paving before being discharged into the surface water system.  No matter where surface water is collected on the site it will be directed through the clay lines basin and along the swale to the </w:t>
      </w:r>
      <w:proofErr w:type="spellStart"/>
      <w:r>
        <w:rPr>
          <w:rFonts w:ascii="Arial" w:hAnsi="Arial" w:cs="Arial"/>
        </w:rPr>
        <w:t>Hydrobrake</w:t>
      </w:r>
      <w:proofErr w:type="spellEnd"/>
      <w:r>
        <w:rPr>
          <w:rFonts w:ascii="Arial" w:hAnsi="Arial" w:cs="Arial"/>
        </w:rPr>
        <w:t xml:space="preserve"> to ensure the discharge rate into Beach ditch is not exceeded.</w:t>
      </w:r>
    </w:p>
    <w:p w:rsidR="00E75950" w:rsidP="00E75950" w:rsidRDefault="00E75950" w14:paraId="4B1D1C9D" w14:textId="77777777">
      <w:pPr>
        <w:jc w:val="both"/>
        <w:rPr>
          <w:rFonts w:ascii="Arial" w:hAnsi="Arial" w:cs="Arial"/>
        </w:rPr>
      </w:pPr>
    </w:p>
    <w:p w:rsidR="00E75950" w:rsidP="00E75950" w:rsidRDefault="00E75950" w14:paraId="36DF9A5D" w14:textId="77777777">
      <w:pPr>
        <w:jc w:val="both"/>
        <w:rPr>
          <w:rFonts w:ascii="Arial" w:hAnsi="Arial" w:cs="Arial"/>
          <w:b/>
          <w:sz w:val="24"/>
          <w:szCs w:val="24"/>
        </w:rPr>
      </w:pPr>
      <w:r>
        <w:rPr>
          <w:rFonts w:ascii="Arial" w:hAnsi="Arial" w:cs="Arial"/>
          <w:b/>
          <w:sz w:val="24"/>
          <w:szCs w:val="24"/>
        </w:rPr>
        <w:t>Provisions at Bio-Filter (Sulphuric Acid / Ammonium Sulphate Storage)</w:t>
      </w:r>
    </w:p>
    <w:p w:rsidR="00E75950" w:rsidP="00E75950" w:rsidRDefault="00E75950" w14:paraId="5C0BDBD4" w14:textId="6FE8392A">
      <w:pPr>
        <w:jc w:val="both"/>
        <w:rPr>
          <w:rFonts w:ascii="Arial" w:hAnsi="Arial" w:cs="Arial"/>
        </w:rPr>
      </w:pPr>
      <w:r>
        <w:rPr>
          <w:rFonts w:ascii="Arial" w:hAnsi="Arial" w:cs="Arial"/>
        </w:rPr>
        <w:t xml:space="preserve">Within the Bio-filter are two 30m3 double bunded storage tanks which contain 76% concentrated sulphuric acid and ammonium sulphate.  For added protection </w:t>
      </w:r>
      <w:proofErr w:type="gramStart"/>
      <w:r>
        <w:rPr>
          <w:rFonts w:ascii="Arial" w:hAnsi="Arial" w:cs="Arial"/>
        </w:rPr>
        <w:t>despite the fact that</w:t>
      </w:r>
      <w:proofErr w:type="gramEnd"/>
      <w:r>
        <w:rPr>
          <w:rFonts w:ascii="Arial" w:hAnsi="Arial" w:cs="Arial"/>
        </w:rPr>
        <w:t xml:space="preserve"> these tanks are double bunded with a vacuum between the layers to trigger an alarm if the internal skin is breached, both tanks sit within a concrete bund with a capacity of 33m3.  All pipework between the tanks and the acid scrubber used to remove ammonia from the compost hall exhaust is also double skinned for protection against an un-controlled discharge.  In the unlikely event that there is an uncontrolled discharge at the bio-filter, for example during an acid delivery, then any spillage </w:t>
      </w:r>
      <w:proofErr w:type="gramStart"/>
      <w:r>
        <w:rPr>
          <w:rFonts w:ascii="Arial" w:hAnsi="Arial" w:cs="Arial"/>
        </w:rPr>
        <w:t>will have to</w:t>
      </w:r>
      <w:proofErr w:type="gramEnd"/>
      <w:r>
        <w:rPr>
          <w:rFonts w:ascii="Arial" w:hAnsi="Arial" w:cs="Arial"/>
        </w:rPr>
        <w:t xml:space="preserve"> travel the entire surface water system before reaching Beach ditch.  To prevent this from happening a penstock has been installed at headwall 19 (adjacent to the turning head) which will be closed prior to any delivery of sulphuric acid or any removal of ammonium sulphate.  The penstock will only be opened once the delivery/collection vehicle has left site and the area is inspected and found to be clean. During period of low rainfall as the swales are mainly dry the spill can be intercepted at one of these and absorbed.  During periods of high </w:t>
      </w:r>
      <w:proofErr w:type="gramStart"/>
      <w:r>
        <w:rPr>
          <w:rFonts w:ascii="Arial" w:hAnsi="Arial" w:cs="Arial"/>
        </w:rPr>
        <w:t>rainfall</w:t>
      </w:r>
      <w:proofErr w:type="gramEnd"/>
      <w:r>
        <w:rPr>
          <w:rFonts w:ascii="Arial" w:hAnsi="Arial" w:cs="Arial"/>
        </w:rPr>
        <w:t xml:space="preserve"> the discharge will be diluted and a test carried out on the trapped water in the system to determine the risk to the environment and allow a plan to be developed for treatment.</w:t>
      </w:r>
    </w:p>
    <w:p w:rsidR="00E75950" w:rsidP="00E75950" w:rsidRDefault="00E75950" w14:paraId="4DFD411C" w14:textId="77777777">
      <w:pPr>
        <w:jc w:val="both"/>
        <w:rPr>
          <w:rFonts w:ascii="Arial" w:hAnsi="Arial" w:cs="Arial"/>
        </w:rPr>
      </w:pPr>
    </w:p>
    <w:p w:rsidR="00E75950" w:rsidP="00E75950" w:rsidRDefault="00E75950" w14:paraId="07B7BAFF" w14:textId="77777777">
      <w:pPr>
        <w:jc w:val="both"/>
        <w:rPr>
          <w:rFonts w:ascii="Arial" w:hAnsi="Arial" w:cs="Arial"/>
          <w:b/>
          <w:sz w:val="24"/>
          <w:szCs w:val="24"/>
        </w:rPr>
      </w:pPr>
      <w:r>
        <w:rPr>
          <w:rFonts w:ascii="Arial" w:hAnsi="Arial" w:cs="Arial"/>
          <w:b/>
          <w:sz w:val="24"/>
          <w:szCs w:val="24"/>
        </w:rPr>
        <w:t>Areas of Contaminated Run Off</w:t>
      </w:r>
    </w:p>
    <w:p w:rsidR="00E75950" w:rsidP="00E75950" w:rsidRDefault="00E75950" w14:paraId="070FBCFE" w14:textId="2F047901">
      <w:pPr>
        <w:jc w:val="both"/>
        <w:rPr>
          <w:rFonts w:ascii="Arial" w:hAnsi="Arial" w:cs="Arial"/>
        </w:rPr>
      </w:pPr>
      <w:r w:rsidRPr="726FFBE6" w:rsidR="00E75950">
        <w:rPr>
          <w:rFonts w:ascii="Arial" w:hAnsi="Arial" w:cs="Arial"/>
        </w:rPr>
        <w:t>In both the Reception and Preparation Halls a Q-max channel has been installed to intercept any surface water which may have been transported by vehicles into the building running back out and entering the system</w:t>
      </w:r>
      <w:r w:rsidRPr="726FFBE6" w:rsidR="00E75950">
        <w:rPr>
          <w:rFonts w:ascii="Arial" w:hAnsi="Arial" w:cs="Arial"/>
        </w:rPr>
        <w:t xml:space="preserve">.  </w:t>
      </w:r>
      <w:r w:rsidRPr="726FFBE6" w:rsidR="00E75950">
        <w:rPr>
          <w:rFonts w:ascii="Arial" w:hAnsi="Arial" w:cs="Arial"/>
        </w:rPr>
        <w:t xml:space="preserve">As the </w:t>
      </w:r>
      <w:r w:rsidRPr="726FFBE6" w:rsidR="00E75950">
        <w:rPr>
          <w:rFonts w:ascii="Arial" w:hAnsi="Arial" w:cs="Arial"/>
        </w:rPr>
        <w:t>water</w:t>
      </w:r>
      <w:r w:rsidRPr="726FFBE6" w:rsidR="00E75950">
        <w:rPr>
          <w:rFonts w:ascii="Arial" w:hAnsi="Arial" w:cs="Arial"/>
        </w:rPr>
        <w:t xml:space="preserve"> may have been contaminated by the waste in both areas this water is channelled to a dedicated Cess Pit which will be </w:t>
      </w:r>
      <w:r w:rsidRPr="726FFBE6" w:rsidR="00E75950">
        <w:rPr>
          <w:rFonts w:ascii="Arial" w:hAnsi="Arial" w:cs="Arial"/>
        </w:rPr>
        <w:t>required</w:t>
      </w:r>
      <w:r w:rsidRPr="726FFBE6" w:rsidR="00E75950">
        <w:rPr>
          <w:rFonts w:ascii="Arial" w:hAnsi="Arial" w:cs="Arial"/>
        </w:rPr>
        <w:t xml:space="preserve"> to empt</w:t>
      </w:r>
      <w:r w:rsidRPr="726FFBE6" w:rsidR="6F9D3DD9">
        <w:rPr>
          <w:rFonts w:ascii="Arial" w:hAnsi="Arial" w:cs="Arial"/>
        </w:rPr>
        <w:t>ied</w:t>
      </w:r>
      <w:r w:rsidRPr="726FFBE6" w:rsidR="00E75950">
        <w:rPr>
          <w:rFonts w:ascii="Arial" w:hAnsi="Arial" w:cs="Arial"/>
        </w:rPr>
        <w:t xml:space="preserve"> on a regular basis.  The channels have been installed inside the doors of the buildings to limit the amount of water entering the Cess Pit and requiring special disposal.  A gulley has also been provided in the product output area linked to this Cess Pit in case items need washing down where the compost is deposited.</w:t>
      </w:r>
    </w:p>
    <w:p w:rsidR="00542D0E" w:rsidP="00542D0E" w:rsidRDefault="00542D0E" w14:paraId="1AB9F0F4" w14:textId="77777777">
      <w:pPr>
        <w:pStyle w:val="AmeyTableText"/>
      </w:pPr>
    </w:p>
    <w:p w:rsidR="00542D0E" w:rsidP="00542D0E" w:rsidRDefault="00542D0E" w14:paraId="6A5D6E32" w14:textId="77777777">
      <w:pPr>
        <w:pStyle w:val="AmeyTableText"/>
      </w:pPr>
    </w:p>
    <w:p w:rsidR="00542D0E" w:rsidP="00542D0E" w:rsidRDefault="00542D0E" w14:paraId="1D595ECA" w14:textId="77777777">
      <w:pPr>
        <w:pStyle w:val="AmeyTableText"/>
      </w:pPr>
    </w:p>
    <w:p w:rsidR="00DC035A" w:rsidP="001B32A4" w:rsidRDefault="00DC035A" w14:paraId="30B12015" w14:textId="29955A0D">
      <w:pPr>
        <w:pStyle w:val="HSEQH2"/>
      </w:pPr>
    </w:p>
    <w:p w:rsidR="005C689A" w:rsidP="001B32A4" w:rsidRDefault="005C689A" w14:paraId="61AC6216" w14:textId="7C6A1C54">
      <w:pPr>
        <w:pStyle w:val="HSEQH2"/>
      </w:pPr>
    </w:p>
    <w:p w:rsidR="005C689A" w:rsidP="001B32A4" w:rsidRDefault="005C689A" w14:paraId="0DCDC592" w14:textId="24603ADB">
      <w:pPr>
        <w:pStyle w:val="HSEQH2"/>
      </w:pPr>
    </w:p>
    <w:p w:rsidR="005C689A" w:rsidP="00542D0E" w:rsidRDefault="005C689A" w14:paraId="302FB42E" w14:textId="77777777">
      <w:pPr>
        <w:pStyle w:val="AmeyTableText"/>
        <w:sectPr w:rsidR="005C689A" w:rsidSect="00DD7659">
          <w:headerReference w:type="even" r:id="rId11"/>
          <w:headerReference w:type="default" r:id="rId12"/>
          <w:footerReference w:type="even" r:id="rId13"/>
          <w:footerReference w:type="default" r:id="rId14"/>
          <w:headerReference w:type="first" r:id="rId15"/>
          <w:footerReference w:type="first" r:id="rId16"/>
          <w:pgSz w:w="11906" w:h="16838" w:orient="portrait"/>
          <w:pgMar w:top="1701" w:right="1134" w:bottom="1134" w:left="1418" w:header="709" w:footer="170" w:gutter="0"/>
          <w:cols w:space="708"/>
          <w:docGrid w:linePitch="360"/>
        </w:sectPr>
      </w:pPr>
      <w:bookmarkStart w:name="_GoBack" w:id="0"/>
      <w:bookmarkEnd w:id="0"/>
    </w:p>
    <w:p w:rsidRPr="007522A3" w:rsidR="004A4E51" w:rsidP="005C689A" w:rsidRDefault="005C689A" w14:paraId="30B1208C" w14:textId="1FE9D9F7">
      <w:pPr>
        <w:pStyle w:val="AmeyTableText"/>
      </w:pPr>
      <w:r>
        <w:rPr>
          <w:noProof/>
          <w:lang w:eastAsia="en-GB"/>
        </w:rPr>
        <w:lastRenderedPageBreak/>
        <w:drawing>
          <wp:inline distT="0" distB="0" distL="0" distR="0" wp14:anchorId="3B199C09" wp14:editId="7E9BB5AD">
            <wp:extent cx="8420100" cy="593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20100" cy="5934075"/>
                    </a:xfrm>
                    <a:prstGeom prst="rect">
                      <a:avLst/>
                    </a:prstGeom>
                    <a:noFill/>
                    <a:ln>
                      <a:noFill/>
                    </a:ln>
                  </pic:spPr>
                </pic:pic>
              </a:graphicData>
            </a:graphic>
          </wp:inline>
        </w:drawing>
      </w:r>
    </w:p>
    <w:sectPr w:rsidRPr="007522A3" w:rsidR="004A4E51" w:rsidSect="005C689A">
      <w:pgSz w:w="16838" w:h="11906" w:orient="landscape"/>
      <w:pgMar w:top="1418" w:right="1701" w:bottom="113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38" w:rsidP="008E49E2" w:rsidRDefault="00136D38" w14:paraId="30B12093" w14:textId="77777777">
      <w:pPr>
        <w:spacing w:after="0" w:line="240" w:lineRule="auto"/>
      </w:pPr>
      <w:r>
        <w:separator/>
      </w:r>
    </w:p>
  </w:endnote>
  <w:endnote w:type="continuationSeparator" w:id="0">
    <w:p w:rsidR="00136D38" w:rsidP="008E49E2" w:rsidRDefault="00136D38" w14:paraId="30B120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13" w:rsidRDefault="00B10513" w14:paraId="30B12097" w14:textId="77777777">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07" w:type="dxa"/>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4"/>
      <w:gridCol w:w="3827"/>
      <w:gridCol w:w="3260"/>
      <w:gridCol w:w="1276"/>
    </w:tblGrid>
    <w:tr w:rsidR="00F65F28" w:rsidTr="009127D5" w14:paraId="30B120A2" w14:textId="77777777">
      <w:tc>
        <w:tcPr>
          <w:tcW w:w="1044" w:type="dxa"/>
        </w:tcPr>
        <w:p w:rsidR="00F65F28" w:rsidP="00C548A0" w:rsidRDefault="00F65F28" w14:paraId="30B12098" w14:textId="77777777">
          <w:pPr>
            <w:pStyle w:val="HSEQFooter"/>
            <w:tabs>
              <w:tab w:val="left" w:pos="993"/>
            </w:tabs>
            <w:ind w:left="0"/>
            <w:rPr>
              <w:rStyle w:val="HSEQBold"/>
            </w:rPr>
          </w:pPr>
          <w:r w:rsidRPr="00C24188">
            <w:rPr>
              <w:rStyle w:val="HSEQBold"/>
            </w:rPr>
            <w:t>REFERENCE</w:t>
          </w:r>
        </w:p>
        <w:p w:rsidR="00F65F28" w:rsidP="00C548A0" w:rsidRDefault="00F65F28" w14:paraId="30B12099" w14:textId="77777777">
          <w:pPr>
            <w:pStyle w:val="HSEQFooter"/>
            <w:tabs>
              <w:tab w:val="left" w:pos="993"/>
            </w:tabs>
            <w:ind w:left="0"/>
            <w:rPr>
              <w:rStyle w:val="HSEQBold"/>
            </w:rPr>
          </w:pPr>
          <w:r w:rsidRPr="00C24188">
            <w:rPr>
              <w:rStyle w:val="HSEQBold"/>
            </w:rPr>
            <w:t>VERSION</w:t>
          </w:r>
        </w:p>
        <w:p w:rsidR="00F65F28" w:rsidP="00C548A0" w:rsidRDefault="00F65F28" w14:paraId="30B1209A" w14:textId="77777777">
          <w:pPr>
            <w:pStyle w:val="HSEQFooter"/>
            <w:tabs>
              <w:tab w:val="left" w:pos="993"/>
            </w:tabs>
            <w:ind w:left="0"/>
            <w:rPr>
              <w:rStyle w:val="HSEQBold"/>
            </w:rPr>
          </w:pPr>
          <w:r w:rsidRPr="00C24188">
            <w:rPr>
              <w:b/>
            </w:rPr>
            <w:t>DATE</w:t>
          </w:r>
        </w:p>
      </w:tc>
      <w:tc>
        <w:tcPr>
          <w:tcW w:w="3827" w:type="dxa"/>
        </w:tcPr>
        <w:p w:rsidR="00F65F28" w:rsidP="00C548A0" w:rsidRDefault="00E75950" w14:paraId="30B1209B" w14:textId="2364C356">
          <w:pPr>
            <w:pStyle w:val="HSEQFooter"/>
            <w:tabs>
              <w:tab w:val="left" w:pos="993"/>
            </w:tabs>
            <w:ind w:left="0"/>
          </w:pPr>
          <w:r>
            <w:t>CAMB-MBT-SurWatman-pl-012</w:t>
          </w:r>
        </w:p>
        <w:p w:rsidR="00F65F28" w:rsidP="00C548A0" w:rsidRDefault="00F65F28" w14:paraId="30B1209C" w14:textId="77777777">
          <w:pPr>
            <w:pStyle w:val="HSEQFooter"/>
            <w:tabs>
              <w:tab w:val="left" w:pos="993"/>
            </w:tabs>
            <w:ind w:left="0"/>
          </w:pPr>
          <w:r>
            <w:t xml:space="preserve">1.0 </w:t>
          </w:r>
        </w:p>
        <w:p w:rsidR="00F65F28" w:rsidP="00C548A0" w:rsidRDefault="00E75950" w14:paraId="30B1209D" w14:textId="5390A93B">
          <w:pPr>
            <w:pStyle w:val="HSEQFooter"/>
            <w:tabs>
              <w:tab w:val="left" w:pos="993"/>
            </w:tabs>
            <w:ind w:left="0"/>
            <w:rPr>
              <w:rStyle w:val="HSEQBold"/>
            </w:rPr>
          </w:pPr>
          <w:r>
            <w:t>22/01/2018</w:t>
          </w:r>
        </w:p>
      </w:tc>
      <w:tc>
        <w:tcPr>
          <w:tcW w:w="3260" w:type="dxa"/>
          <w:vAlign w:val="center"/>
        </w:tcPr>
        <w:p w:rsidRPr="00DC035A" w:rsidR="00F65F28" w:rsidP="00DC035A" w:rsidRDefault="00F65F28" w14:paraId="30B1209E" w14:textId="77777777">
          <w:pPr>
            <w:pStyle w:val="HSEQFooter"/>
            <w:tabs>
              <w:tab w:val="left" w:pos="993"/>
            </w:tabs>
            <w:ind w:left="0"/>
            <w:jc w:val="right"/>
            <w:rPr>
              <w:rStyle w:val="HSEQBold"/>
            </w:rPr>
          </w:pPr>
          <w:r w:rsidRPr="00DC035A">
            <w:rPr>
              <w:rStyle w:val="HSEQBold"/>
            </w:rPr>
            <w:t>UNCONTROLLED</w:t>
          </w:r>
        </w:p>
        <w:p w:rsidR="00DC035A" w:rsidP="00DC035A" w:rsidRDefault="00DC035A" w14:paraId="30B1209F" w14:textId="77777777">
          <w:pPr>
            <w:pStyle w:val="HSEQFooter"/>
            <w:tabs>
              <w:tab w:val="left" w:pos="993"/>
            </w:tabs>
            <w:ind w:left="0"/>
            <w:jc w:val="right"/>
            <w:rPr>
              <w:rStyle w:val="HSEQBold"/>
            </w:rPr>
          </w:pPr>
          <w:r w:rsidRPr="00DC035A">
            <w:rPr>
              <w:rStyle w:val="HSEQBold"/>
            </w:rPr>
            <w:t>IF PRINTED</w:t>
          </w:r>
        </w:p>
      </w:tc>
      <w:tc>
        <w:tcPr>
          <w:tcW w:w="1276" w:type="dxa"/>
          <w:vAlign w:val="center"/>
        </w:tcPr>
        <w:p w:rsidR="00F65F28" w:rsidP="00DC035A" w:rsidRDefault="00DC035A" w14:paraId="30B120A0" w14:textId="77777777">
          <w:pPr>
            <w:pStyle w:val="HSEQFooter"/>
            <w:tabs>
              <w:tab w:val="left" w:pos="993"/>
            </w:tabs>
            <w:ind w:left="0"/>
            <w:rPr>
              <w:rStyle w:val="HSEQBold"/>
            </w:rPr>
          </w:pPr>
          <w:r>
            <w:rPr>
              <w:rStyle w:val="HSEQBold"/>
              <w:rFonts w:cs="Tahoma"/>
            </w:rPr>
            <w:t>©</w:t>
          </w:r>
          <w:r>
            <w:rPr>
              <w:rStyle w:val="HSEQBold"/>
            </w:rPr>
            <w:t xml:space="preserve"> AMEY PLC</w:t>
          </w:r>
        </w:p>
        <w:p w:rsidR="00DC035A" w:rsidP="00DC035A" w:rsidRDefault="00DC035A" w14:paraId="30B120A1" w14:textId="0F4DCE38">
          <w:pPr>
            <w:pStyle w:val="HSEQFooter"/>
            <w:tabs>
              <w:tab w:val="left" w:pos="993"/>
            </w:tabs>
            <w:ind w:left="0"/>
            <w:rPr>
              <w:rStyle w:val="HSEQBold"/>
            </w:rPr>
          </w:pPr>
          <w:r>
            <w:rPr>
              <w:rStyle w:val="HSEQBold"/>
            </w:rPr>
            <w:t xml:space="preserve">    </w:t>
          </w:r>
          <w:r w:rsidRPr="00DC035A">
            <w:rPr>
              <w:rStyle w:val="HSEQBold"/>
            </w:rPr>
            <w:t xml:space="preserve">Page </w:t>
          </w:r>
          <w:r w:rsidRPr="00DC035A">
            <w:rPr>
              <w:rStyle w:val="HSEQBold"/>
            </w:rPr>
            <w:fldChar w:fldCharType="begin"/>
          </w:r>
          <w:r w:rsidRPr="00DC035A">
            <w:rPr>
              <w:rStyle w:val="HSEQBold"/>
            </w:rPr>
            <w:instrText xml:space="preserve"> PAGE  \* Arabic  \* MERGEFORMAT </w:instrText>
          </w:r>
          <w:r w:rsidRPr="00DC035A">
            <w:rPr>
              <w:rStyle w:val="HSEQBold"/>
            </w:rPr>
            <w:fldChar w:fldCharType="separate"/>
          </w:r>
          <w:r w:rsidR="008E3F72">
            <w:rPr>
              <w:rStyle w:val="HSEQBold"/>
              <w:noProof/>
            </w:rPr>
            <w:t>3</w:t>
          </w:r>
          <w:r w:rsidRPr="00DC035A">
            <w:rPr>
              <w:rStyle w:val="HSEQBold"/>
            </w:rPr>
            <w:fldChar w:fldCharType="end"/>
          </w:r>
          <w:r w:rsidRPr="00DC035A">
            <w:rPr>
              <w:rStyle w:val="HSEQBold"/>
            </w:rPr>
            <w:t xml:space="preserve"> of </w:t>
          </w:r>
          <w:r w:rsidRPr="00DC035A">
            <w:rPr>
              <w:rStyle w:val="HSEQBold"/>
            </w:rPr>
            <w:fldChar w:fldCharType="begin"/>
          </w:r>
          <w:r w:rsidRPr="00DC035A">
            <w:rPr>
              <w:rStyle w:val="HSEQBold"/>
            </w:rPr>
            <w:instrText xml:space="preserve"> NUMPAGES  \* Arabic  \* MERGEFORMAT </w:instrText>
          </w:r>
          <w:r w:rsidRPr="00DC035A">
            <w:rPr>
              <w:rStyle w:val="HSEQBold"/>
            </w:rPr>
            <w:fldChar w:fldCharType="separate"/>
          </w:r>
          <w:r w:rsidR="008E3F72">
            <w:rPr>
              <w:rStyle w:val="HSEQBold"/>
              <w:noProof/>
            </w:rPr>
            <w:t>3</w:t>
          </w:r>
          <w:r w:rsidRPr="00DC035A">
            <w:rPr>
              <w:rStyle w:val="HSEQBold"/>
            </w:rPr>
            <w:fldChar w:fldCharType="end"/>
          </w:r>
        </w:p>
      </w:tc>
    </w:tr>
  </w:tbl>
  <w:p w:rsidR="00C24188" w:rsidP="00F65F28" w:rsidRDefault="00C24188" w14:paraId="30B120A3" w14:textId="77777777">
    <w:pPr>
      <w:pStyle w:val="HSEQFooter"/>
      <w:tabs>
        <w:tab w:val="left" w:pos="99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13" w:rsidRDefault="00B10513" w14:paraId="30B120A5" w14:textId="77777777">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38" w:rsidP="008E49E2" w:rsidRDefault="00136D38" w14:paraId="30B12091" w14:textId="77777777">
      <w:pPr>
        <w:spacing w:after="0" w:line="240" w:lineRule="auto"/>
      </w:pPr>
      <w:r>
        <w:separator/>
      </w:r>
    </w:p>
  </w:footnote>
  <w:footnote w:type="continuationSeparator" w:id="0">
    <w:p w:rsidR="00136D38" w:rsidP="008E49E2" w:rsidRDefault="00136D38" w14:paraId="30B1209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13" w:rsidRDefault="00B10513" w14:paraId="30B12095" w14:textId="7777777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E2" w:rsidP="726FFBE6" w:rsidRDefault="008E49E2" w14:paraId="30B12096" w14:textId="77777777">
    <w:pPr>
      <w:pStyle w:val="Header"/>
      <w:ind w:left="7200" w:firstLine="0"/>
      <w:rPr>
        <w:b w:val="1"/>
        <w:bCs w:val="1"/>
        <w:sz w:val="40"/>
        <w:szCs w:val="40"/>
      </w:rPr>
    </w:pPr>
    <w:r w:rsidRPr="726FFBE6" w:rsidR="726FFBE6">
      <w:rPr>
        <w:b w:val="1"/>
        <w:bCs w:val="1"/>
        <w:sz w:val="40"/>
        <w:szCs w:val="40"/>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13" w:rsidRDefault="00B10513" w14:paraId="30B120A4" w14:textId="77777777">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304C"/>
    <w:multiLevelType w:val="hybridMultilevel"/>
    <w:tmpl w:val="789A28FA"/>
    <w:lvl w:ilvl="0" w:tplc="99B8D70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5F52DC"/>
    <w:multiLevelType w:val="hybridMultilevel"/>
    <w:tmpl w:val="858CB5C8"/>
    <w:lvl w:ilvl="0" w:tplc="8F5AEDD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6838AB"/>
    <w:multiLevelType w:val="hybridMultilevel"/>
    <w:tmpl w:val="739C8E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1D516F2"/>
    <w:multiLevelType w:val="multilevel"/>
    <w:tmpl w:val="53D81C90"/>
    <w:lvl w:ilvl="0">
      <w:start w:val="1"/>
      <w:numFmt w:val="bullet"/>
      <w:pStyle w:val="HSEQCalloutBullets"/>
      <w:lvlText w:val=""/>
      <w:lvlJc w:val="left"/>
      <w:pPr>
        <w:tabs>
          <w:tab w:val="num" w:pos="340"/>
        </w:tabs>
        <w:ind w:left="340" w:hanging="170"/>
      </w:pPr>
      <w:rPr>
        <w:rFonts w:hint="default" w:ascii="Symbol" w:hAnsi="Symbol"/>
      </w:rPr>
    </w:lvl>
    <w:lvl w:ilvl="1">
      <w:start w:val="1"/>
      <w:numFmt w:val="bullet"/>
      <w:lvlText w:val="o"/>
      <w:lvlJc w:val="left"/>
      <w:pPr>
        <w:ind w:left="1610" w:hanging="360"/>
      </w:pPr>
      <w:rPr>
        <w:rFonts w:hint="default" w:ascii="Courier New" w:hAnsi="Courier New" w:cs="Courier New"/>
      </w:rPr>
    </w:lvl>
    <w:lvl w:ilvl="2">
      <w:start w:val="1"/>
      <w:numFmt w:val="bullet"/>
      <w:lvlText w:val=""/>
      <w:lvlJc w:val="left"/>
      <w:pPr>
        <w:ind w:left="2330" w:hanging="360"/>
      </w:pPr>
      <w:rPr>
        <w:rFonts w:hint="default" w:ascii="Wingdings" w:hAnsi="Wingdings"/>
      </w:rPr>
    </w:lvl>
    <w:lvl w:ilvl="3">
      <w:start w:val="1"/>
      <w:numFmt w:val="bullet"/>
      <w:lvlText w:val=""/>
      <w:lvlJc w:val="left"/>
      <w:pPr>
        <w:ind w:left="3050" w:hanging="360"/>
      </w:pPr>
      <w:rPr>
        <w:rFonts w:hint="default" w:ascii="Symbol" w:hAnsi="Symbol"/>
      </w:rPr>
    </w:lvl>
    <w:lvl w:ilvl="4">
      <w:start w:val="1"/>
      <w:numFmt w:val="bullet"/>
      <w:lvlText w:val="o"/>
      <w:lvlJc w:val="left"/>
      <w:pPr>
        <w:ind w:left="3770" w:hanging="360"/>
      </w:pPr>
      <w:rPr>
        <w:rFonts w:hint="default" w:ascii="Courier New" w:hAnsi="Courier New" w:cs="Courier New"/>
      </w:rPr>
    </w:lvl>
    <w:lvl w:ilvl="5">
      <w:start w:val="1"/>
      <w:numFmt w:val="bullet"/>
      <w:lvlText w:val=""/>
      <w:lvlJc w:val="left"/>
      <w:pPr>
        <w:ind w:left="4490" w:hanging="360"/>
      </w:pPr>
      <w:rPr>
        <w:rFonts w:hint="default" w:ascii="Wingdings" w:hAnsi="Wingdings"/>
      </w:rPr>
    </w:lvl>
    <w:lvl w:ilvl="6">
      <w:start w:val="1"/>
      <w:numFmt w:val="bullet"/>
      <w:lvlText w:val=""/>
      <w:lvlJc w:val="left"/>
      <w:pPr>
        <w:ind w:left="5210" w:hanging="360"/>
      </w:pPr>
      <w:rPr>
        <w:rFonts w:hint="default" w:ascii="Symbol" w:hAnsi="Symbol"/>
      </w:rPr>
    </w:lvl>
    <w:lvl w:ilvl="7">
      <w:start w:val="1"/>
      <w:numFmt w:val="bullet"/>
      <w:lvlText w:val="o"/>
      <w:lvlJc w:val="left"/>
      <w:pPr>
        <w:ind w:left="5930" w:hanging="360"/>
      </w:pPr>
      <w:rPr>
        <w:rFonts w:hint="default" w:ascii="Courier New" w:hAnsi="Courier New" w:cs="Courier New"/>
      </w:rPr>
    </w:lvl>
    <w:lvl w:ilvl="8">
      <w:start w:val="1"/>
      <w:numFmt w:val="bullet"/>
      <w:lvlText w:val=""/>
      <w:lvlJc w:val="left"/>
      <w:pPr>
        <w:ind w:left="6650" w:hanging="360"/>
      </w:pPr>
      <w:rPr>
        <w:rFonts w:hint="default" w:ascii="Wingdings" w:hAnsi="Wingdings"/>
      </w:rPr>
    </w:lvl>
  </w:abstractNum>
  <w:abstractNum w:abstractNumId="4" w15:restartNumberingAfterBreak="0">
    <w:nsid w:val="687949E9"/>
    <w:multiLevelType w:val="multilevel"/>
    <w:tmpl w:val="9D8EFADE"/>
    <w:lvl w:ilvl="0">
      <w:start w:val="1"/>
      <w:numFmt w:val="bullet"/>
      <w:pStyle w:val="HSEQBodyBullets"/>
      <w:lvlText w:val=""/>
      <w:lvlJc w:val="left"/>
      <w:pPr>
        <w:tabs>
          <w:tab w:val="num" w:pos="340"/>
        </w:tabs>
        <w:ind w:left="340" w:hanging="170"/>
      </w:pPr>
      <w:rPr>
        <w:rFonts w:hint="default" w:ascii="Symbol" w:hAnsi="Symbol"/>
      </w:rPr>
    </w:lvl>
    <w:lvl w:ilvl="1">
      <w:start w:val="1"/>
      <w:numFmt w:val="bullet"/>
      <w:lvlText w:val="»"/>
      <w:lvlJc w:val="left"/>
      <w:pPr>
        <w:tabs>
          <w:tab w:val="num" w:pos="510"/>
        </w:tabs>
        <w:ind w:left="510" w:hanging="170"/>
      </w:pPr>
      <w:rPr>
        <w:rFonts w:hint="default" w:ascii="Arial" w:hAnsi="Arial"/>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6FAD7D43"/>
    <w:multiLevelType w:val="multilevel"/>
    <w:tmpl w:val="A45E529E"/>
    <w:lvl w:ilvl="0">
      <w:start w:val="1"/>
      <w:numFmt w:val="bullet"/>
      <w:pStyle w:val="HSEQTableBullets"/>
      <w:lvlText w:val=""/>
      <w:lvlJc w:val="left"/>
      <w:pPr>
        <w:tabs>
          <w:tab w:val="num" w:pos="170"/>
        </w:tabs>
        <w:ind w:left="170" w:hanging="17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765B43F5"/>
    <w:multiLevelType w:val="multilevel"/>
    <w:tmpl w:val="D4EA9104"/>
    <w:lvl w:ilvl="0">
      <w:start w:val="1"/>
      <w:numFmt w:val="decimal"/>
      <w:pStyle w:val="HSEQBodyNumbers"/>
      <w:suff w:val="space"/>
      <w:lvlText w:val="%1."/>
      <w:lvlJc w:val="right"/>
      <w:pPr>
        <w:ind w:left="39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F8"/>
    <w:rsid w:val="000008A3"/>
    <w:rsid w:val="00052BB3"/>
    <w:rsid w:val="001239E8"/>
    <w:rsid w:val="00136D38"/>
    <w:rsid w:val="00154B79"/>
    <w:rsid w:val="00195E0A"/>
    <w:rsid w:val="001975E1"/>
    <w:rsid w:val="001A10AE"/>
    <w:rsid w:val="001B32A4"/>
    <w:rsid w:val="002077F6"/>
    <w:rsid w:val="00223340"/>
    <w:rsid w:val="002703FD"/>
    <w:rsid w:val="002707A3"/>
    <w:rsid w:val="00294EDF"/>
    <w:rsid w:val="003E35E8"/>
    <w:rsid w:val="003F0225"/>
    <w:rsid w:val="004A4E51"/>
    <w:rsid w:val="00537767"/>
    <w:rsid w:val="00542D0E"/>
    <w:rsid w:val="005462F8"/>
    <w:rsid w:val="00555595"/>
    <w:rsid w:val="00572744"/>
    <w:rsid w:val="005C689A"/>
    <w:rsid w:val="006376B5"/>
    <w:rsid w:val="006F3146"/>
    <w:rsid w:val="007522A3"/>
    <w:rsid w:val="00761B00"/>
    <w:rsid w:val="00763742"/>
    <w:rsid w:val="00777AFB"/>
    <w:rsid w:val="007D7B2E"/>
    <w:rsid w:val="00800189"/>
    <w:rsid w:val="008E3F72"/>
    <w:rsid w:val="008E49E2"/>
    <w:rsid w:val="009127D5"/>
    <w:rsid w:val="00946A68"/>
    <w:rsid w:val="009C32DB"/>
    <w:rsid w:val="00A93176"/>
    <w:rsid w:val="00AC7C57"/>
    <w:rsid w:val="00B10513"/>
    <w:rsid w:val="00B5199B"/>
    <w:rsid w:val="00B6549D"/>
    <w:rsid w:val="00B97F0C"/>
    <w:rsid w:val="00BB6F3D"/>
    <w:rsid w:val="00C24188"/>
    <w:rsid w:val="00C548A0"/>
    <w:rsid w:val="00C87DB4"/>
    <w:rsid w:val="00D64C76"/>
    <w:rsid w:val="00DC035A"/>
    <w:rsid w:val="00DD7659"/>
    <w:rsid w:val="00DF1636"/>
    <w:rsid w:val="00DF66A6"/>
    <w:rsid w:val="00DF6783"/>
    <w:rsid w:val="00E75950"/>
    <w:rsid w:val="00ED75AD"/>
    <w:rsid w:val="00EE6911"/>
    <w:rsid w:val="00F65F28"/>
    <w:rsid w:val="00F919B1"/>
    <w:rsid w:val="00FA3145"/>
    <w:rsid w:val="00FE4BFA"/>
    <w:rsid w:val="00FF30A4"/>
    <w:rsid w:val="05C5ADF9"/>
    <w:rsid w:val="1259832E"/>
    <w:rsid w:val="2C84F0DF"/>
    <w:rsid w:val="6F9D3DD9"/>
    <w:rsid w:val="726FF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12013"/>
  <w15:docId w15:val="{7D19997E-1928-4FB0-8653-EC4EA261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4">
    <w:lsdException w:name="Normal" w:locked="0" w:uiPriority="0" w:qFormat="1"/>
    <w:lsdException w:name="heading 1" w:uiPriority="9" w:semiHidden="1" w:qFormat="1"/>
    <w:lsdException w:name="heading 2" w:uiPriority="9" w:semiHidden="1" w:qFormat="1"/>
    <w:lsdException w:name="heading 3" w:uiPriority="9" w:semiHidden="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semiHidden="1" w:qFormat="1"/>
    <w:lsdException w:name="Bibliography" w:uiPriority="37" w:semiHidden="1"/>
    <w:lsdException w:name="TOC Heading" w:uiPriority="39" w:semiHidden="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atentStyles>
  <w:style w:type="paragraph" w:styleId="Normal" w:default="1">
    <w:name w:val="Normal"/>
    <w:semiHidden/>
    <w:qFormat/>
    <w:rsid w:val="00FA314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SEQH1" w:customStyle="1">
    <w:name w:val="HSEQ H1"/>
    <w:qFormat/>
    <w:rsid w:val="008E49E2"/>
    <w:pPr>
      <w:spacing w:before="227" w:after="340" w:line="240" w:lineRule="auto"/>
    </w:pPr>
    <w:rPr>
      <w:rFonts w:ascii="Tahoma" w:hAnsi="Tahoma"/>
      <w:caps/>
      <w:sz w:val="46"/>
    </w:rPr>
  </w:style>
  <w:style w:type="paragraph" w:styleId="Header">
    <w:name w:val="header"/>
    <w:basedOn w:val="Normal"/>
    <w:link w:val="HeaderChar"/>
    <w:uiPriority w:val="99"/>
    <w:semiHidden/>
    <w:locked/>
    <w:rsid w:val="008E49E2"/>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8E49E2"/>
  </w:style>
  <w:style w:type="paragraph" w:styleId="Footer">
    <w:name w:val="footer"/>
    <w:basedOn w:val="Normal"/>
    <w:link w:val="FooterChar"/>
    <w:uiPriority w:val="99"/>
    <w:semiHidden/>
    <w:locked/>
    <w:rsid w:val="008E49E2"/>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8E49E2"/>
  </w:style>
  <w:style w:type="paragraph" w:styleId="BalloonText">
    <w:name w:val="Balloon Text"/>
    <w:basedOn w:val="Normal"/>
    <w:link w:val="BalloonTextChar"/>
    <w:uiPriority w:val="99"/>
    <w:semiHidden/>
    <w:locked/>
    <w:rsid w:val="008E49E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E49E2"/>
    <w:rPr>
      <w:rFonts w:ascii="Tahoma" w:hAnsi="Tahoma" w:cs="Tahoma"/>
      <w:sz w:val="16"/>
      <w:szCs w:val="16"/>
    </w:rPr>
  </w:style>
  <w:style w:type="paragraph" w:styleId="HSEQFooter" w:customStyle="1">
    <w:name w:val="HSEQ Footer"/>
    <w:qFormat/>
    <w:rsid w:val="00C24188"/>
    <w:pPr>
      <w:spacing w:after="0" w:line="240" w:lineRule="auto"/>
      <w:ind w:left="57"/>
    </w:pPr>
    <w:rPr>
      <w:rFonts w:ascii="Tahoma" w:hAnsi="Tahoma"/>
      <w:caps/>
      <w:sz w:val="13"/>
    </w:rPr>
  </w:style>
  <w:style w:type="character" w:styleId="HSEQBold" w:customStyle="1">
    <w:name w:val="HSEQ Bold"/>
    <w:uiPriority w:val="1"/>
    <w:qFormat/>
    <w:rsid w:val="00C24188"/>
    <w:rPr>
      <w:b/>
    </w:rPr>
  </w:style>
  <w:style w:type="table" w:styleId="TableGrid">
    <w:name w:val="Table Grid"/>
    <w:basedOn w:val="TableNormal"/>
    <w:uiPriority w:val="59"/>
    <w:locked/>
    <w:rsid w:val="00F65F2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SEQTitle" w:customStyle="1">
    <w:name w:val="HSEQ Title"/>
    <w:uiPriority w:val="1"/>
    <w:qFormat/>
    <w:rsid w:val="00DC035A"/>
    <w:rPr>
      <w:rFonts w:ascii="Tahoma" w:hAnsi="Tahoma"/>
      <w:b/>
      <w:caps/>
      <w:smallCaps w:val="0"/>
      <w:color w:val="FFFFFF"/>
      <w:sz w:val="56"/>
      <w:bdr w:val="single" w:color="000000" w:themeColor="text1" w:sz="48" w:space="0"/>
      <w:shd w:val="clear" w:color="auto" w:fill="000000" w:themeFill="text1"/>
    </w:rPr>
  </w:style>
  <w:style w:type="paragraph" w:styleId="HSEQH2" w:customStyle="1">
    <w:name w:val="HSEQ H2"/>
    <w:qFormat/>
    <w:rsid w:val="001B32A4"/>
    <w:pPr>
      <w:spacing w:before="85" w:after="85" w:line="240" w:lineRule="auto"/>
    </w:pPr>
    <w:rPr>
      <w:rFonts w:ascii="Tahoma" w:hAnsi="Tahoma"/>
      <w:b/>
      <w:sz w:val="32"/>
    </w:rPr>
  </w:style>
  <w:style w:type="paragraph" w:styleId="HSEQIntroduction" w:customStyle="1">
    <w:name w:val="HSEQ Introduction"/>
    <w:qFormat/>
    <w:rsid w:val="001B32A4"/>
    <w:pPr>
      <w:spacing w:before="85" w:after="85" w:line="240" w:lineRule="auto"/>
    </w:pPr>
    <w:rPr>
      <w:rFonts w:ascii="Arial" w:hAnsi="Arial"/>
      <w:i/>
      <w:color w:val="6A6D71"/>
      <w:sz w:val="18"/>
    </w:rPr>
  </w:style>
  <w:style w:type="paragraph" w:styleId="HSEQCallout" w:customStyle="1">
    <w:name w:val="HSEQ Callout"/>
    <w:qFormat/>
    <w:rsid w:val="00B6549D"/>
    <w:pPr>
      <w:pBdr>
        <w:top w:val="single" w:color="A6A6A6" w:themeColor="background1" w:themeShade="A6" w:sz="24" w:space="1"/>
        <w:left w:val="single" w:color="A6A6A6" w:themeColor="background1" w:themeShade="A6" w:sz="24" w:space="4"/>
        <w:bottom w:val="single" w:color="A6A6A6" w:themeColor="background1" w:themeShade="A6" w:sz="24" w:space="1"/>
        <w:right w:val="single" w:color="A6A6A6" w:themeColor="background1" w:themeShade="A6" w:sz="24" w:space="4"/>
      </w:pBdr>
      <w:shd w:val="clear" w:color="auto" w:fill="A6A6A6" w:themeFill="background1" w:themeFillShade="A6"/>
      <w:spacing w:before="70" w:after="199" w:line="240" w:lineRule="auto"/>
      <w:ind w:left="170" w:right="170"/>
    </w:pPr>
    <w:rPr>
      <w:rFonts w:ascii="Arial" w:hAnsi="Arial"/>
      <w:color w:val="000000" w:themeColor="text1"/>
      <w:sz w:val="18"/>
    </w:rPr>
  </w:style>
  <w:style w:type="character" w:styleId="HSEQItalic" w:customStyle="1">
    <w:name w:val="HSEQ Italic"/>
    <w:uiPriority w:val="1"/>
    <w:qFormat/>
    <w:rsid w:val="007D7B2E"/>
    <w:rPr>
      <w:i/>
    </w:rPr>
  </w:style>
  <w:style w:type="paragraph" w:styleId="HSEQCalloutHeading" w:customStyle="1">
    <w:name w:val="HSEQ Callout Heading"/>
    <w:basedOn w:val="HSEQCallout"/>
    <w:qFormat/>
    <w:rsid w:val="00C87DB4"/>
    <w:pPr>
      <w:spacing w:before="240" w:after="70"/>
    </w:pPr>
    <w:rPr>
      <w:b/>
      <w:i/>
    </w:rPr>
  </w:style>
  <w:style w:type="paragraph" w:styleId="HSEQH3" w:customStyle="1">
    <w:name w:val="HSEQ H3"/>
    <w:basedOn w:val="HSEQH2"/>
    <w:qFormat/>
    <w:rsid w:val="00C87DB4"/>
    <w:rPr>
      <w:sz w:val="22"/>
    </w:rPr>
  </w:style>
  <w:style w:type="paragraph" w:styleId="HSEQBodyText" w:customStyle="1">
    <w:name w:val="HSEQ Body Text"/>
    <w:qFormat/>
    <w:rsid w:val="00052BB3"/>
    <w:pPr>
      <w:spacing w:before="120" w:after="120" w:line="240" w:lineRule="auto"/>
    </w:pPr>
    <w:rPr>
      <w:rFonts w:ascii="Arial" w:hAnsi="Arial"/>
      <w:sz w:val="18"/>
    </w:rPr>
  </w:style>
  <w:style w:type="paragraph" w:styleId="HSEQBodyNumbers" w:customStyle="1">
    <w:name w:val="HSEQ Body Numbers"/>
    <w:basedOn w:val="HSEQBodyText"/>
    <w:qFormat/>
    <w:rsid w:val="00052BB3"/>
    <w:pPr>
      <w:numPr>
        <w:numId w:val="1"/>
      </w:numPr>
    </w:pPr>
  </w:style>
  <w:style w:type="table" w:styleId="HSEQTable" w:customStyle="1">
    <w:name w:val="HSEQ Table"/>
    <w:basedOn w:val="TableNormal"/>
    <w:uiPriority w:val="99"/>
    <w:rsid w:val="00800189"/>
    <w:pPr>
      <w:spacing w:after="0" w:line="240" w:lineRule="auto"/>
    </w:pPr>
    <w:tblPr>
      <w:tblStyleRowBandSize w:val="1"/>
      <w:jc w:val="center"/>
      <w:tblCellMar>
        <w:top w:w="113" w:type="dxa"/>
        <w:bottom w:w="113" w:type="dxa"/>
      </w:tblCellMar>
    </w:tblPr>
    <w:trPr>
      <w:jc w:val="center"/>
    </w:trPr>
    <w:tblStylePr w:type="firstRow">
      <w:tblPr/>
      <w:tcPr>
        <w:tcBorders>
          <w:top w:val="single" w:color="009640" w:themeColor="background2" w:sz="4" w:space="0"/>
          <w:left w:val="single" w:color="009640" w:themeColor="background2" w:sz="4" w:space="0"/>
          <w:bottom w:val="single" w:color="009640" w:themeColor="background2" w:sz="4" w:space="0"/>
          <w:right w:val="single" w:color="009640" w:themeColor="background2" w:sz="4" w:space="0"/>
          <w:insideH w:val="single" w:color="009640" w:themeColor="background2" w:sz="4" w:space="0"/>
          <w:insideV w:val="single" w:color="009640" w:themeColor="background2" w:sz="4" w:space="0"/>
        </w:tcBorders>
        <w:shd w:val="clear" w:color="auto" w:fill="009640" w:themeFill="background2"/>
      </w:tcPr>
    </w:tblStylePr>
    <w:tblStylePr w:type="band1Horz">
      <w:tblPr/>
      <w:tcPr>
        <w:tcBorders>
          <w:top w:val="dotted" w:color="6A6D71" w:themeColor="text2" w:sz="4" w:space="0"/>
          <w:left w:val="dotted" w:color="6A6D71" w:themeColor="text2" w:sz="4" w:space="0"/>
          <w:bottom w:val="dotted" w:color="6A6D71" w:themeColor="text2" w:sz="4" w:space="0"/>
          <w:right w:val="dotted" w:color="6A6D71" w:themeColor="text2" w:sz="4" w:space="0"/>
          <w:insideH w:val="dotted" w:color="6A6D71" w:themeColor="text2" w:sz="4" w:space="0"/>
          <w:insideV w:val="dotted" w:color="6A6D71" w:themeColor="text2" w:sz="4" w:space="0"/>
        </w:tcBorders>
        <w:shd w:val="clear" w:color="auto" w:fill="D6D7D8"/>
      </w:tcPr>
    </w:tblStylePr>
    <w:tblStylePr w:type="band2Horz">
      <w:tblPr/>
      <w:tcPr>
        <w:tcBorders>
          <w:top w:val="dotted" w:color="6A6D71" w:themeColor="text2" w:sz="4" w:space="0"/>
          <w:left w:val="dotted" w:color="6A6D71" w:themeColor="text2" w:sz="4" w:space="0"/>
          <w:bottom w:val="dotted" w:color="6A6D71" w:themeColor="text2" w:sz="4" w:space="0"/>
          <w:right w:val="dotted" w:color="6A6D71" w:themeColor="text2" w:sz="4" w:space="0"/>
          <w:insideH w:val="dotted" w:color="6A6D71" w:themeColor="text2" w:sz="4" w:space="0"/>
          <w:insideV w:val="dotted" w:color="6A6D71" w:themeColor="text2" w:sz="4" w:space="0"/>
        </w:tcBorders>
        <w:shd w:val="clear" w:color="auto" w:fill="EBECED"/>
      </w:tcPr>
    </w:tblStylePr>
  </w:style>
  <w:style w:type="paragraph" w:styleId="HSEQTableHeading" w:customStyle="1">
    <w:name w:val="HSEQ Table Heading"/>
    <w:qFormat/>
    <w:rsid w:val="002077F6"/>
    <w:pPr>
      <w:spacing w:after="0" w:line="240" w:lineRule="auto"/>
    </w:pPr>
    <w:rPr>
      <w:rFonts w:ascii="Arial" w:hAnsi="Arial"/>
      <w:b/>
      <w:caps/>
      <w:color w:val="FFED00" w:themeColor="accent1"/>
      <w:sz w:val="15"/>
    </w:rPr>
  </w:style>
  <w:style w:type="paragraph" w:styleId="HSEQTableBody" w:customStyle="1">
    <w:name w:val="HSEQ Table Body"/>
    <w:qFormat/>
    <w:rsid w:val="00F919B1"/>
    <w:pPr>
      <w:spacing w:after="40" w:line="240" w:lineRule="auto"/>
    </w:pPr>
    <w:rPr>
      <w:rFonts w:ascii="Arial" w:hAnsi="Arial"/>
      <w:sz w:val="15"/>
    </w:rPr>
  </w:style>
  <w:style w:type="paragraph" w:styleId="HSEQTableBullets" w:customStyle="1">
    <w:name w:val="HSEQ Table Bullets"/>
    <w:basedOn w:val="HSEQTableBody"/>
    <w:qFormat/>
    <w:rsid w:val="00F919B1"/>
    <w:pPr>
      <w:numPr>
        <w:numId w:val="3"/>
      </w:numPr>
    </w:pPr>
  </w:style>
  <w:style w:type="paragraph" w:styleId="HSEQTableGreen" w:customStyle="1">
    <w:name w:val="HSEQ Table Green"/>
    <w:basedOn w:val="HSEQTableBody"/>
    <w:qFormat/>
    <w:rsid w:val="00F919B1"/>
    <w:pPr>
      <w:pBdr>
        <w:top w:val="single" w:color="009640" w:themeColor="accent2" w:sz="24" w:space="1"/>
        <w:left w:val="single" w:color="009640" w:themeColor="accent2" w:sz="24" w:space="4"/>
        <w:bottom w:val="single" w:color="009640" w:themeColor="accent2" w:sz="24" w:space="1"/>
        <w:right w:val="single" w:color="009640" w:themeColor="accent2" w:sz="24" w:space="4"/>
      </w:pBdr>
      <w:shd w:val="clear" w:color="auto" w:fill="009640" w:themeFill="accent2"/>
      <w:spacing w:before="40"/>
      <w:ind w:left="170" w:right="170"/>
    </w:pPr>
    <w:rPr>
      <w:color w:val="FFFFFF"/>
    </w:rPr>
  </w:style>
  <w:style w:type="paragraph" w:styleId="HSEQTableRed" w:customStyle="1">
    <w:name w:val="HSEQ Table Red"/>
    <w:basedOn w:val="HSEQTableGreen"/>
    <w:qFormat/>
    <w:rsid w:val="001239E8"/>
    <w:pPr>
      <w:pBdr>
        <w:top w:val="single" w:color="CD1719" w:sz="24" w:space="1"/>
        <w:left w:val="single" w:color="CD1719" w:sz="24" w:space="4"/>
        <w:bottom w:val="single" w:color="CD1719" w:sz="24" w:space="1"/>
        <w:right w:val="single" w:color="CD1719" w:sz="24" w:space="4"/>
      </w:pBdr>
      <w:shd w:val="clear" w:color="auto" w:fill="CD1719"/>
    </w:pPr>
  </w:style>
  <w:style w:type="paragraph" w:styleId="HSEQBodyBullets" w:customStyle="1">
    <w:name w:val="HSEQ Body Bullets"/>
    <w:basedOn w:val="HSEQBodyText"/>
    <w:qFormat/>
    <w:rsid w:val="00B5199B"/>
    <w:pPr>
      <w:numPr>
        <w:numId w:val="5"/>
      </w:numPr>
    </w:pPr>
  </w:style>
  <w:style w:type="character" w:styleId="Hyperlink">
    <w:name w:val="Hyperlink"/>
    <w:basedOn w:val="DefaultParagraphFont"/>
    <w:uiPriority w:val="99"/>
    <w:semiHidden/>
    <w:locked/>
    <w:rsid w:val="00B5199B"/>
    <w:rPr>
      <w:color w:val="0000FF" w:themeColor="hyperlink"/>
      <w:u w:val="single"/>
    </w:rPr>
  </w:style>
  <w:style w:type="paragraph" w:styleId="HSEQCaption" w:customStyle="1">
    <w:name w:val="HSEQ Caption"/>
    <w:qFormat/>
    <w:rsid w:val="00B5199B"/>
    <w:pPr>
      <w:spacing w:before="40" w:after="160" w:line="240" w:lineRule="auto"/>
    </w:pPr>
    <w:rPr>
      <w:rFonts w:ascii="Arial" w:hAnsi="Arial"/>
      <w:noProof/>
      <w:color w:val="6A6D71" w:themeColor="text2"/>
      <w:sz w:val="14"/>
      <w:lang w:eastAsia="en-GB"/>
    </w:rPr>
  </w:style>
  <w:style w:type="paragraph" w:styleId="HSEQCalloutBullets" w:customStyle="1">
    <w:name w:val="HSEQ Callout Bullets"/>
    <w:basedOn w:val="HSEQCallout"/>
    <w:qFormat/>
    <w:rsid w:val="00EE6911"/>
    <w:pPr>
      <w:numPr>
        <w:numId w:val="6"/>
      </w:numPr>
    </w:pPr>
  </w:style>
  <w:style w:type="paragraph" w:styleId="AmeyTableText" w:customStyle="1">
    <w:name w:val="Amey Table Text"/>
    <w:qFormat/>
    <w:rsid w:val="00542D0E"/>
    <w:pPr>
      <w:spacing w:before="40" w:after="40" w:line="240" w:lineRule="auto"/>
    </w:pPr>
    <w:rPr>
      <w:rFonts w:ascii="Tahoma" w:hAnsi="Tahoma" w:eastAsia="Times New Roman" w:cs="Times New Roman"/>
      <w:color w:val="75787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image" Target="media/image2.png"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HSEQ">
      <a:dk1>
        <a:sysClr val="windowText" lastClr="000000"/>
      </a:dk1>
      <a:lt1>
        <a:sysClr val="window" lastClr="FFFFFF"/>
      </a:lt1>
      <a:dk2>
        <a:srgbClr val="6A6D71"/>
      </a:dk2>
      <a:lt2>
        <a:srgbClr val="009640"/>
      </a:lt2>
      <a:accent1>
        <a:srgbClr val="FFED00"/>
      </a:accent1>
      <a:accent2>
        <a:srgbClr val="009640"/>
      </a:accent2>
      <a:accent3>
        <a:srgbClr val="CB192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4B38BDF0EF82A346B0C4592C434A0A6C" ma:contentTypeVersion="46" ma:contentTypeDescription="Create a new document." ma:contentTypeScope="" ma:versionID="49da87934c7314abf213c0b9a041b6ab">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82fb09-9fe8-4b32-a603-6dbda4c40483" targetNamespace="http://schemas.microsoft.com/office/2006/metadata/properties" ma:root="true" ma:fieldsID="a7ea1ad95d0a80edcb4a56e5d02bce71" ns2:_="" ns3:_="" ns4:_="" ns5:_="" ns6:_="">
    <xsd:import namespace="8595a0ec-c146-4eeb-925a-270f4bc4be63"/>
    <xsd:import namespace="662745e8-e224-48e8-a2e3-254862b8c2f5"/>
    <xsd:import namespace="eebef177-55b5-4448-a5fb-28ea454417ee"/>
    <xsd:import namespace="5ffd8e36-f429-4edc-ab50-c5be84842779"/>
    <xsd:import namespace="f282fb09-9fe8-4b32-a603-6dbda4c40483"/>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DateTaken" minOccurs="0"/>
                <xsd:element ref="ns6:MediaServiceLocation" minOccurs="0"/>
                <xsd:element ref="ns2:SharedWithUsers" minOccurs="0"/>
                <xsd:element ref="ns2:SharedWithDetails" minOccurs="0"/>
                <xsd:element ref="ns6:lcf76f155ced4ddcb4097134ff3c332f" minOccurs="0"/>
                <xsd:element ref="ns6:MediaLengthInSecond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981305-d081-4950-be5f-f720c05b9668}"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981305-d081-4950-be5f-f720c05b9668}"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2fb09-9fe8-4b32-a603-6dbda4c40483"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LengthInSeconds" ma:index="62" nillable="true" ma:displayName="MediaLengthInSeconds" ma:hidden="true" ma:internalName="MediaLengthInSeconds" ma:readOnly="true">
      <xsd:simpleType>
        <xsd:restriction base="dms:Unknown"/>
      </xsd:simple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595a0ec-c146-4eeb-925a-270f4bc4be63">
      <UserInfo>
        <DisplayName/>
        <AccountId xsi:nil="true"/>
        <AccountType/>
      </UserInfo>
    </SharedWithUsers>
    <EAReceivedDate xmlns="eebef177-55b5-4448-a5fb-28ea454417e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epr-ap3339xg</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Thalia WB ODC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2023-08-05T23:00:00+00:00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EPR/AP3339XG/V005</EPRNumber>
    <ed3cfd1978f244c4af5dc9d642a18018 xmlns="8595a0ec-c146-4eeb-925a-270f4bc4be63">
      <Terms xmlns="http://schemas.microsoft.com/office/infopath/2007/PartnerControls"/>
    </ed3cfd1978f244c4af5dc9d642a18018>
    <lcf76f155ced4ddcb4097134ff3c332f xmlns="f282fb09-9fe8-4b32-a603-6dbda4c40483">
      <Terms xmlns="http://schemas.microsoft.com/office/infopath/2007/PartnerControls"/>
    </lcf76f155ced4ddcb4097134ff3c332f>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CB25 9PG</FacilityAddressPostcode>
    <TaxCatchAll xmlns="662745e8-e224-48e8-a2e3-254862b8c2f5">
      <Value>12</Value>
      <Value>19</Value>
      <Value>26</Value>
      <Value>9</Value>
      <Value>63</Value>
    </TaxCatchAll>
    <ExternalAuthor xmlns="eebef177-55b5-4448-a5fb-28ea454417ee"/>
    <SiteName xmlns="eebef177-55b5-4448-a5fb-28ea454417ee">Waterbeach Mechanical Biological Treatment Facility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Waterbeach Mechanical Biological Treatment Facility Waterbeach Waste Management Park Ely Road Waterbeach Cambridgeshire CB25 9PG</FacilityAddres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11A0-FB5D-4A75-9A7A-71D3173C4CB9}"/>
</file>

<file path=customXml/itemProps2.xml><?xml version="1.0" encoding="utf-8"?>
<ds:datastoreItem xmlns:ds="http://schemas.openxmlformats.org/officeDocument/2006/customXml" ds:itemID="{F007D449-AADB-4223-BEFD-E5AB3F661DBA}">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590F287-0E27-4C6D-8B3C-6827EAE8CD92}">
  <ds:schemaRefs>
    <ds:schemaRef ds:uri="http://schemas.microsoft.com/sharepoint/v3/contenttype/forms"/>
  </ds:schemaRefs>
</ds:datastoreItem>
</file>

<file path=customXml/itemProps4.xml><?xml version="1.0" encoding="utf-8"?>
<ds:datastoreItem xmlns:ds="http://schemas.openxmlformats.org/officeDocument/2006/customXml" ds:itemID="{CA7744C2-3D9A-4E88-98A2-2E0944222D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Amey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Water Management Plan</dc:title>
  <dc:creator>Read, Laurie</dc:creator>
  <cp:lastModifiedBy>Kevin Benstead</cp:lastModifiedBy>
  <cp:revision>7</cp:revision>
  <cp:lastPrinted>2018-01-22T15:52:00Z</cp:lastPrinted>
  <dcterms:created xsi:type="dcterms:W3CDTF">2018-01-22T15:49:00Z</dcterms:created>
  <dcterms:modified xsi:type="dcterms:W3CDTF">2023-07-26T09:14:10Z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0x0101000E9AD557692E154F9D2697C8C6432F76004B38BDF0EF82A346B0C4592C434A0A6C</vt:lpwstr>
  </property>
  <property fmtid="{D5CDD505-2E9C-101B-9397-08002B2CF9AE}" pid="3" name="_ExtendedDescription">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xd_Signature">
    <vt:bool>false</vt:bool>
  </property>
  <property fmtid="{D5CDD505-2E9C-101B-9397-08002B2CF9AE}" pid="11" name="PermitDocumentType">
    <vt:lpwstr/>
  </property>
  <property fmtid="{D5CDD505-2E9C-101B-9397-08002B2CF9AE}" pid="12" name="MediaServiceImageTags">
    <vt:lpwstr/>
  </property>
  <property fmtid="{D5CDD505-2E9C-101B-9397-08002B2CF9AE}" pid="13" name="TypeofPermit">
    <vt:lpwstr>9;#N/A - Do not select for New Permits|0430e4c2-ee0a-4b2d-9af6-df735aafbcb2</vt:lpwstr>
  </property>
  <property fmtid="{D5CDD505-2E9C-101B-9397-08002B2CF9AE}" pid="14" name="DisclosureStatus">
    <vt:lpwstr>63;#Public Register|f1fcf6a6-5d97-4f1d-964e-a2f916eb1f18</vt:lpwstr>
  </property>
  <property fmtid="{D5CDD505-2E9C-101B-9397-08002B2CF9AE}" pid="15" name="EventType1">
    <vt:lpwstr/>
  </property>
  <property fmtid="{D5CDD505-2E9C-101B-9397-08002B2CF9AE}" pid="16" name="ActivityGrouping">
    <vt:lpwstr>12;#Application ＆ Associated Docs|5eadfd3c-6deb-44e1-b7e1-16accd427bec</vt:lpwstr>
  </property>
  <property fmtid="{D5CDD505-2E9C-101B-9397-08002B2CF9AE}" pid="17" name="RegulatedActivityClass">
    <vt:lpwstr>26;#Waste Operations|dc63c9b7-da6e-463c-b2cf-265b08d49156</vt:lpwstr>
  </property>
  <property fmtid="{D5CDD505-2E9C-101B-9397-08002B2CF9AE}" pid="18" name="Catchment">
    <vt:lpwstr/>
  </property>
  <property fmtid="{D5CDD505-2E9C-101B-9397-08002B2CF9AE}" pid="19" name="MajorProjectID">
    <vt:lpwstr/>
  </property>
  <property fmtid="{D5CDD505-2E9C-101B-9397-08002B2CF9AE}" pid="20" name="StandardRulesID">
    <vt:lpwstr/>
  </property>
  <property fmtid="{D5CDD505-2E9C-101B-9397-08002B2CF9AE}" pid="21" name="CessationStatus">
    <vt:lpwstr/>
  </property>
  <property fmtid="{D5CDD505-2E9C-101B-9397-08002B2CF9AE}" pid="22" name="Regime">
    <vt:lpwstr>19;#EPR|0e5af97d-1a8c-4d8f-a20b-528a11cab1f6</vt:lpwstr>
  </property>
  <property fmtid="{D5CDD505-2E9C-101B-9397-08002B2CF9AE}" pid="23" name="RegulatedActivitySub-Class">
    <vt:lpwstr/>
  </property>
  <property fmtid="{D5CDD505-2E9C-101B-9397-08002B2CF9AE}" pid="24" name="SysUpdateNoER">
    <vt:lpwstr>No</vt:lpwstr>
  </property>
</Properties>
</file>