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266" w:type="dxa"/>
        <w:tblLook w:val="04A0" w:firstRow="1" w:lastRow="0" w:firstColumn="1" w:lastColumn="0" w:noHBand="0" w:noVBand="1"/>
      </w:tblPr>
      <w:tblGrid>
        <w:gridCol w:w="7694"/>
        <w:gridCol w:w="1489"/>
        <w:gridCol w:w="247"/>
        <w:gridCol w:w="3836"/>
      </w:tblGrid>
      <w:tr w:rsidR="00385449" w:rsidRPr="00385449" w14:paraId="77F7B9AE" w14:textId="77777777" w:rsidTr="0071107C">
        <w:trPr>
          <w:trHeight w:val="300"/>
        </w:trPr>
        <w:tc>
          <w:tcPr>
            <w:tcW w:w="13266" w:type="dxa"/>
            <w:gridSpan w:val="4"/>
            <w:shd w:val="clear" w:color="auto" w:fill="AAE571"/>
            <w:noWrap/>
            <w:hideMark/>
          </w:tcPr>
          <w:p w14:paraId="587ABED4" w14:textId="746F715B" w:rsidR="00385449" w:rsidRPr="00A83E98" w:rsidRDefault="00385449" w:rsidP="00A83E9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83E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 Loss assessment against Appropriate Measures for Healthcare Waste Guidance Healthcare waste</w:t>
            </w:r>
            <w:r w:rsidR="00A83E9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</w:t>
            </w:r>
          </w:p>
        </w:tc>
      </w:tr>
      <w:tr w:rsidR="00385449" w:rsidRPr="00385449" w14:paraId="7862C2F0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759B5346" w14:textId="77777777" w:rsidR="00385449" w:rsidRPr="00385449" w:rsidRDefault="00385449" w:rsidP="003854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8544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Section </w:t>
            </w:r>
          </w:p>
        </w:tc>
        <w:tc>
          <w:tcPr>
            <w:tcW w:w="1736" w:type="dxa"/>
            <w:gridSpan w:val="2"/>
            <w:noWrap/>
            <w:hideMark/>
          </w:tcPr>
          <w:p w14:paraId="62D6A96D" w14:textId="3D4A220A" w:rsidR="00385449" w:rsidRPr="00385449" w:rsidRDefault="00DA0E62" w:rsidP="003854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8544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Compliance</w:t>
            </w:r>
            <w:r w:rsidR="00385449" w:rsidRPr="0038544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(Yes/No</w:t>
            </w:r>
          </w:p>
        </w:tc>
        <w:tc>
          <w:tcPr>
            <w:tcW w:w="3836" w:type="dxa"/>
            <w:noWrap/>
            <w:hideMark/>
          </w:tcPr>
          <w:p w14:paraId="602EA452" w14:textId="77777777" w:rsidR="00385449" w:rsidRPr="00385449" w:rsidRDefault="00385449" w:rsidP="003854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8544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Notes </w:t>
            </w:r>
          </w:p>
        </w:tc>
      </w:tr>
      <w:tr w:rsidR="00385449" w:rsidRPr="00385449" w14:paraId="549652B1" w14:textId="77777777" w:rsidTr="00F32DE9">
        <w:trPr>
          <w:trHeight w:val="2100"/>
        </w:trPr>
        <w:tc>
          <w:tcPr>
            <w:tcW w:w="7694" w:type="dxa"/>
            <w:noWrap/>
            <w:hideMark/>
          </w:tcPr>
          <w:p w14:paraId="7FDD79A1" w14:textId="10875C01" w:rsidR="00385449" w:rsidRPr="00385449" w:rsidRDefault="00536F5C" w:rsidP="00536F5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1.0 </w:t>
            </w:r>
            <w:r w:rsidR="00385449" w:rsidRPr="00385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Definition of healthcare waste</w:t>
            </w:r>
          </w:p>
        </w:tc>
        <w:tc>
          <w:tcPr>
            <w:tcW w:w="1736" w:type="dxa"/>
            <w:gridSpan w:val="2"/>
            <w:noWrap/>
            <w:hideMark/>
          </w:tcPr>
          <w:p w14:paraId="6E900CD9" w14:textId="492B4723" w:rsidR="00385449" w:rsidRPr="00C41FF7" w:rsidRDefault="00385449" w:rsidP="001763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836" w:type="dxa"/>
            <w:hideMark/>
          </w:tcPr>
          <w:p w14:paraId="3CD3FE83" w14:textId="267E214D" w:rsidR="009C7A88" w:rsidRDefault="00385449" w:rsidP="0038544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The No Loss </w:t>
            </w:r>
            <w:r w:rsidR="00C05115"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Installation will</w:t>
            </w:r>
            <w:r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 process reusable sharps boxes consigned from </w:t>
            </w:r>
            <w:r w:rsidR="00C41FF7"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healthcare</w:t>
            </w:r>
            <w:r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waste and associated sources</w:t>
            </w:r>
            <w:r w:rsidR="00633D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</w:t>
            </w:r>
            <w:r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9C7A88"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including</w:t>
            </w:r>
            <w:r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Home</w:t>
            </w:r>
            <w:proofErr w:type="gramEnd"/>
            <w:r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patients.  </w:t>
            </w:r>
          </w:p>
          <w:p w14:paraId="0BFF8ED9" w14:textId="739FE81A" w:rsidR="009C7A88" w:rsidRDefault="009C7A88" w:rsidP="0038544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A8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Related </w:t>
            </w:r>
            <w:r w:rsidR="0010652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Pr="009C7A8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ocuments:   </w:t>
            </w:r>
          </w:p>
          <w:p w14:paraId="5C7D6573" w14:textId="34DCB83F" w:rsidR="009C7A88" w:rsidRPr="00536F5C" w:rsidRDefault="00385449" w:rsidP="0071107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36F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EA </w:t>
            </w:r>
            <w:r w:rsidR="00536F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536F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ermit</w:t>
            </w:r>
          </w:p>
          <w:p w14:paraId="5D86ADBB" w14:textId="3FD877F1" w:rsidR="00C05115" w:rsidRPr="00536F5C" w:rsidRDefault="00C05115" w:rsidP="00536F5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36F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HTM 07-01</w:t>
            </w:r>
          </w:p>
          <w:p w14:paraId="2749C84F" w14:textId="5E828C3A" w:rsidR="00385449" w:rsidRPr="00385449" w:rsidRDefault="00385449" w:rsidP="0038544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85449" w:rsidRPr="00385449" w14:paraId="6DF07E94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25EF41E5" w14:textId="045908B1" w:rsidR="00385449" w:rsidRPr="00385449" w:rsidRDefault="00536F5C" w:rsidP="00536F5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2.0 </w:t>
            </w:r>
            <w:r w:rsidR="00385449" w:rsidRPr="00385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Managing </w:t>
            </w:r>
            <w:r w:rsidR="00633D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</w:t>
            </w:r>
            <w:r w:rsidR="00385449" w:rsidRPr="00385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ealthcare wastes</w:t>
            </w:r>
          </w:p>
        </w:tc>
        <w:tc>
          <w:tcPr>
            <w:tcW w:w="1736" w:type="dxa"/>
            <w:gridSpan w:val="2"/>
            <w:noWrap/>
            <w:hideMark/>
          </w:tcPr>
          <w:p w14:paraId="66BFAFC0" w14:textId="1C54D6AB" w:rsidR="00385449" w:rsidRPr="00C41FF7" w:rsidRDefault="00385449" w:rsidP="001763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836" w:type="dxa"/>
            <w:noWrap/>
            <w:hideMark/>
          </w:tcPr>
          <w:p w14:paraId="08787404" w14:textId="77777777" w:rsidR="00385449" w:rsidRPr="00536F5C" w:rsidRDefault="00536F5C" w:rsidP="0071107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36F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  <w:r w:rsidRPr="00536F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ab/>
              <w:t>HTM 07-01</w:t>
            </w:r>
          </w:p>
          <w:p w14:paraId="1F568392" w14:textId="5AC991F2" w:rsidR="00536F5C" w:rsidRPr="00536F5C" w:rsidRDefault="00536F5C" w:rsidP="0071107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36F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  <w:r w:rsidRPr="00536F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ab/>
              <w:t>EA Permit</w:t>
            </w:r>
          </w:p>
          <w:p w14:paraId="07399B02" w14:textId="77777777" w:rsidR="00536F5C" w:rsidRPr="00536F5C" w:rsidRDefault="00536F5C" w:rsidP="00536F5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2C6567A" w14:textId="06A89E05" w:rsidR="00536F5C" w:rsidRPr="00385449" w:rsidRDefault="00536F5C" w:rsidP="00536F5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85449" w:rsidRPr="00385449" w14:paraId="0CF8DEFC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3E34E20F" w14:textId="185F3E68" w:rsidR="00385449" w:rsidRPr="00385449" w:rsidRDefault="00536F5C" w:rsidP="00536F5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3.0 </w:t>
            </w:r>
            <w:r w:rsidR="00385449" w:rsidRPr="00385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General management appropriate measures</w:t>
            </w:r>
          </w:p>
        </w:tc>
        <w:tc>
          <w:tcPr>
            <w:tcW w:w="1736" w:type="dxa"/>
            <w:gridSpan w:val="2"/>
            <w:noWrap/>
            <w:hideMark/>
          </w:tcPr>
          <w:p w14:paraId="0DD141AE" w14:textId="363BB837" w:rsidR="00385449" w:rsidRPr="00C41FF7" w:rsidRDefault="00385449" w:rsidP="001763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2FD156BA" w14:textId="77777777" w:rsidR="00385449" w:rsidRPr="00385449" w:rsidRDefault="00385449" w:rsidP="003854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6BEF4820" w14:textId="77777777" w:rsidTr="00F32DE9">
        <w:trPr>
          <w:trHeight w:val="900"/>
        </w:trPr>
        <w:tc>
          <w:tcPr>
            <w:tcW w:w="7694" w:type="dxa"/>
            <w:hideMark/>
          </w:tcPr>
          <w:p w14:paraId="16B6EF7E" w14:textId="6C2ABAF1" w:rsidR="00385449" w:rsidRPr="009C7A88" w:rsidRDefault="00456AA8" w:rsidP="00536F5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3.</w:t>
            </w:r>
            <w:r w:rsidR="00385449" w:rsidRPr="00385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  <w:r w:rsidR="00031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5449" w:rsidRPr="00385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You must have and follow an up-to-date, written management system that incorporates the following features.</w:t>
            </w:r>
          </w:p>
          <w:p w14:paraId="1CEC148E" w14:textId="77777777" w:rsidR="00385449" w:rsidRPr="009C7A88" w:rsidRDefault="00385449" w:rsidP="00536F5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71D10C0E" w14:textId="77777777" w:rsidR="00385449" w:rsidRPr="009C7A88" w:rsidRDefault="00385449" w:rsidP="00536F5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0F86FB5" w14:textId="77777777" w:rsidR="00385449" w:rsidRPr="009C7A88" w:rsidRDefault="00385449" w:rsidP="00536F5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28F32FA" w14:textId="77777777" w:rsidR="00385449" w:rsidRPr="00385449" w:rsidRDefault="00385449" w:rsidP="00536F5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36" w:type="dxa"/>
            <w:gridSpan w:val="2"/>
            <w:hideMark/>
          </w:tcPr>
          <w:p w14:paraId="0AA37AF6" w14:textId="7DBC2680" w:rsidR="00385449" w:rsidRPr="00C41FF7" w:rsidRDefault="00385449" w:rsidP="001763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836" w:type="dxa"/>
            <w:hideMark/>
          </w:tcPr>
          <w:p w14:paraId="7C287FB4" w14:textId="77777777" w:rsidR="00385449" w:rsidRDefault="00385449" w:rsidP="0038544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54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Related Documents:  </w:t>
            </w:r>
          </w:p>
          <w:p w14:paraId="163A4ABC" w14:textId="774E7219" w:rsidR="00106522" w:rsidRPr="00106522" w:rsidRDefault="00031B9F" w:rsidP="00106522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ISO 14001:2004</w:t>
            </w:r>
          </w:p>
          <w:p w14:paraId="35B1A349" w14:textId="57E53683" w:rsidR="00106522" w:rsidRPr="00106522" w:rsidRDefault="00AC44DD" w:rsidP="00106522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C44D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ISO 9001: 2008</w:t>
            </w:r>
          </w:p>
          <w:p w14:paraId="3460BA93" w14:textId="4FC7EC63" w:rsidR="00385449" w:rsidRPr="00C05115" w:rsidRDefault="00385449" w:rsidP="0038544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1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E001 i3 Environmental Policy</w:t>
            </w:r>
          </w:p>
          <w:p w14:paraId="64A46A43" w14:textId="7C0EA664" w:rsidR="00385449" w:rsidRPr="00C05115" w:rsidRDefault="00385449" w:rsidP="0038544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1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E002 Environmental Management System</w:t>
            </w:r>
          </w:p>
          <w:p w14:paraId="462C8614" w14:textId="77777777" w:rsidR="00385449" w:rsidRPr="00C05115" w:rsidRDefault="00385449" w:rsidP="0038544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1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E003.1 Company Structure</w:t>
            </w:r>
          </w:p>
          <w:p w14:paraId="104C8360" w14:textId="77777777" w:rsidR="00385449" w:rsidRPr="00C05115" w:rsidRDefault="00385449" w:rsidP="0038544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1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E003.2 i2 Roles and Responsibilities</w:t>
            </w:r>
          </w:p>
          <w:p w14:paraId="2DFF0E35" w14:textId="77777777" w:rsidR="00385449" w:rsidRPr="00C05115" w:rsidRDefault="00385449" w:rsidP="0038544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1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E003.3 Training, Awareness and Competence</w:t>
            </w:r>
          </w:p>
          <w:p w14:paraId="49CA6F4D" w14:textId="77777777" w:rsidR="00C05115" w:rsidRPr="00C05115" w:rsidRDefault="00C05115" w:rsidP="0038544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51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H003.32 i4 Maintenance Monthly Checklist</w:t>
            </w:r>
          </w:p>
          <w:p w14:paraId="29EE803F" w14:textId="77777777" w:rsidR="00106522" w:rsidRDefault="00106522" w:rsidP="0010652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65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E007.11.1 i3 Odour Management Plan LH</w:t>
            </w:r>
          </w:p>
          <w:p w14:paraId="302F62ED" w14:textId="77777777" w:rsidR="00474A36" w:rsidRDefault="00474A36" w:rsidP="0010652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4A3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E007.12.1 Noise management procedure LH</w:t>
            </w:r>
          </w:p>
          <w:p w14:paraId="5BFA8C7F" w14:textId="77777777" w:rsidR="00474A36" w:rsidRDefault="00474A36" w:rsidP="0010652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4A3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H004.1 Fire Prevention Plan (Littlehampton Autoclave Facility)</w:t>
            </w:r>
          </w:p>
          <w:p w14:paraId="3CB0F68D" w14:textId="02E13AB3" w:rsidR="001763F1" w:rsidRPr="00106522" w:rsidRDefault="001763F1" w:rsidP="0010652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63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E008 Performance Monitoring</w:t>
            </w:r>
          </w:p>
        </w:tc>
      </w:tr>
      <w:tr w:rsidR="00385449" w:rsidRPr="00385449" w14:paraId="3DF217F6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55AEE9B6" w14:textId="128EC1CC" w:rsidR="00385449" w:rsidRPr="00385449" w:rsidRDefault="00456AA8" w:rsidP="00F32D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3.</w:t>
            </w:r>
            <w:r w:rsidR="00DA0E62" w:rsidRPr="00DA0E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r w:rsidR="00536F5C" w:rsidRPr="00DA0E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Staff competence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noWrap/>
            <w:hideMark/>
          </w:tcPr>
          <w:p w14:paraId="3248CF26" w14:textId="2C16D5F9" w:rsidR="00385449" w:rsidRPr="00C41FF7" w:rsidRDefault="00DA0E62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  <w:r w:rsidR="00456AA8"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</w:t>
            </w:r>
          </w:p>
        </w:tc>
        <w:tc>
          <w:tcPr>
            <w:tcW w:w="247" w:type="dxa"/>
            <w:tcBorders>
              <w:left w:val="single" w:sz="4" w:space="0" w:color="auto"/>
            </w:tcBorders>
            <w:noWrap/>
            <w:hideMark/>
          </w:tcPr>
          <w:p w14:paraId="2E3FAB17" w14:textId="77777777" w:rsidR="00385449" w:rsidRPr="00385449" w:rsidRDefault="00385449" w:rsidP="001763F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61DB0BAA" w14:textId="7FCA80E4" w:rsidR="00106522" w:rsidRPr="00106522" w:rsidRDefault="00106522" w:rsidP="00106522">
            <w:pPr>
              <w:ind w:left="360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065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Related Documents:</w:t>
            </w:r>
          </w:p>
          <w:p w14:paraId="5B93535E" w14:textId="0705B19E" w:rsidR="00385449" w:rsidRPr="00DA0E62" w:rsidRDefault="00DA0E62" w:rsidP="00DA0E62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0E6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 x CoT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  <w:r w:rsidRPr="00DA0E6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holders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(WAMITAB)</w:t>
            </w:r>
          </w:p>
        </w:tc>
      </w:tr>
      <w:tr w:rsidR="00385449" w:rsidRPr="00385449" w14:paraId="09846F04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0B8E17E7" w14:textId="3E128718" w:rsidR="00385449" w:rsidRPr="00385449" w:rsidRDefault="00456AA8" w:rsidP="00DA0E62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</w:t>
            </w:r>
            <w:r w:rsidR="00DA0E6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3 </w:t>
            </w:r>
            <w:r w:rsidR="00DA0E62" w:rsidRPr="00DA0E6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Accident Management plan </w:t>
            </w:r>
          </w:p>
        </w:tc>
        <w:tc>
          <w:tcPr>
            <w:tcW w:w="1489" w:type="dxa"/>
            <w:noWrap/>
            <w:hideMark/>
          </w:tcPr>
          <w:p w14:paraId="6537C318" w14:textId="73B89FD1" w:rsidR="00385449" w:rsidRPr="00C41FF7" w:rsidRDefault="00DA0E62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  <w:r w:rsidR="00456AA8"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</w:t>
            </w:r>
          </w:p>
        </w:tc>
        <w:tc>
          <w:tcPr>
            <w:tcW w:w="247" w:type="dxa"/>
            <w:noWrap/>
            <w:hideMark/>
          </w:tcPr>
          <w:p w14:paraId="2744692E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0194C3FC" w14:textId="6CC4222E" w:rsidR="00106522" w:rsidRPr="00106522" w:rsidRDefault="00106522" w:rsidP="00106522">
            <w:pPr>
              <w:ind w:left="360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0652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Related Documents:</w:t>
            </w:r>
          </w:p>
          <w:p w14:paraId="2DB3674E" w14:textId="77777777" w:rsidR="00385449" w:rsidRDefault="00106522" w:rsidP="00106522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0652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H011 i6 Accident Management Plan LH</w:t>
            </w:r>
          </w:p>
          <w:p w14:paraId="0683CE0D" w14:textId="337EB076" w:rsidR="00031B9F" w:rsidRPr="00106522" w:rsidRDefault="00031B9F" w:rsidP="00106522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D003 LH Emergency Response</w:t>
            </w:r>
          </w:p>
        </w:tc>
      </w:tr>
      <w:tr w:rsidR="00385449" w:rsidRPr="00385449" w14:paraId="0F9464B0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38A398F6" w14:textId="7FADCBD9" w:rsidR="00385449" w:rsidRPr="00385449" w:rsidRDefault="00456AA8" w:rsidP="00456AA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6AA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3.4 Accident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prevention measures</w:t>
            </w:r>
          </w:p>
        </w:tc>
        <w:tc>
          <w:tcPr>
            <w:tcW w:w="1489" w:type="dxa"/>
            <w:noWrap/>
            <w:hideMark/>
          </w:tcPr>
          <w:p w14:paraId="772FEB28" w14:textId="422FAAA9" w:rsidR="00385449" w:rsidRPr="00C41FF7" w:rsidRDefault="00456AA8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045D5CEA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3F6B0620" w14:textId="2A98D325" w:rsidR="00031B9F" w:rsidRPr="00031B9F" w:rsidRDefault="00031B9F" w:rsidP="00031B9F">
            <w:pPr>
              <w:ind w:left="360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Related Documents:</w:t>
            </w:r>
          </w:p>
          <w:p w14:paraId="0CC22865" w14:textId="019B5726" w:rsidR="00385449" w:rsidRPr="00031B9F" w:rsidRDefault="00F32DE9" w:rsidP="00031B9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H001 i6 </w:t>
            </w:r>
            <w:r w:rsidR="00031B9F"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Health Safety</w:t>
            </w: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Policy</w:t>
            </w:r>
          </w:p>
        </w:tc>
      </w:tr>
      <w:tr w:rsidR="00385449" w:rsidRPr="00385449" w14:paraId="45D973AC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4AE77E0B" w14:textId="19D02C3B" w:rsidR="00385449" w:rsidRPr="00385449" w:rsidRDefault="00456AA8" w:rsidP="00456AA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56AA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3.5 Contingency plans and procedures </w:t>
            </w:r>
          </w:p>
        </w:tc>
        <w:tc>
          <w:tcPr>
            <w:tcW w:w="1489" w:type="dxa"/>
            <w:noWrap/>
            <w:hideMark/>
          </w:tcPr>
          <w:p w14:paraId="2DDB3820" w14:textId="77777777" w:rsidR="00385449" w:rsidRPr="00C41FF7" w:rsidRDefault="00385449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" w:type="dxa"/>
            <w:noWrap/>
            <w:hideMark/>
          </w:tcPr>
          <w:p w14:paraId="4E04EC15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6AB2DE3A" w14:textId="09A7F4C4" w:rsidR="001763F1" w:rsidRPr="001763F1" w:rsidRDefault="001763F1" w:rsidP="001763F1">
            <w:pPr>
              <w:ind w:left="360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763F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Related Documents:</w:t>
            </w:r>
          </w:p>
          <w:p w14:paraId="51BC750D" w14:textId="2EDCE110" w:rsidR="00385449" w:rsidRPr="001763F1" w:rsidRDefault="001763F1" w:rsidP="001763F1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63F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E011 Business continuity policy</w:t>
            </w:r>
          </w:p>
          <w:p w14:paraId="11EE7C1B" w14:textId="0254FA33" w:rsidR="001763F1" w:rsidRPr="001763F1" w:rsidRDefault="001763F1" w:rsidP="001763F1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63F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E011.1 i3 Business Continuity Plan</w:t>
            </w:r>
          </w:p>
          <w:p w14:paraId="2DE1ADE8" w14:textId="2AC518F4" w:rsidR="001763F1" w:rsidRPr="00385449" w:rsidRDefault="001763F1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0EDBFB03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423777E2" w14:textId="6350C9B3" w:rsidR="00385449" w:rsidRPr="00385449" w:rsidRDefault="00155E85" w:rsidP="001763F1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55E8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3.6 Plant decommissioning</w:t>
            </w:r>
          </w:p>
        </w:tc>
        <w:tc>
          <w:tcPr>
            <w:tcW w:w="1489" w:type="dxa"/>
            <w:noWrap/>
            <w:hideMark/>
          </w:tcPr>
          <w:p w14:paraId="64FEF03E" w14:textId="71D9D674" w:rsidR="00385449" w:rsidRPr="00C41FF7" w:rsidRDefault="00F32DE9" w:rsidP="00F32DE9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247" w:type="dxa"/>
            <w:noWrap/>
            <w:hideMark/>
          </w:tcPr>
          <w:p w14:paraId="23535DE1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50455508" w14:textId="791D638B" w:rsidR="00385449" w:rsidRPr="00385449" w:rsidRDefault="001763F1" w:rsidP="001763F1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63F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 in our Current circumstances</w:t>
            </w:r>
          </w:p>
        </w:tc>
      </w:tr>
      <w:tr w:rsidR="00385449" w:rsidRPr="00385449" w14:paraId="47159545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2839532B" w14:textId="71B3F8F1" w:rsidR="00385449" w:rsidRPr="00385449" w:rsidRDefault="001763F1" w:rsidP="001763F1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763F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4.0 Waste pre-acceptance, acceptance and tracking appropriate measures</w:t>
            </w:r>
          </w:p>
        </w:tc>
        <w:tc>
          <w:tcPr>
            <w:tcW w:w="1489" w:type="dxa"/>
            <w:noWrap/>
            <w:hideMark/>
          </w:tcPr>
          <w:p w14:paraId="3A38717D" w14:textId="14388BFB" w:rsidR="00385449" w:rsidRPr="00C41FF7" w:rsidRDefault="00385449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" w:type="dxa"/>
            <w:noWrap/>
            <w:hideMark/>
          </w:tcPr>
          <w:p w14:paraId="22668C39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531E28F1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046CA558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220C4B3D" w14:textId="585D7403" w:rsidR="00385449" w:rsidRPr="00385449" w:rsidRDefault="00712FB8" w:rsidP="0064200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4.1 Waste pre -acceptance </w:t>
            </w:r>
          </w:p>
        </w:tc>
        <w:tc>
          <w:tcPr>
            <w:tcW w:w="1489" w:type="dxa"/>
            <w:noWrap/>
            <w:hideMark/>
          </w:tcPr>
          <w:p w14:paraId="4CAF2E76" w14:textId="01AB565A" w:rsidR="00385449" w:rsidRPr="00C41FF7" w:rsidRDefault="00712FB8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779653C2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13404F25" w14:textId="69DCC308" w:rsidR="00712FB8" w:rsidRPr="00712FB8" w:rsidRDefault="00712FB8" w:rsidP="00712FB8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2FB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Related Documents:</w:t>
            </w:r>
          </w:p>
          <w:p w14:paraId="1DDABAEE" w14:textId="41B4D90C" w:rsidR="00385449" w:rsidRDefault="00712FB8" w:rsidP="00712FB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2FB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E007.4.1.1 i12 Pre-Acceptance Waste Audit form</w:t>
            </w:r>
          </w:p>
          <w:p w14:paraId="55F65F25" w14:textId="21B66CBB" w:rsidR="006B3132" w:rsidRDefault="006B3132" w:rsidP="00712FB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313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E007.5 i6 Waste Management Procedure</w:t>
            </w:r>
          </w:p>
          <w:p w14:paraId="5D183315" w14:textId="5E020237" w:rsidR="00712FB8" w:rsidRPr="00712FB8" w:rsidRDefault="00B4591A" w:rsidP="00B4591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59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E005.2.1 i12 Waste Types Permitted for Storage</w:t>
            </w:r>
            <w:r w:rsidR="00633D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712FB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Pre acceptance waste audits are kept on a </w:t>
            </w:r>
            <w:proofErr w:type="spellStart"/>
            <w:r w:rsidR="00712FB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MoPs</w:t>
            </w:r>
            <w:proofErr w:type="spellEnd"/>
            <w:r w:rsidR="00712FB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system </w:t>
            </w:r>
            <w:r w:rsidR="00633D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filed</w:t>
            </w:r>
            <w:r w:rsidR="00B46C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against</w:t>
            </w:r>
            <w:r w:rsidR="00712FB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B46C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  <w:r w:rsidR="00712FB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ustomer collection point </w:t>
            </w:r>
            <w:r w:rsidR="00633D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data</w:t>
            </w:r>
            <w:r w:rsidR="00712FB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</w:tr>
      <w:tr w:rsidR="00385449" w:rsidRPr="00385449" w14:paraId="0AB83FA1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570FC5FB" w14:textId="7D1B4E16" w:rsidR="00385449" w:rsidRPr="00385449" w:rsidRDefault="00712FB8" w:rsidP="0064200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712FB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4.2 Waste acceptance </w:t>
            </w:r>
          </w:p>
        </w:tc>
        <w:tc>
          <w:tcPr>
            <w:tcW w:w="1489" w:type="dxa"/>
            <w:noWrap/>
            <w:hideMark/>
          </w:tcPr>
          <w:p w14:paraId="132B240D" w14:textId="05CE14DB" w:rsidR="00385449" w:rsidRPr="00C41FF7" w:rsidRDefault="00712FB8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7912AF7B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5A033742" w14:textId="77777777" w:rsidR="00385449" w:rsidRDefault="00712FB8" w:rsidP="00712FB8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2FB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Related Documents:</w:t>
            </w:r>
          </w:p>
          <w:p w14:paraId="08C7E58A" w14:textId="0E80F7C7" w:rsidR="006B3132" w:rsidRDefault="006B3132" w:rsidP="006B3132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313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E007.5.9 i4 MediTrack Waste Booking &amp; Tracking Procedure</w:t>
            </w:r>
          </w:p>
          <w:p w14:paraId="10C103DD" w14:textId="53D8680E" w:rsidR="006B3132" w:rsidRDefault="006B3132" w:rsidP="006B3132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313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D012 Waste treatment flow</w:t>
            </w:r>
          </w:p>
          <w:p w14:paraId="421A635D" w14:textId="0C711B70" w:rsidR="006B3132" w:rsidRDefault="006B3132" w:rsidP="006B3132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313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E007.5 i6 Waste Management Procedure</w:t>
            </w:r>
          </w:p>
          <w:p w14:paraId="66987A88" w14:textId="42F83487" w:rsidR="00B4591A" w:rsidRDefault="00B4591A" w:rsidP="006B3132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59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D002 LH Waste storage</w:t>
            </w:r>
          </w:p>
          <w:p w14:paraId="41632D89" w14:textId="466B3199" w:rsidR="00B46C59" w:rsidRPr="00B46C59" w:rsidRDefault="00B46C59" w:rsidP="00B46C59">
            <w:pPr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6C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MediTrack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is our waste tracking system that Monitors waste coming into the facility and leaving the facility.</w:t>
            </w:r>
          </w:p>
          <w:p w14:paraId="692AA9C0" w14:textId="77777777" w:rsidR="00712FB8" w:rsidRDefault="00712FB8" w:rsidP="00712F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CE2FAB1" w14:textId="6505C8A5" w:rsidR="00712FB8" w:rsidRPr="00385449" w:rsidRDefault="00712FB8" w:rsidP="00712F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2F13DB7E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596DC978" w14:textId="556A1271" w:rsidR="00385449" w:rsidRPr="00385449" w:rsidRDefault="002C39CC" w:rsidP="0064200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C39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 xml:space="preserve">4.3 Waste tracking </w:t>
            </w:r>
          </w:p>
        </w:tc>
        <w:tc>
          <w:tcPr>
            <w:tcW w:w="1489" w:type="dxa"/>
            <w:noWrap/>
            <w:hideMark/>
          </w:tcPr>
          <w:p w14:paraId="63D6F375" w14:textId="3F80FFAF" w:rsidR="00385449" w:rsidRPr="00031B9F" w:rsidRDefault="002C39CC" w:rsidP="00031B9F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4846BACD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479D26C0" w14:textId="4757846B" w:rsidR="002C39CC" w:rsidRPr="002C39CC" w:rsidRDefault="002C39CC" w:rsidP="00031B9F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39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Related Documents:</w:t>
            </w:r>
          </w:p>
          <w:p w14:paraId="689CD783" w14:textId="369655B7" w:rsidR="002C39CC" w:rsidRPr="00C41FF7" w:rsidRDefault="00B46C59" w:rsidP="00C41FF7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E007.5 i6 Waste Management Procedure</w:t>
            </w:r>
          </w:p>
          <w:p w14:paraId="40732222" w14:textId="037FD631" w:rsidR="002C39CC" w:rsidRDefault="00B46C59" w:rsidP="00C41FF7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6C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E007.5.9 i4 MediTrack Waste Booking &amp; Tracking Procedure</w:t>
            </w:r>
          </w:p>
          <w:p w14:paraId="7CCEFA86" w14:textId="2FDEF39C" w:rsidR="00B4591A" w:rsidRDefault="00B4591A" w:rsidP="00C41FF7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59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D002 LH Waste storage</w:t>
            </w:r>
          </w:p>
          <w:p w14:paraId="7C03D010" w14:textId="44BBB4E7" w:rsidR="00B46C59" w:rsidRPr="00B46C59" w:rsidRDefault="00B46C59" w:rsidP="00C41F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6C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MediTrack is our waste tracking system that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B46C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onitors waste coming into the facility and leaving the facility.</w:t>
            </w:r>
          </w:p>
          <w:p w14:paraId="78CD4154" w14:textId="77777777" w:rsidR="00B46C59" w:rsidRDefault="00B46C59" w:rsidP="00C41F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C792882" w14:textId="0D4BA9C4" w:rsidR="00B46C59" w:rsidRPr="00B46C59" w:rsidRDefault="00B46C59" w:rsidP="00C41F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2B429CB6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27D84991" w14:textId="41AA8347" w:rsidR="00385449" w:rsidRPr="00385449" w:rsidRDefault="00B46C59" w:rsidP="00B46C59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46C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5.0 Waste storage, segregation and handling appropriate measures</w:t>
            </w:r>
          </w:p>
        </w:tc>
        <w:tc>
          <w:tcPr>
            <w:tcW w:w="1489" w:type="dxa"/>
            <w:noWrap/>
            <w:hideMark/>
          </w:tcPr>
          <w:p w14:paraId="2F8AFC85" w14:textId="3C37FC39" w:rsidR="00385449" w:rsidRPr="00031B9F" w:rsidRDefault="00031B9F" w:rsidP="00031B9F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020640AE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3EDD2605" w14:textId="226DD6D4" w:rsidR="0071107C" w:rsidRPr="0071107C" w:rsidRDefault="0071107C" w:rsidP="0071107C">
            <w:pPr>
              <w:ind w:left="360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107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Related Documents:</w:t>
            </w:r>
          </w:p>
          <w:p w14:paraId="5AFDC40B" w14:textId="4F20F829" w:rsidR="00031B9F" w:rsidRPr="00031B9F" w:rsidRDefault="00031B9F" w:rsidP="00031B9F">
            <w:pPr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ab/>
              <w:t>EA Permit</w:t>
            </w:r>
          </w:p>
          <w:p w14:paraId="5456AF1D" w14:textId="77777777" w:rsidR="00031B9F" w:rsidRPr="00031B9F" w:rsidRDefault="00031B9F" w:rsidP="00031B9F">
            <w:pPr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ab/>
              <w:t>E007.5 i6 Waste Management Procedure</w:t>
            </w:r>
          </w:p>
          <w:p w14:paraId="1C88D290" w14:textId="77777777" w:rsidR="00031B9F" w:rsidRPr="00031B9F" w:rsidRDefault="00031B9F" w:rsidP="00031B9F">
            <w:pPr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ab/>
              <w:t>E007.5 i6 Waste Management Procedure</w:t>
            </w:r>
          </w:p>
          <w:p w14:paraId="4802AEC9" w14:textId="77777777" w:rsidR="00031B9F" w:rsidRPr="00031B9F" w:rsidRDefault="00031B9F" w:rsidP="00031B9F">
            <w:pPr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ab/>
              <w:t>E005.2.1 i12 Waste Types Permitted for Storage etc</w:t>
            </w:r>
          </w:p>
          <w:p w14:paraId="60764606" w14:textId="29F83202" w:rsidR="00B4591A" w:rsidRPr="00B4591A" w:rsidRDefault="00031B9F" w:rsidP="00031B9F">
            <w:pPr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ab/>
              <w:t>D002 LH Waste storage</w:t>
            </w:r>
          </w:p>
          <w:p w14:paraId="44EBF5D4" w14:textId="3D82C7C0" w:rsidR="00B4591A" w:rsidRPr="00385449" w:rsidRDefault="00B4591A" w:rsidP="00B4591A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2B66F2E9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3582C2AB" w14:textId="72380478" w:rsidR="00385449" w:rsidRPr="00385449" w:rsidRDefault="00031B9F" w:rsidP="00031B9F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5.1 Compaction of healthcare waste</w:t>
            </w:r>
          </w:p>
        </w:tc>
        <w:tc>
          <w:tcPr>
            <w:tcW w:w="1489" w:type="dxa"/>
            <w:noWrap/>
            <w:hideMark/>
          </w:tcPr>
          <w:p w14:paraId="7472D7B6" w14:textId="4C7187B0" w:rsidR="00385449" w:rsidRPr="00031B9F" w:rsidRDefault="00031B9F" w:rsidP="00031B9F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247" w:type="dxa"/>
            <w:noWrap/>
            <w:hideMark/>
          </w:tcPr>
          <w:p w14:paraId="74CA46CB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0F0AC652" w14:textId="5519FB6E" w:rsidR="00385449" w:rsidRPr="00031B9F" w:rsidRDefault="00031B9F" w:rsidP="00031B9F">
            <w:pPr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For the No Loss Installation.</w:t>
            </w:r>
          </w:p>
        </w:tc>
      </w:tr>
      <w:tr w:rsidR="00385449" w:rsidRPr="00385449" w14:paraId="0D8CC7F2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7C9FDD22" w14:textId="1F2D61AC" w:rsidR="00385449" w:rsidRPr="00385449" w:rsidRDefault="00642008" w:rsidP="0064200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64200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6.0 Waste treatment appropriate measures  </w:t>
            </w:r>
          </w:p>
        </w:tc>
        <w:tc>
          <w:tcPr>
            <w:tcW w:w="1489" w:type="dxa"/>
            <w:noWrap/>
            <w:hideMark/>
          </w:tcPr>
          <w:p w14:paraId="1BF36A49" w14:textId="77777777" w:rsidR="00385449" w:rsidRPr="00031B9F" w:rsidRDefault="00385449" w:rsidP="00031B9F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" w:type="dxa"/>
            <w:noWrap/>
            <w:hideMark/>
          </w:tcPr>
          <w:p w14:paraId="6441373A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34F09B91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62DDC287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6CDF4037" w14:textId="4A07125E" w:rsidR="00385449" w:rsidRPr="00385449" w:rsidRDefault="00642008" w:rsidP="0064200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64200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6.1 General waste treatment </w:t>
            </w:r>
          </w:p>
        </w:tc>
        <w:tc>
          <w:tcPr>
            <w:tcW w:w="1489" w:type="dxa"/>
            <w:noWrap/>
            <w:hideMark/>
          </w:tcPr>
          <w:p w14:paraId="4BAF6BC0" w14:textId="4CD80F86" w:rsidR="00385449" w:rsidRPr="00031B9F" w:rsidRDefault="00E078FD" w:rsidP="00031B9F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23C582A3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6B31718B" w14:textId="0E1BE53B" w:rsidR="00385449" w:rsidRPr="00385449" w:rsidRDefault="00E078FD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Please keep in mind that the No Loss Installation /process is design to allow the re use of the Primary waste container in this </w:t>
            </w:r>
            <w:r w:rsidR="004913BD"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case </w:t>
            </w: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sharps boxes the actual waste</w:t>
            </w:r>
            <w:r w:rsidR="004913BD"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the sharps are bulked up for offsite disposal. </w:t>
            </w: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  </w:t>
            </w:r>
          </w:p>
        </w:tc>
      </w:tr>
      <w:tr w:rsidR="00385449" w:rsidRPr="00385449" w14:paraId="6E332DA9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707C9792" w14:textId="7C93C562" w:rsidR="00385449" w:rsidRPr="00385449" w:rsidRDefault="00642008" w:rsidP="0064200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64200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6.2 Plant commissioning and validating the efficacy of treatment </w:t>
            </w:r>
          </w:p>
        </w:tc>
        <w:tc>
          <w:tcPr>
            <w:tcW w:w="1489" w:type="dxa"/>
            <w:noWrap/>
            <w:hideMark/>
          </w:tcPr>
          <w:p w14:paraId="76CFB6C5" w14:textId="218F610E" w:rsidR="00385449" w:rsidRPr="00031B9F" w:rsidRDefault="004913BD" w:rsidP="00031B9F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B9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19A391CA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2C252AED" w14:textId="77777777" w:rsidR="00B4265B" w:rsidRPr="00B4265B" w:rsidRDefault="00B4265B" w:rsidP="00B4265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This assessment is designed to demonstrate that the engineering and process controls</w:t>
            </w:r>
          </w:p>
          <w:p w14:paraId="28EC8C76" w14:textId="77777777" w:rsidR="00B4265B" w:rsidRPr="00B4265B" w:rsidRDefault="00B4265B" w:rsidP="00B4265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associated with the Sharpak NOLOSS Wash System is capable of decontaminating reusable</w:t>
            </w:r>
          </w:p>
          <w:p w14:paraId="15D5447D" w14:textId="77777777" w:rsidR="00B4265B" w:rsidRPr="00B4265B" w:rsidRDefault="00B4265B" w:rsidP="00B4265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sharps containers of different sizes (as supplied by Sharpak Healthcare).</w:t>
            </w:r>
          </w:p>
          <w:p w14:paraId="31B13D09" w14:textId="77777777" w:rsidR="00B4265B" w:rsidRPr="00B4265B" w:rsidRDefault="00B4265B" w:rsidP="00B4265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 requirement described in ISO 23907-</w:t>
            </w:r>
            <w:proofErr w:type="gramStart"/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 ;</w:t>
            </w:r>
            <w:proofErr w:type="gramEnd"/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2019 is that reusable sharps containers are</w:t>
            </w:r>
          </w:p>
          <w:p w14:paraId="777F6300" w14:textId="77777777" w:rsidR="00B4265B" w:rsidRPr="00B4265B" w:rsidRDefault="00B4265B" w:rsidP="00B4265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rendered safe for subsequent handling and reuse using either physical, chemical or thermal</w:t>
            </w:r>
          </w:p>
          <w:p w14:paraId="6D05E3F1" w14:textId="368FE09E" w:rsidR="00B4265B" w:rsidRPr="00B4265B" w:rsidRDefault="00B4265B" w:rsidP="00B4265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means either singularly or in combination. To achieve this, the system must remove a &gt;10</w:t>
            </w: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4</w:t>
            </w:r>
          </w:p>
          <w:p w14:paraId="160698F4" w14:textId="77777777" w:rsidR="00B4265B" w:rsidRPr="00B4265B" w:rsidRDefault="00B4265B" w:rsidP="00B4265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population from the surface of the reusable sharps container and show no recovery of the</w:t>
            </w:r>
          </w:p>
          <w:p w14:paraId="0FDEE1D0" w14:textId="77777777" w:rsidR="004913BD" w:rsidRPr="00B4265B" w:rsidRDefault="00B4265B" w:rsidP="00B4265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target species</w:t>
            </w:r>
          </w:p>
          <w:p w14:paraId="60648416" w14:textId="078B37E6" w:rsidR="00B4265B" w:rsidRPr="00B4265B" w:rsidRDefault="00B4265B" w:rsidP="00B4265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265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For the results of this testing please document IMSL IMSL2024/05/001.1A</w:t>
            </w:r>
          </w:p>
          <w:p w14:paraId="331CAD5A" w14:textId="16267A9F" w:rsidR="00B4265B" w:rsidRPr="00385449" w:rsidRDefault="00B4265B" w:rsidP="00B426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03155A62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3C6B8FAD" w14:textId="0B907E35" w:rsidR="00385449" w:rsidRPr="00385449" w:rsidRDefault="00E078FD" w:rsidP="00E078FD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E078F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 xml:space="preserve">6.3 Validation tests for treating infectious wastes </w:t>
            </w:r>
          </w:p>
        </w:tc>
        <w:tc>
          <w:tcPr>
            <w:tcW w:w="1489" w:type="dxa"/>
            <w:noWrap/>
            <w:hideMark/>
          </w:tcPr>
          <w:p w14:paraId="0573AD41" w14:textId="0ACA649A" w:rsidR="00385449" w:rsidRPr="00C41FF7" w:rsidRDefault="00545F2D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41CA3C14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1FFB79DF" w14:textId="77777777" w:rsidR="00545F2D" w:rsidRPr="00545F2D" w:rsidRDefault="00545F2D" w:rsidP="00545F2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This assessment is designed to demonstrate that the engineering and process controls</w:t>
            </w:r>
          </w:p>
          <w:p w14:paraId="0D7F1CB6" w14:textId="77777777" w:rsidR="00545F2D" w:rsidRPr="00545F2D" w:rsidRDefault="00545F2D" w:rsidP="00545F2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associated with the Sharpak NOLOSS Wash System is capable of decontaminating reusable</w:t>
            </w:r>
          </w:p>
          <w:p w14:paraId="607D1B2D" w14:textId="77777777" w:rsidR="00545F2D" w:rsidRPr="00545F2D" w:rsidRDefault="00545F2D" w:rsidP="00545F2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sharps containers of different sizes (as supplied by Sharpak Healthcare).</w:t>
            </w:r>
          </w:p>
          <w:p w14:paraId="3A887BDE" w14:textId="77777777" w:rsidR="00545F2D" w:rsidRPr="00545F2D" w:rsidRDefault="00545F2D" w:rsidP="00545F2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 requirement described in ISO 23907-</w:t>
            </w:r>
            <w:proofErr w:type="gramStart"/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 ;</w:t>
            </w:r>
            <w:proofErr w:type="gramEnd"/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2019 is that reusable sharps containers are</w:t>
            </w:r>
          </w:p>
          <w:p w14:paraId="2104CA6B" w14:textId="77777777" w:rsidR="00545F2D" w:rsidRPr="00545F2D" w:rsidRDefault="00545F2D" w:rsidP="00545F2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rendered safe for subsequent handling and reuse using either physical, chemical or thermal</w:t>
            </w:r>
          </w:p>
          <w:p w14:paraId="4FD62B62" w14:textId="77777777" w:rsidR="00545F2D" w:rsidRPr="00545F2D" w:rsidRDefault="00545F2D" w:rsidP="00545F2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means either singularly or in combination. To achieve this, the system must remove a &gt;10</w:t>
            </w:r>
            <w:r w:rsidRPr="00F32DE9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4</w:t>
            </w:r>
          </w:p>
          <w:p w14:paraId="664B3780" w14:textId="77777777" w:rsidR="00545F2D" w:rsidRPr="00545F2D" w:rsidRDefault="00545F2D" w:rsidP="00545F2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population from the surface of the reusable sharps container and show no recovery of the</w:t>
            </w:r>
          </w:p>
          <w:p w14:paraId="6E9D0EBA" w14:textId="77777777" w:rsidR="00545F2D" w:rsidRPr="00545F2D" w:rsidRDefault="00545F2D" w:rsidP="00545F2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target species</w:t>
            </w:r>
          </w:p>
          <w:p w14:paraId="066F9E37" w14:textId="1A4ADE9F" w:rsidR="00385449" w:rsidRPr="00385449" w:rsidRDefault="00545F2D" w:rsidP="00545F2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5F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For the results of this testing please document IMSL IMSL2024/05/001.1A</w:t>
            </w:r>
          </w:p>
        </w:tc>
      </w:tr>
      <w:tr w:rsidR="00385449" w:rsidRPr="00385449" w14:paraId="50E3061B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65391021" w14:textId="1DC67244" w:rsidR="00385449" w:rsidRPr="00385449" w:rsidRDefault="00E078FD" w:rsidP="00E078FD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E078F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6.4 Routine plant efficacy testing </w:t>
            </w:r>
          </w:p>
        </w:tc>
        <w:tc>
          <w:tcPr>
            <w:tcW w:w="1489" w:type="dxa"/>
            <w:noWrap/>
            <w:hideMark/>
          </w:tcPr>
          <w:p w14:paraId="592CBA79" w14:textId="2E890280" w:rsidR="00385449" w:rsidRPr="00C41FF7" w:rsidRDefault="00545F2D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23FAA7CC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3AD10332" w14:textId="5E6FFDB6" w:rsidR="0049418C" w:rsidRDefault="00545F2D" w:rsidP="0049418C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9418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 are planning to test the Emission from the abatement plant serving the No Loss</w:t>
            </w:r>
            <w:r w:rsidRPr="004941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633DA2" w:rsidRPr="0049418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installation </w:t>
            </w:r>
            <w:r w:rsidR="00633DA2" w:rsidRPr="0049418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(</w:t>
            </w:r>
            <w:r w:rsidRPr="0049418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HEPA filter) every </w:t>
            </w:r>
            <w:r w:rsidR="007619BE" w:rsidRPr="0049418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 months in line with BS EN12619</w:t>
            </w:r>
            <w:r w:rsidR="007619BE" w:rsidRPr="004941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3FA881CD" w14:textId="25EE5130" w:rsidR="00385449" w:rsidRPr="00024BE4" w:rsidRDefault="0049418C" w:rsidP="0049418C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4B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Medisort is open to Conversation with the EA to see what testing regime best suited to for ongoing efficacy testing as it’s not clear with Appropriate Measures </w:t>
            </w:r>
            <w:r w:rsidR="00024BE4" w:rsidRPr="00024B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what this testing would be for this style of </w:t>
            </w:r>
            <w:r w:rsidR="00024B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r w:rsidR="00024BE4" w:rsidRPr="00024B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nstallation. </w:t>
            </w:r>
            <w:r w:rsidR="00545F2D" w:rsidRPr="00024B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  </w:t>
            </w:r>
          </w:p>
          <w:p w14:paraId="14315595" w14:textId="77777777" w:rsidR="007619BE" w:rsidRPr="00024BE4" w:rsidRDefault="007619BE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2040FE7" w14:textId="65085C82" w:rsidR="007619BE" w:rsidRPr="00385449" w:rsidRDefault="007619BE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6F7F2774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306E16F2" w14:textId="45A641CF" w:rsidR="00385449" w:rsidRPr="00385449" w:rsidRDefault="00F41C09" w:rsidP="00F41C09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F41C0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 xml:space="preserve">7.0 Emissions control appropriate measures </w:t>
            </w:r>
          </w:p>
        </w:tc>
        <w:tc>
          <w:tcPr>
            <w:tcW w:w="1489" w:type="dxa"/>
            <w:noWrap/>
            <w:hideMark/>
          </w:tcPr>
          <w:p w14:paraId="0A73134A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" w:type="dxa"/>
            <w:noWrap/>
            <w:hideMark/>
          </w:tcPr>
          <w:p w14:paraId="7BB7BB65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529D16C3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58D38BD0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7C198D90" w14:textId="6EE5D034" w:rsidR="00385449" w:rsidRPr="00385449" w:rsidRDefault="00F41C09" w:rsidP="00F41C09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700F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7.1 Point source emissions to air </w:t>
            </w:r>
          </w:p>
        </w:tc>
        <w:tc>
          <w:tcPr>
            <w:tcW w:w="1489" w:type="dxa"/>
            <w:noWrap/>
            <w:hideMark/>
          </w:tcPr>
          <w:p w14:paraId="7B58DA66" w14:textId="7FC9EE85" w:rsidR="00385449" w:rsidRPr="00C41FF7" w:rsidRDefault="00F41C09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1ABF7C75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6FBB858C" w14:textId="6DC4CBD9" w:rsidR="00F41C09" w:rsidRPr="00B700FC" w:rsidRDefault="00F41C09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700F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 No Loss installation has 2-point source of emissions to air.</w:t>
            </w:r>
          </w:p>
          <w:p w14:paraId="43474C7B" w14:textId="77777777" w:rsidR="00385449" w:rsidRPr="00B700FC" w:rsidRDefault="00F41C09" w:rsidP="00F41C09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700F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From the “Sharps Box Opening Area”</w:t>
            </w:r>
            <w:r w:rsidRPr="00B700FC">
              <w:rPr>
                <w:rFonts w:ascii="Calibri" w:hAnsi="Calibri" w:cs="Calibri"/>
              </w:rPr>
              <w:t xml:space="preserve"> </w:t>
            </w:r>
            <w:r w:rsidRPr="00B700F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Emission to air from the “Sharps Box Opening Area</w:t>
            </w:r>
            <w:proofErr w:type="gramStart"/>
            <w:r w:rsidRPr="00B700F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”,,</w:t>
            </w:r>
            <w:proofErr w:type="gramEnd"/>
            <w:r w:rsidRPr="00B700F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which operates under negative pressure, is extracted to the atmosphere with in the existing building via an HEPA filter.</w:t>
            </w:r>
          </w:p>
          <w:p w14:paraId="3F1662A8" w14:textId="526AFD52" w:rsidR="00F41C09" w:rsidRPr="00B700FC" w:rsidRDefault="00B700FC" w:rsidP="00F41C09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700F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Steam extractor to help with the drying process from the washing process is extracted to atmosphere within the existing building and is not filtered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due to being post cleaning process.</w:t>
            </w:r>
          </w:p>
        </w:tc>
      </w:tr>
      <w:tr w:rsidR="00385449" w:rsidRPr="00385449" w14:paraId="01BE36C0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46A7A106" w14:textId="3E7BE781" w:rsidR="00385449" w:rsidRPr="00385449" w:rsidRDefault="00B700FC" w:rsidP="00B700FC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700F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7.2 Fugitive emissions to air </w:t>
            </w:r>
          </w:p>
        </w:tc>
        <w:tc>
          <w:tcPr>
            <w:tcW w:w="1489" w:type="dxa"/>
            <w:noWrap/>
            <w:hideMark/>
          </w:tcPr>
          <w:p w14:paraId="27D943B0" w14:textId="1E467E7F" w:rsidR="00385449" w:rsidRPr="00C41FF7" w:rsidRDefault="00B700FC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247" w:type="dxa"/>
            <w:noWrap/>
            <w:hideMark/>
          </w:tcPr>
          <w:p w14:paraId="55068EFA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77A7F711" w14:textId="67B3EDCA" w:rsidR="00385449" w:rsidRPr="00385449" w:rsidRDefault="00B700FC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This is not applicable to the No Loss installation.</w:t>
            </w:r>
          </w:p>
        </w:tc>
      </w:tr>
      <w:tr w:rsidR="00385449" w:rsidRPr="00385449" w14:paraId="46877E6B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794702B1" w14:textId="2CA2A775" w:rsidR="00385449" w:rsidRPr="00385449" w:rsidRDefault="00B700FC" w:rsidP="00B700FC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700F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7.3 Emissions of noise and vibration </w:t>
            </w:r>
          </w:p>
        </w:tc>
        <w:tc>
          <w:tcPr>
            <w:tcW w:w="1489" w:type="dxa"/>
            <w:noWrap/>
            <w:hideMark/>
          </w:tcPr>
          <w:p w14:paraId="343F412E" w14:textId="00D06400" w:rsidR="00385449" w:rsidRPr="00C41FF7" w:rsidRDefault="00B700FC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  <w:hideMark/>
          </w:tcPr>
          <w:p w14:paraId="79B45C72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76910CB1" w14:textId="77777777" w:rsidR="00385449" w:rsidRPr="00D46E68" w:rsidRDefault="00D46E68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6E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Overall,</w:t>
            </w:r>
            <w:r w:rsidR="00B700FC" w:rsidRPr="00D46E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the site has a </w:t>
            </w:r>
            <w:r w:rsidRPr="00D46E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Noise management procedure in place, we do not foresee the No Loss installation</w:t>
            </w:r>
            <w:r w:rsidR="00B700FC" w:rsidRPr="00D46E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46E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contributing to additional noise or vibration at the site. due to its inherent design.</w:t>
            </w:r>
          </w:p>
          <w:p w14:paraId="7486F274" w14:textId="77777777" w:rsidR="00D46E68" w:rsidRPr="00D46E68" w:rsidRDefault="00D46E68" w:rsidP="00D46E68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6E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E007.12.1 Noise management procedure LH</w:t>
            </w:r>
          </w:p>
          <w:p w14:paraId="174B8058" w14:textId="67CC8820" w:rsidR="00D46E68" w:rsidRPr="00D46E68" w:rsidRDefault="00D46E68" w:rsidP="00D46E68">
            <w:pPr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6F04D3EF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5709AF87" w14:textId="4033A356" w:rsidR="00385449" w:rsidRPr="00385449" w:rsidRDefault="00D46E68" w:rsidP="00D46E6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B1FE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 xml:space="preserve">7.4 Point source emissions to water and sewer </w:t>
            </w:r>
          </w:p>
        </w:tc>
        <w:tc>
          <w:tcPr>
            <w:tcW w:w="1489" w:type="dxa"/>
            <w:noWrap/>
            <w:hideMark/>
          </w:tcPr>
          <w:p w14:paraId="299FB406" w14:textId="5334B2E0" w:rsidR="00385449" w:rsidRPr="00385449" w:rsidRDefault="00D46E68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6E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247" w:type="dxa"/>
            <w:noWrap/>
            <w:hideMark/>
          </w:tcPr>
          <w:p w14:paraId="6ECA05D2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574E399B" w14:textId="44266A1E" w:rsidR="00385449" w:rsidRPr="00385449" w:rsidRDefault="00D46E68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6E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There will be no emissions to water or sewer due to the wash water being containerised and being disposed of offsite.</w:t>
            </w:r>
          </w:p>
        </w:tc>
      </w:tr>
      <w:tr w:rsidR="00385449" w:rsidRPr="00385449" w14:paraId="4674581E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274375DB" w14:textId="00715AB8" w:rsidR="00385449" w:rsidRPr="00385449" w:rsidRDefault="00D46E68" w:rsidP="00D46E6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B1FE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7.5 Fugitive emissions to land and water </w:t>
            </w:r>
          </w:p>
        </w:tc>
        <w:tc>
          <w:tcPr>
            <w:tcW w:w="1489" w:type="dxa"/>
            <w:noWrap/>
            <w:hideMark/>
          </w:tcPr>
          <w:p w14:paraId="620D1A1D" w14:textId="5598F4E4" w:rsidR="00385449" w:rsidRPr="00385449" w:rsidRDefault="00D46E68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6E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247" w:type="dxa"/>
            <w:noWrap/>
            <w:hideMark/>
          </w:tcPr>
          <w:p w14:paraId="2BAFB649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0EF0C9A4" w14:textId="51245DF8" w:rsidR="00385449" w:rsidRPr="00385449" w:rsidRDefault="00D46E68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B1FE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Overall, the site has controls in place to manage</w:t>
            </w:r>
            <w:r w:rsidR="004B1FE6" w:rsidRPr="004B1FE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such things like litter and appropriate drainage</w:t>
            </w:r>
            <w:r w:rsidRPr="004B1FE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we do not foresee the No Loss installation contributing to</w:t>
            </w:r>
            <w:r w:rsidR="004B1FE6" w:rsidRPr="004B1FE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any fugitive emissions to land or water inherent</w:t>
            </w:r>
            <w:r w:rsidRPr="004B1FE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design.</w:t>
            </w:r>
          </w:p>
        </w:tc>
      </w:tr>
      <w:tr w:rsidR="00385449" w:rsidRPr="00385449" w14:paraId="23418DD6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786551EF" w14:textId="7E6ACB06" w:rsidR="00385449" w:rsidRPr="00385449" w:rsidRDefault="004B1FE6" w:rsidP="004B1FE6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B1FE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8.0 Emissions monitoring and limits appropriate measures </w:t>
            </w:r>
          </w:p>
        </w:tc>
        <w:tc>
          <w:tcPr>
            <w:tcW w:w="1489" w:type="dxa"/>
            <w:noWrap/>
            <w:hideMark/>
          </w:tcPr>
          <w:p w14:paraId="62053243" w14:textId="77777777" w:rsidR="00385449" w:rsidRPr="00385449" w:rsidRDefault="00385449" w:rsidP="00C41FF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" w:type="dxa"/>
            <w:noWrap/>
            <w:hideMark/>
          </w:tcPr>
          <w:p w14:paraId="7C6618AA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73CD3A46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85449" w:rsidRPr="00385449" w14:paraId="25AF7799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24EB0EB4" w14:textId="3B89C24D" w:rsidR="00385449" w:rsidRPr="00385449" w:rsidRDefault="004B1FE6" w:rsidP="004B1FE6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A71C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8.1 Emissions to air </w:t>
            </w:r>
          </w:p>
        </w:tc>
        <w:tc>
          <w:tcPr>
            <w:tcW w:w="1489" w:type="dxa"/>
            <w:noWrap/>
            <w:hideMark/>
          </w:tcPr>
          <w:p w14:paraId="689FDF90" w14:textId="67F7C510" w:rsidR="00385449" w:rsidRPr="00385449" w:rsidRDefault="001A71C5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247" w:type="dxa"/>
            <w:noWrap/>
            <w:hideMark/>
          </w:tcPr>
          <w:p w14:paraId="58507ECA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30876F63" w14:textId="77777777" w:rsidR="001A71C5" w:rsidRPr="001A71C5" w:rsidRDefault="001A71C5" w:rsidP="001A71C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1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 No Loss installation has 2-point source of emissions to air.</w:t>
            </w:r>
          </w:p>
          <w:p w14:paraId="56C8E774" w14:textId="45253FAA" w:rsidR="001A71C5" w:rsidRPr="001A71C5" w:rsidRDefault="001A71C5" w:rsidP="001A71C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1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  <w:r w:rsidRPr="001A71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ab/>
              <w:t>From the “Sharps Box Opening Area” Emission to air from the “Sharps Box Opening Area</w:t>
            </w:r>
            <w:r w:rsidR="00633DA2" w:rsidRPr="001A71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”,</w:t>
            </w:r>
            <w:r w:rsidRPr="001A71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which operates under negative pressure, is extracted to the atmosphere </w:t>
            </w:r>
            <w:proofErr w:type="gramStart"/>
            <w:r w:rsidRPr="001A71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with in</w:t>
            </w:r>
            <w:proofErr w:type="gramEnd"/>
            <w:r w:rsidRPr="001A71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the existing building via an HEPA filter.</w:t>
            </w:r>
          </w:p>
          <w:p w14:paraId="246E5A59" w14:textId="77777777" w:rsidR="00385449" w:rsidRDefault="001A71C5" w:rsidP="001A71C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1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•</w:t>
            </w:r>
            <w:r w:rsidRPr="001A71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ab/>
              <w:t>Steam extractor to help with the drying process from the washing process is extracted to atmosphere within the existing building and is not filtered due to being post cleaning process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0C132E99" w14:textId="77777777" w:rsidR="001A71C5" w:rsidRDefault="001A71C5" w:rsidP="001A71C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31CDF4E" w14:textId="52C1CDB2" w:rsidR="001A71C5" w:rsidRPr="00385449" w:rsidRDefault="001A71C5" w:rsidP="001A71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emissions points are not metered as there exit into the existing building/facility.    </w:t>
            </w:r>
          </w:p>
        </w:tc>
      </w:tr>
      <w:tr w:rsidR="00385449" w:rsidRPr="00385449" w14:paraId="1B196EB0" w14:textId="77777777" w:rsidTr="00F32DE9">
        <w:trPr>
          <w:trHeight w:val="300"/>
        </w:trPr>
        <w:tc>
          <w:tcPr>
            <w:tcW w:w="7694" w:type="dxa"/>
            <w:noWrap/>
            <w:hideMark/>
          </w:tcPr>
          <w:p w14:paraId="578BEE44" w14:textId="18A71685" w:rsidR="00385449" w:rsidRPr="00C41FF7" w:rsidRDefault="001A71C5" w:rsidP="00C41FF7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8.</w:t>
            </w:r>
            <w:r w:rsidR="00C41FF7" w:rsidRPr="00C41FF7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2 Emissions to water or sewer </w:t>
            </w:r>
          </w:p>
        </w:tc>
        <w:tc>
          <w:tcPr>
            <w:tcW w:w="1489" w:type="dxa"/>
            <w:noWrap/>
            <w:hideMark/>
          </w:tcPr>
          <w:p w14:paraId="2E407DB2" w14:textId="6BE123FB" w:rsidR="00385449" w:rsidRPr="00C41FF7" w:rsidRDefault="00C41FF7" w:rsidP="00C41FF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247" w:type="dxa"/>
            <w:noWrap/>
            <w:hideMark/>
          </w:tcPr>
          <w:p w14:paraId="7B22EB14" w14:textId="77777777" w:rsidR="00385449" w:rsidRPr="00385449" w:rsidRDefault="00385449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  <w:hideMark/>
          </w:tcPr>
          <w:p w14:paraId="05A1612B" w14:textId="05825EC5" w:rsidR="00385449" w:rsidRPr="00C41FF7" w:rsidRDefault="00C41FF7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1F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There will be no emissions to water or sewer due to the wash water being containerised and being disposed of offsite</w:t>
            </w:r>
          </w:p>
        </w:tc>
      </w:tr>
      <w:tr w:rsidR="00A83E98" w:rsidRPr="00385449" w14:paraId="01B236E4" w14:textId="77777777" w:rsidTr="00F32DE9">
        <w:trPr>
          <w:trHeight w:val="300"/>
        </w:trPr>
        <w:tc>
          <w:tcPr>
            <w:tcW w:w="7694" w:type="dxa"/>
            <w:noWrap/>
          </w:tcPr>
          <w:p w14:paraId="33C1D386" w14:textId="74272523" w:rsidR="00A83E98" w:rsidRPr="00A83E98" w:rsidRDefault="00A83E98" w:rsidP="00A83E9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A83E9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 Process efficiency appropriate measures</w:t>
            </w:r>
          </w:p>
        </w:tc>
        <w:tc>
          <w:tcPr>
            <w:tcW w:w="1489" w:type="dxa"/>
            <w:noWrap/>
          </w:tcPr>
          <w:p w14:paraId="2DDC9273" w14:textId="77777777" w:rsidR="00A83E98" w:rsidRPr="00385449" w:rsidRDefault="00A83E98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" w:type="dxa"/>
            <w:noWrap/>
          </w:tcPr>
          <w:p w14:paraId="01EB064B" w14:textId="77777777" w:rsidR="00A83E98" w:rsidRPr="00385449" w:rsidRDefault="00A83E98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</w:tcPr>
          <w:p w14:paraId="305D2DC9" w14:textId="77777777" w:rsidR="00A83E98" w:rsidRPr="00385449" w:rsidRDefault="00A83E98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83E98" w:rsidRPr="00385449" w14:paraId="34EC34D7" w14:textId="77777777" w:rsidTr="00F32DE9">
        <w:trPr>
          <w:trHeight w:val="300"/>
        </w:trPr>
        <w:tc>
          <w:tcPr>
            <w:tcW w:w="7694" w:type="dxa"/>
            <w:noWrap/>
          </w:tcPr>
          <w:p w14:paraId="39EA21DC" w14:textId="4347E8E9" w:rsidR="00A83E98" w:rsidRPr="00A83E98" w:rsidRDefault="00A83E98" w:rsidP="00A83E9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A83E9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9.1Energy efficiency </w:t>
            </w:r>
          </w:p>
        </w:tc>
        <w:tc>
          <w:tcPr>
            <w:tcW w:w="1489" w:type="dxa"/>
            <w:noWrap/>
          </w:tcPr>
          <w:p w14:paraId="6621B9DB" w14:textId="447CD520" w:rsidR="00A83E98" w:rsidRPr="00BC1178" w:rsidRDefault="00BC1178" w:rsidP="00BC117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</w:tcPr>
          <w:p w14:paraId="36E3E498" w14:textId="77777777" w:rsidR="00A83E98" w:rsidRPr="00385449" w:rsidRDefault="00A83E98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</w:tcPr>
          <w:p w14:paraId="5FC5737C" w14:textId="1A78CE1D" w:rsidR="00A83E98" w:rsidRPr="00BC1178" w:rsidRDefault="00BC1178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This will be Integrated into our current permit requirements along with reporting requirements.</w:t>
            </w:r>
          </w:p>
        </w:tc>
      </w:tr>
      <w:tr w:rsidR="00A83E98" w:rsidRPr="00385449" w14:paraId="156F3DDD" w14:textId="77777777" w:rsidTr="00F32DE9">
        <w:trPr>
          <w:trHeight w:val="300"/>
        </w:trPr>
        <w:tc>
          <w:tcPr>
            <w:tcW w:w="7694" w:type="dxa"/>
            <w:noWrap/>
          </w:tcPr>
          <w:p w14:paraId="214EE378" w14:textId="2ADFA51A" w:rsidR="00A83E98" w:rsidRPr="00A83E98" w:rsidRDefault="00A83E98" w:rsidP="00A83E9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A83E9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9.2 Raw materials </w:t>
            </w:r>
          </w:p>
        </w:tc>
        <w:tc>
          <w:tcPr>
            <w:tcW w:w="1489" w:type="dxa"/>
            <w:noWrap/>
          </w:tcPr>
          <w:p w14:paraId="6A793940" w14:textId="4305CD9A" w:rsidR="00A83E98" w:rsidRPr="00BC1178" w:rsidRDefault="00BC1178" w:rsidP="00BC117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</w:tcPr>
          <w:p w14:paraId="4796311A" w14:textId="77777777" w:rsidR="00A83E98" w:rsidRPr="00385449" w:rsidRDefault="00A83E98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</w:tcPr>
          <w:p w14:paraId="67E69F04" w14:textId="7AA6425F" w:rsidR="00A83E98" w:rsidRPr="00BC1178" w:rsidRDefault="00BC1178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This will be Integrated into our current permit </w:t>
            </w:r>
            <w:r w:rsidR="00633DA2"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requirements;</w:t>
            </w: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633DA2"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</w:t>
            </w: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will be looking at minimising water usage.</w:t>
            </w:r>
          </w:p>
        </w:tc>
      </w:tr>
      <w:tr w:rsidR="00A83E98" w:rsidRPr="00385449" w14:paraId="262E7B1B" w14:textId="77777777" w:rsidTr="00F32DE9">
        <w:trPr>
          <w:trHeight w:val="300"/>
        </w:trPr>
        <w:tc>
          <w:tcPr>
            <w:tcW w:w="7694" w:type="dxa"/>
            <w:noWrap/>
          </w:tcPr>
          <w:p w14:paraId="3E42284D" w14:textId="1EE4CA61" w:rsidR="00A83E98" w:rsidRPr="00A83E98" w:rsidRDefault="00A83E98" w:rsidP="00A83E9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A83E9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>9.3 Water Use</w:t>
            </w:r>
          </w:p>
        </w:tc>
        <w:tc>
          <w:tcPr>
            <w:tcW w:w="1489" w:type="dxa"/>
            <w:noWrap/>
          </w:tcPr>
          <w:p w14:paraId="0B10E78B" w14:textId="752DB5F8" w:rsidR="00A83E98" w:rsidRPr="00BC1178" w:rsidRDefault="00BC1178" w:rsidP="00BC117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</w:tcPr>
          <w:p w14:paraId="228F839C" w14:textId="77777777" w:rsidR="00A83E98" w:rsidRPr="00385449" w:rsidRDefault="00A83E98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</w:tcPr>
          <w:p w14:paraId="76B8AF6A" w14:textId="70DBD781" w:rsidR="00A83E98" w:rsidRPr="00BC1178" w:rsidRDefault="00BC1178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This will be Integrated into our current permit </w:t>
            </w:r>
            <w:r w:rsidR="00633DA2"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requirements;</w:t>
            </w: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633DA2"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</w:t>
            </w: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will be looking at minimising water usage.</w:t>
            </w:r>
          </w:p>
        </w:tc>
      </w:tr>
      <w:tr w:rsidR="00BC1178" w:rsidRPr="00385449" w14:paraId="423663BE" w14:textId="77777777" w:rsidTr="00F32DE9">
        <w:trPr>
          <w:trHeight w:val="300"/>
        </w:trPr>
        <w:tc>
          <w:tcPr>
            <w:tcW w:w="7694" w:type="dxa"/>
            <w:noWrap/>
          </w:tcPr>
          <w:p w14:paraId="15FB6362" w14:textId="2A5EB3DA" w:rsidR="00BC1178" w:rsidRPr="00A83E98" w:rsidRDefault="00BC1178" w:rsidP="00A83E98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C117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9.4 Waste minimisation, recovery and disposal  </w:t>
            </w:r>
          </w:p>
        </w:tc>
        <w:tc>
          <w:tcPr>
            <w:tcW w:w="1489" w:type="dxa"/>
            <w:noWrap/>
          </w:tcPr>
          <w:p w14:paraId="682073DA" w14:textId="68985BB8" w:rsidR="00BC1178" w:rsidRPr="00BC1178" w:rsidRDefault="00BC1178" w:rsidP="00BC117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247" w:type="dxa"/>
            <w:noWrap/>
          </w:tcPr>
          <w:p w14:paraId="40095673" w14:textId="77777777" w:rsidR="00BC1178" w:rsidRPr="00385449" w:rsidRDefault="00BC1178" w:rsidP="003854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36" w:type="dxa"/>
            <w:noWrap/>
          </w:tcPr>
          <w:p w14:paraId="414654F7" w14:textId="59506C22" w:rsidR="00BC1178" w:rsidRPr="00BC1178" w:rsidRDefault="00BC1178" w:rsidP="0038544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This will be Integrated into our current permit requirements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along with reporting requirements.</w:t>
            </w:r>
            <w:r w:rsidRPr="00BC117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</w:tbl>
    <w:p w14:paraId="206BFDE2" w14:textId="77777777" w:rsidR="00755A12" w:rsidRDefault="00755A12"/>
    <w:sectPr w:rsidR="00755A12" w:rsidSect="00385449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7878B" w14:textId="77777777" w:rsidR="001A71C5" w:rsidRDefault="001A71C5" w:rsidP="001A71C5">
      <w:pPr>
        <w:spacing w:after="0" w:line="240" w:lineRule="auto"/>
      </w:pPr>
      <w:r>
        <w:separator/>
      </w:r>
    </w:p>
  </w:endnote>
  <w:endnote w:type="continuationSeparator" w:id="0">
    <w:p w14:paraId="5D652EF6" w14:textId="77777777" w:rsidR="001A71C5" w:rsidRDefault="001A71C5" w:rsidP="001A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92C13" w14:textId="5AFC5D03" w:rsidR="00633DA2" w:rsidRDefault="00633DA2">
    <w:pPr>
      <w:pStyle w:val="Footer"/>
    </w:pPr>
    <w:r w:rsidRPr="00633DA2">
      <w:t>No Loss assessment against Appropriate Measures for Healthcare Waste Guidance Healthcare waste.</w:t>
    </w:r>
    <w:r>
      <w:t xml:space="preserve"> 01/10/24</w:t>
    </w:r>
  </w:p>
  <w:p w14:paraId="58CE4556" w14:textId="77777777" w:rsidR="00633DA2" w:rsidRDefault="00633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DE39C" w14:textId="77777777" w:rsidR="001A71C5" w:rsidRDefault="001A71C5" w:rsidP="001A71C5">
      <w:pPr>
        <w:spacing w:after="0" w:line="240" w:lineRule="auto"/>
      </w:pPr>
      <w:r>
        <w:separator/>
      </w:r>
    </w:p>
  </w:footnote>
  <w:footnote w:type="continuationSeparator" w:id="0">
    <w:p w14:paraId="4667C922" w14:textId="77777777" w:rsidR="001A71C5" w:rsidRDefault="001A71C5" w:rsidP="001A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C516" w14:textId="27FF952D" w:rsidR="00CF0B5E" w:rsidRDefault="00CF0B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46462" wp14:editId="1B4750F1">
          <wp:simplePos x="0" y="0"/>
          <wp:positionH relativeFrom="margin">
            <wp:align>right</wp:align>
          </wp:positionH>
          <wp:positionV relativeFrom="paragraph">
            <wp:posOffset>-158233</wp:posOffset>
          </wp:positionV>
          <wp:extent cx="1638000" cy="525600"/>
          <wp:effectExtent l="0" t="0" r="635" b="8255"/>
          <wp:wrapNone/>
          <wp:docPr id="20654545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Medisort Ltd </w:t>
    </w:r>
  </w:p>
  <w:p w14:paraId="544C3987" w14:textId="77777777" w:rsidR="00CF0B5E" w:rsidRDefault="00CF0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E21"/>
    <w:multiLevelType w:val="hybridMultilevel"/>
    <w:tmpl w:val="03EA844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C65EF3"/>
    <w:multiLevelType w:val="hybridMultilevel"/>
    <w:tmpl w:val="BE4CFDD4"/>
    <w:lvl w:ilvl="0" w:tplc="19ECB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4F1"/>
    <w:multiLevelType w:val="hybridMultilevel"/>
    <w:tmpl w:val="3BDCBB12"/>
    <w:lvl w:ilvl="0" w:tplc="19ECB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24A3"/>
    <w:multiLevelType w:val="hybridMultilevel"/>
    <w:tmpl w:val="767A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89"/>
    <w:multiLevelType w:val="hybridMultilevel"/>
    <w:tmpl w:val="C5225264"/>
    <w:lvl w:ilvl="0" w:tplc="19ECB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1A68"/>
    <w:multiLevelType w:val="hybridMultilevel"/>
    <w:tmpl w:val="6C1246F0"/>
    <w:lvl w:ilvl="0" w:tplc="50343A4C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606C"/>
    <w:multiLevelType w:val="hybridMultilevel"/>
    <w:tmpl w:val="0FF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40056"/>
    <w:multiLevelType w:val="hybridMultilevel"/>
    <w:tmpl w:val="AAE6B5C2"/>
    <w:lvl w:ilvl="0" w:tplc="50343A4C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40C56"/>
    <w:multiLevelType w:val="hybridMultilevel"/>
    <w:tmpl w:val="E3E2D72C"/>
    <w:lvl w:ilvl="0" w:tplc="50343A4C">
      <w:start w:val="2"/>
      <w:numFmt w:val="bullet"/>
      <w:lvlText w:val="•"/>
      <w:lvlJc w:val="left"/>
      <w:pPr>
        <w:ind w:left="87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5D3F00B6"/>
    <w:multiLevelType w:val="hybridMultilevel"/>
    <w:tmpl w:val="47CCBDA4"/>
    <w:lvl w:ilvl="0" w:tplc="19ECB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2B51"/>
    <w:multiLevelType w:val="hybridMultilevel"/>
    <w:tmpl w:val="F2C407BE"/>
    <w:lvl w:ilvl="0" w:tplc="19ECB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E4BB3"/>
    <w:multiLevelType w:val="hybridMultilevel"/>
    <w:tmpl w:val="9E8CC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7543F"/>
    <w:multiLevelType w:val="hybridMultilevel"/>
    <w:tmpl w:val="70EA1E0C"/>
    <w:lvl w:ilvl="0" w:tplc="50343A4C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76572">
    <w:abstractNumId w:val="0"/>
  </w:num>
  <w:num w:numId="2" w16cid:durableId="1277982915">
    <w:abstractNumId w:val="4"/>
  </w:num>
  <w:num w:numId="3" w16cid:durableId="1724327527">
    <w:abstractNumId w:val="1"/>
  </w:num>
  <w:num w:numId="4" w16cid:durableId="446386154">
    <w:abstractNumId w:val="2"/>
  </w:num>
  <w:num w:numId="5" w16cid:durableId="1064450073">
    <w:abstractNumId w:val="10"/>
  </w:num>
  <w:num w:numId="6" w16cid:durableId="66343573">
    <w:abstractNumId w:val="9"/>
  </w:num>
  <w:num w:numId="7" w16cid:durableId="1817260076">
    <w:abstractNumId w:val="6"/>
  </w:num>
  <w:num w:numId="8" w16cid:durableId="864949883">
    <w:abstractNumId w:val="3"/>
  </w:num>
  <w:num w:numId="9" w16cid:durableId="1965189090">
    <w:abstractNumId w:val="7"/>
  </w:num>
  <w:num w:numId="10" w16cid:durableId="1292981569">
    <w:abstractNumId w:val="12"/>
  </w:num>
  <w:num w:numId="11" w16cid:durableId="338049189">
    <w:abstractNumId w:val="8"/>
  </w:num>
  <w:num w:numId="12" w16cid:durableId="2070570782">
    <w:abstractNumId w:val="5"/>
  </w:num>
  <w:num w:numId="13" w16cid:durableId="26950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N7W0sLCwNDW3NDRV0lEKTi0uzszPAykwrgUAiCktvSwAAAA="/>
  </w:docVars>
  <w:rsids>
    <w:rsidRoot w:val="00385449"/>
    <w:rsid w:val="00024BE4"/>
    <w:rsid w:val="00031B9F"/>
    <w:rsid w:val="00106522"/>
    <w:rsid w:val="00155E85"/>
    <w:rsid w:val="001763F1"/>
    <w:rsid w:val="001A71C5"/>
    <w:rsid w:val="00231731"/>
    <w:rsid w:val="002C39CC"/>
    <w:rsid w:val="002E7A1D"/>
    <w:rsid w:val="0030784A"/>
    <w:rsid w:val="00385449"/>
    <w:rsid w:val="003A370D"/>
    <w:rsid w:val="003D0D8D"/>
    <w:rsid w:val="00456AA8"/>
    <w:rsid w:val="00474A36"/>
    <w:rsid w:val="004913BD"/>
    <w:rsid w:val="0049418C"/>
    <w:rsid w:val="004B1FE6"/>
    <w:rsid w:val="00536F5C"/>
    <w:rsid w:val="00545F2D"/>
    <w:rsid w:val="005F3850"/>
    <w:rsid w:val="00633DA2"/>
    <w:rsid w:val="00642008"/>
    <w:rsid w:val="006B3132"/>
    <w:rsid w:val="0071107C"/>
    <w:rsid w:val="00712FB8"/>
    <w:rsid w:val="00755A12"/>
    <w:rsid w:val="007619BE"/>
    <w:rsid w:val="00761A8D"/>
    <w:rsid w:val="007C05F0"/>
    <w:rsid w:val="007D15F8"/>
    <w:rsid w:val="008C1E84"/>
    <w:rsid w:val="00906DBF"/>
    <w:rsid w:val="009C7A88"/>
    <w:rsid w:val="00A83E98"/>
    <w:rsid w:val="00AC44DD"/>
    <w:rsid w:val="00B4265B"/>
    <w:rsid w:val="00B4591A"/>
    <w:rsid w:val="00B46C59"/>
    <w:rsid w:val="00B700FC"/>
    <w:rsid w:val="00BC1178"/>
    <w:rsid w:val="00C05115"/>
    <w:rsid w:val="00C41FF7"/>
    <w:rsid w:val="00CF0B5E"/>
    <w:rsid w:val="00D46E68"/>
    <w:rsid w:val="00DA0E62"/>
    <w:rsid w:val="00E00E94"/>
    <w:rsid w:val="00E078FD"/>
    <w:rsid w:val="00F32DE9"/>
    <w:rsid w:val="00F41C09"/>
    <w:rsid w:val="00F6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7F7FE3"/>
  <w15:chartTrackingRefBased/>
  <w15:docId w15:val="{6D6E0FDB-15F1-44E5-B2E9-FF78833A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C5"/>
  </w:style>
  <w:style w:type="paragraph" w:styleId="Footer">
    <w:name w:val="footer"/>
    <w:basedOn w:val="Normal"/>
    <w:link w:val="FooterChar"/>
    <w:uiPriority w:val="99"/>
    <w:unhideWhenUsed/>
    <w:rsid w:val="001A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C5"/>
  </w:style>
  <w:style w:type="table" w:styleId="TableGrid">
    <w:name w:val="Table Grid"/>
    <w:basedOn w:val="TableNormal"/>
    <w:uiPriority w:val="39"/>
    <w:rsid w:val="00F3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4FDEBEC4799324BA4B5BF5C28145EF7" ma:contentTypeVersion="34" ma:contentTypeDescription="Create a new document." ma:contentTypeScope="" ma:versionID="05e682b47d36f217a572f582be403590">
  <xsd:schema xmlns:xsd="http://www.w3.org/2001/XMLSchema" xmlns:xs="http://www.w3.org/2001/XMLSchema" xmlns:p="http://schemas.microsoft.com/office/2006/metadata/properties" xmlns:ns2="662745e8-e224-48e8-a2e3-254862b8c2f5" xmlns:ns3="ab28936e-b7ff-4a1d-a36e-872681db6e65" xmlns:ns4="e76eb3f9-f7d4-4afe-8d75-1839375753c6" targetNamespace="http://schemas.microsoft.com/office/2006/metadata/properties" ma:root="true" ma:fieldsID="3dc9a212842149aace3999a7b1518455" ns2:_="" ns3:_="" ns4:_="">
    <xsd:import namespace="662745e8-e224-48e8-a2e3-254862b8c2f5"/>
    <xsd:import namespace="ab28936e-b7ff-4a1d-a36e-872681db6e65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Waste Industry WIP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936e-b7ff-4a1d-a36e-872681db6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dca676b0cd0d81ae47091225860961bd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89b86b9ac996dffcaa6206cc88b762e7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32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181</Value>
      <Value>12</Value>
      <Value>10</Value>
      <Value>9</Value>
      <Value>38</Value>
    </TaxCatchAll>
    <lcf76f155ced4ddcb4097134ff3c332f xmlns="13c3dd66-95f8-469c-aefa-160cfe61df31">
      <Terms xmlns="http://schemas.microsoft.com/office/infopath/2007/PartnerControls"/>
    </lcf76f155ced4ddcb4097134ff3c332f>
    <EAReceivedDate xmlns="eebef177-55b5-4448-a5fb-28ea454417ee">2024-10-03T23:00:00+00:00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epr-qp3536tw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EAWML 10147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Medisort Limited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2024-10-03T23:00:00+00:00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EPR/QP3536TW/V007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BN17 7QU</FacilityAddressPostcode>
    <ExternalAuthor xmlns="eebef177-55b5-4448-a5fb-28ea454417ee">Medisort</ExternalAuthor>
    <SiteName xmlns="eebef177-55b5-4448-a5fb-28ea454417ee">Medisort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Medisort Fort Road Littlehampton West Sussex BN17 7QU</FacilityAddress>
  </documentManagement>
</p:properties>
</file>

<file path=customXml/itemProps1.xml><?xml version="1.0" encoding="utf-8"?>
<ds:datastoreItem xmlns:ds="http://schemas.openxmlformats.org/officeDocument/2006/customXml" ds:itemID="{17345928-DB22-4475-8500-255FE95B5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3404F-F5DA-45DC-BB76-D079E4C6F692}"/>
</file>

<file path=customXml/itemProps3.xml><?xml version="1.0" encoding="utf-8"?>
<ds:datastoreItem xmlns:ds="http://schemas.openxmlformats.org/officeDocument/2006/customXml" ds:itemID="{55C05777-35DB-49AF-A2B8-39CF735779A2}"/>
</file>

<file path=customXml/itemProps4.xml><?xml version="1.0" encoding="utf-8"?>
<ds:datastoreItem xmlns:ds="http://schemas.openxmlformats.org/officeDocument/2006/customXml" ds:itemID="{85E9DDDB-6876-456E-AE25-976757105D84}"/>
</file>

<file path=customXml/itemProps5.xml><?xml version="1.0" encoding="utf-8"?>
<ds:datastoreItem xmlns:ds="http://schemas.openxmlformats.org/officeDocument/2006/customXml" ds:itemID="{2FEB48FC-00D5-4C95-9FAE-EF78D3555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6554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Scott</dc:creator>
  <cp:keywords/>
  <dc:description/>
  <cp:lastModifiedBy>Pearson, Charlotte</cp:lastModifiedBy>
  <cp:revision>2</cp:revision>
  <dcterms:created xsi:type="dcterms:W3CDTF">2024-10-10T09:06:00Z</dcterms:created>
  <dcterms:modified xsi:type="dcterms:W3CDTF">2024-10-10T09:06:00Z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