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DE" w:rsidRDefault="004E11DE" w:rsidP="004E11DE">
      <w:r>
        <w:t>Annex A</w:t>
      </w:r>
    </w:p>
    <w:p w:rsidR="004E11DE" w:rsidRDefault="004E11DE" w:rsidP="004E11DE"/>
    <w:p w:rsidR="004E11DE" w:rsidRDefault="004E11DE" w:rsidP="004E11DE">
      <w:r>
        <w:t>Drawings</w:t>
      </w:r>
    </w:p>
    <w:p w:rsidR="004E11DE" w:rsidRDefault="004E11DE" w:rsidP="004E11DE"/>
    <w:p w:rsidR="004E11DE" w:rsidRDefault="004E11DE" w:rsidP="004E11DE">
      <w:r>
        <w:t xml:space="preserve">The setting of the site in the wider environment is shown on drawing CRE A1 and a more detailed site layout on drawing CRE </w:t>
      </w:r>
      <w:proofErr w:type="spellStart"/>
      <w:r>
        <w:t>A2</w:t>
      </w:r>
      <w:proofErr w:type="spellEnd"/>
      <w:r>
        <w:t>.</w:t>
      </w:r>
    </w:p>
    <w:p w:rsidR="004E11DE" w:rsidRDefault="004E11DE" w:rsidP="004E11DE"/>
    <w:p w:rsidR="004E11DE" w:rsidRDefault="004E11DE" w:rsidP="004E11DE">
      <w:r>
        <w:t>As this is a Word document the inclusion of these drawings as Word Document would limit their usefulness and therefore they have been kept as pdf’s and are attached to the e-mail delivering this Annex</w:t>
      </w:r>
    </w:p>
    <w:p w:rsidR="004E11DE" w:rsidRDefault="004E11DE" w:rsidP="004E11DE"/>
    <w:p w:rsidR="00805F74" w:rsidRDefault="005B2614">
      <w:bookmarkStart w:id="0" w:name="_GoBack"/>
      <w:bookmarkEnd w:id="0"/>
    </w:p>
    <w:sectPr w:rsidR="00805F7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14" w:rsidRDefault="005B2614" w:rsidP="004E11DE">
      <w:r>
        <w:separator/>
      </w:r>
    </w:p>
  </w:endnote>
  <w:endnote w:type="continuationSeparator" w:id="0">
    <w:p w:rsidR="005B2614" w:rsidRDefault="005B2614" w:rsidP="004E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DE" w:rsidRPr="004E11DE" w:rsidRDefault="004E11DE" w:rsidP="004E11DE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538135" w:themeColor="accent6" w:themeShade="BF"/>
        <w14:ligatures w14:val="none"/>
      </w:rPr>
    </w:pPr>
    <w:r w:rsidRPr="004E11DE">
      <w:rPr>
        <w:rFonts w:asciiTheme="minorHAnsi" w:eastAsiaTheme="minorHAnsi" w:hAnsiTheme="minorHAnsi" w:cstheme="minorBidi"/>
        <w:color w:val="538135" w:themeColor="accent6" w:themeShade="BF"/>
        <w:sz w:val="20"/>
        <w:szCs w:val="20"/>
        <w14:ligatures w14:val="none"/>
      </w:rPr>
      <w:t>July 2023</w:t>
    </w:r>
    <w:r w:rsidRPr="004E11DE">
      <w:rPr>
        <w:rFonts w:asciiTheme="minorHAnsi" w:eastAsiaTheme="minorHAnsi" w:hAnsiTheme="minorHAnsi" w:cstheme="minorBidi"/>
        <w:color w:val="538135" w:themeColor="accent6" w:themeShade="BF"/>
        <w14:ligatures w14:val="none"/>
      </w:rPr>
      <w:t xml:space="preserve"> </w:t>
    </w:r>
    <w:r w:rsidRPr="004E11DE">
      <w:rPr>
        <w:rFonts w:asciiTheme="minorHAnsi" w:eastAsiaTheme="minorHAnsi" w:hAnsiTheme="minorHAnsi" w:cstheme="minorBidi"/>
        <w:color w:val="538135" w:themeColor="accent6" w:themeShade="BF"/>
        <w14:ligatures w14:val="none"/>
      </w:rPr>
      <w:tab/>
    </w:r>
    <w:r w:rsidRPr="004E11DE">
      <w:rPr>
        <w:rFonts w:asciiTheme="minorHAnsi" w:eastAsiaTheme="minorHAnsi" w:hAnsiTheme="minorHAnsi" w:cstheme="minorBidi"/>
        <w:color w:val="538135" w:themeColor="accent6" w:themeShade="BF"/>
        <w14:ligatures w14:val="none"/>
      </w:rPr>
      <w:tab/>
    </w:r>
    <w:r w:rsidRPr="004E11DE">
      <w:rPr>
        <w:rFonts w:asciiTheme="minorHAnsi" w:eastAsiaTheme="minorHAnsi" w:hAnsiTheme="minorHAnsi" w:cstheme="minorBidi"/>
        <w:color w:val="538135" w:themeColor="accent6" w:themeShade="BF"/>
        <w:sz w:val="20"/>
        <w:szCs w:val="20"/>
        <w14:ligatures w14:val="none"/>
      </w:rPr>
      <w:t xml:space="preserve">Page </w:t>
    </w:r>
    <w:r>
      <w:rPr>
        <w:rFonts w:asciiTheme="minorHAnsi" w:eastAsiaTheme="minorHAnsi" w:hAnsiTheme="minorHAnsi" w:cstheme="minorBidi"/>
        <w:color w:val="538135" w:themeColor="accent6" w:themeShade="BF"/>
        <w:sz w:val="20"/>
        <w:szCs w:val="20"/>
        <w14:ligatures w14:val="none"/>
      </w:rPr>
      <w:t>20</w:t>
    </w:r>
    <w:r w:rsidRPr="004E11DE">
      <w:rPr>
        <w:rFonts w:asciiTheme="minorHAnsi" w:eastAsiaTheme="minorHAnsi" w:hAnsiTheme="minorHAnsi" w:cstheme="minorBidi"/>
        <w:color w:val="538135" w:themeColor="accent6" w:themeShade="BF"/>
        <w:sz w:val="20"/>
        <w:szCs w:val="20"/>
        <w14:ligatures w14:val="none"/>
      </w:rPr>
      <w:t xml:space="preserve"> of </w:t>
    </w:r>
    <w:r>
      <w:rPr>
        <w:rFonts w:asciiTheme="minorHAnsi" w:eastAsiaTheme="minorHAnsi" w:hAnsiTheme="minorHAnsi" w:cstheme="minorBidi"/>
        <w:color w:val="538135" w:themeColor="accent6" w:themeShade="BF"/>
        <w:sz w:val="20"/>
        <w:szCs w:val="20"/>
        <w14:ligatures w14:val="none"/>
      </w:rPr>
      <w:t>20</w:t>
    </w:r>
  </w:p>
  <w:p w:rsidR="004E11DE" w:rsidRPr="004E11DE" w:rsidRDefault="004E11DE" w:rsidP="004E1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14" w:rsidRDefault="005B2614" w:rsidP="004E11DE">
      <w:r>
        <w:separator/>
      </w:r>
    </w:p>
  </w:footnote>
  <w:footnote w:type="continuationSeparator" w:id="0">
    <w:p w:rsidR="005B2614" w:rsidRDefault="005B2614" w:rsidP="004E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DE" w:rsidRPr="004E11DE" w:rsidRDefault="004E11DE" w:rsidP="004E11DE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538135" w:themeColor="accent6" w:themeShade="BF"/>
        <w:sz w:val="20"/>
        <w:szCs w:val="20"/>
        <w14:ligatures w14:val="none"/>
      </w:rPr>
    </w:pPr>
    <w:r w:rsidRPr="004E11DE">
      <w:rPr>
        <w:rFonts w:asciiTheme="minorHAnsi" w:eastAsiaTheme="minorHAnsi" w:hAnsiTheme="minorHAnsi" w:cstheme="minorBidi"/>
        <w:b/>
        <w:color w:val="538135" w:themeColor="accent6" w:themeShade="BF"/>
        <w:sz w:val="20"/>
        <w:szCs w:val="20"/>
        <w14:ligatures w14:val="none"/>
      </w:rPr>
      <w:t>Lindfield Consultants Ltd</w:t>
    </w:r>
    <w:r w:rsidRPr="004E11DE">
      <w:rPr>
        <w:rFonts w:asciiTheme="minorHAnsi" w:eastAsiaTheme="minorHAnsi" w:hAnsiTheme="minorHAnsi" w:cstheme="minorBidi"/>
        <w:b/>
        <w:color w:val="538135" w:themeColor="accent6" w:themeShade="BF"/>
        <w:sz w:val="20"/>
        <w:szCs w:val="20"/>
        <w14:ligatures w14:val="none"/>
      </w:rPr>
      <w:tab/>
    </w:r>
    <w:r w:rsidRPr="004E11DE">
      <w:rPr>
        <w:rFonts w:asciiTheme="minorHAnsi" w:eastAsiaTheme="minorHAnsi" w:hAnsiTheme="minorHAnsi" w:cstheme="minorBidi"/>
        <w14:ligatures w14:val="none"/>
      </w:rPr>
      <w:t xml:space="preserve">         </w:t>
    </w:r>
    <w:r w:rsidRPr="004E11DE">
      <w:rPr>
        <w:rFonts w:asciiTheme="minorHAnsi" w:eastAsiaTheme="minorHAnsi" w:hAnsiTheme="minorHAnsi" w:cstheme="minorBidi"/>
        <w14:ligatures w14:val="none"/>
      </w:rPr>
      <w:tab/>
      <w:t xml:space="preserve"> </w:t>
    </w:r>
    <w:r w:rsidRPr="004E11DE">
      <w:rPr>
        <w:rFonts w:asciiTheme="minorHAnsi" w:eastAsiaTheme="minorHAnsi" w:hAnsiTheme="minorHAnsi" w:cstheme="minorBidi"/>
        <w:color w:val="538135" w:themeColor="accent6" w:themeShade="BF"/>
        <w:sz w:val="16"/>
        <w:szCs w:val="16"/>
        <w14:ligatures w14:val="none"/>
      </w:rPr>
      <w:t>Reference: LCL/CRE/</w:t>
    </w:r>
    <w:proofErr w:type="spellStart"/>
    <w:r w:rsidRPr="004E11DE">
      <w:rPr>
        <w:rFonts w:asciiTheme="minorHAnsi" w:eastAsiaTheme="minorHAnsi" w:hAnsiTheme="minorHAnsi" w:cstheme="minorBidi"/>
        <w:color w:val="538135" w:themeColor="accent6" w:themeShade="BF"/>
        <w:sz w:val="16"/>
        <w:szCs w:val="16"/>
        <w14:ligatures w14:val="none"/>
      </w:rPr>
      <w:t>H2Whites</w:t>
    </w:r>
    <w:proofErr w:type="spellEnd"/>
    <w:r w:rsidRPr="004E11DE">
      <w:rPr>
        <w:rFonts w:asciiTheme="minorHAnsi" w:eastAsiaTheme="minorHAnsi" w:hAnsiTheme="minorHAnsi" w:cstheme="minorBidi"/>
        <w:color w:val="538135" w:themeColor="accent6" w:themeShade="BF"/>
        <w:sz w:val="16"/>
        <w:szCs w:val="16"/>
        <w14:ligatures w14:val="none"/>
      </w:rPr>
      <w:t xml:space="preserve"> Pit/202307/</w:t>
    </w:r>
    <w:proofErr w:type="spellStart"/>
    <w:r w:rsidRPr="004E11DE">
      <w:rPr>
        <w:rFonts w:asciiTheme="minorHAnsi" w:eastAsiaTheme="minorHAnsi" w:hAnsiTheme="minorHAnsi" w:cstheme="minorBidi"/>
        <w:color w:val="538135" w:themeColor="accent6" w:themeShade="BF"/>
        <w:sz w:val="16"/>
        <w:szCs w:val="16"/>
        <w14:ligatures w14:val="none"/>
      </w:rPr>
      <w:t>B2Baseline</w:t>
    </w:r>
    <w:proofErr w:type="spellEnd"/>
    <w:r w:rsidRPr="004E11DE">
      <w:rPr>
        <w:rFonts w:asciiTheme="minorHAnsi" w:eastAsiaTheme="minorHAnsi" w:hAnsiTheme="minorHAnsi" w:cstheme="minorBidi"/>
        <w:color w:val="538135" w:themeColor="accent6" w:themeShade="BF"/>
        <w:sz w:val="16"/>
        <w:szCs w:val="16"/>
        <w14:ligatures w14:val="none"/>
      </w:rPr>
      <w:t xml:space="preserve">/A </w:t>
    </w:r>
  </w:p>
  <w:p w:rsidR="004E11DE" w:rsidRPr="004E11DE" w:rsidRDefault="004E11DE" w:rsidP="004E11DE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14:ligatures w14:val="none"/>
      </w:rPr>
    </w:pPr>
  </w:p>
  <w:p w:rsidR="004E11DE" w:rsidRPr="004E11DE" w:rsidRDefault="004E11DE" w:rsidP="004E11DE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sz w:val="20"/>
        <w:szCs w:val="20"/>
        <w14:ligatures w14:val="none"/>
      </w:rPr>
    </w:pPr>
    <w:r w:rsidRPr="004E11DE">
      <w:rPr>
        <w:rFonts w:asciiTheme="minorHAnsi" w:eastAsiaTheme="minorHAnsi" w:hAnsiTheme="minorHAnsi" w:cstheme="minorBidi"/>
        <w:sz w:val="20"/>
        <w:szCs w:val="20"/>
        <w14:ligatures w14:val="none"/>
      </w:rPr>
      <w:t>Proposed Hydrogen Generating Facility, Whites Pit</w:t>
    </w:r>
  </w:p>
  <w:p w:rsidR="004E11DE" w:rsidRPr="004E11DE" w:rsidRDefault="004E11DE" w:rsidP="004E11DE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color w:val="538135" w:themeColor="accent6" w:themeShade="BF"/>
        <w:sz w:val="20"/>
        <w:szCs w:val="20"/>
        <w14:ligatures w14:val="none"/>
      </w:rPr>
    </w:pPr>
    <w:r w:rsidRPr="004E11DE">
      <w:rPr>
        <w:rFonts w:asciiTheme="minorHAnsi" w:eastAsiaTheme="minorHAnsi" w:hAnsiTheme="minorHAnsi" w:cstheme="minorBidi"/>
        <w:color w:val="538135" w:themeColor="accent6" w:themeShade="BF"/>
        <w:sz w:val="20"/>
        <w:szCs w:val="20"/>
        <w14:ligatures w14:val="none"/>
      </w:rPr>
      <w:t>Permit Application Support Document</w:t>
    </w:r>
  </w:p>
  <w:p w:rsidR="004E11DE" w:rsidRDefault="004E11DE" w:rsidP="004E11DE">
    <w:pPr>
      <w:pStyle w:val="Header"/>
    </w:pPr>
    <w:r w:rsidRPr="004E11DE">
      <w:rPr>
        <w:color w:val="538135" w:themeColor="accent6" w:themeShade="BF"/>
        <w:sz w:val="28"/>
        <w:szCs w:val="28"/>
      </w:rPr>
      <w:t>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DE"/>
    <w:rsid w:val="001E2FAA"/>
    <w:rsid w:val="00254139"/>
    <w:rsid w:val="002E64E2"/>
    <w:rsid w:val="004B10A6"/>
    <w:rsid w:val="004E11DE"/>
    <w:rsid w:val="005B2614"/>
    <w:rsid w:val="00923703"/>
    <w:rsid w:val="00B33DE3"/>
    <w:rsid w:val="00CC0047"/>
    <w:rsid w:val="00D11D02"/>
    <w:rsid w:val="00D74678"/>
    <w:rsid w:val="00F1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627F2-B9A8-42BC-8F3F-978FA4CF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DE"/>
    <w:pPr>
      <w:spacing w:after="0" w:line="240" w:lineRule="auto"/>
    </w:pPr>
    <w:rPr>
      <w:rFonts w:ascii="Calibri" w:eastAsia="Calibri" w:hAnsi="Calibri" w:cs="Times New Roma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DE"/>
    <w:rPr>
      <w:rFonts w:ascii="Calibri" w:eastAsia="Calibri" w:hAnsi="Calibri" w:cs="Times New Roman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E11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DE"/>
    <w:rPr>
      <w:rFonts w:ascii="Calibri" w:eastAsia="Calibri" w:hAnsi="Calibri" w:cs="Times New Roma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7" ma:contentTypeDescription="Create a new document." ma:contentTypeScope="" ma:versionID="f4af20e7894a65d8cb2fef883f2fce3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2a324bcd1a5988d13a06bb17a0d8fc7d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  <xsd:element name="MediaServiceObjectDetectorVersions" ma:index="6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2023-07-11T23:00:00+00:00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EPR-GP3247QB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CANFORD RENEWABLE ENERGY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2023-07-11T23:00:00+00:00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GP3247QB</EPRNumber>
    <FacilityAddressPostcode xmlns="eebef177-55b5-4448-a5fb-28ea454417ee">BH21 3BQ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Jonathan Fryett</ExternalAuthor>
    <SiteName xmlns="eebef177-55b5-4448-a5fb-28ea454417ee">CRE Hydrogen Generating Plant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Whites Pit Landfill, Arrowsmith Road, Wimborne, Dorset</FacilityAddress>
    <_Flow_SignoffStatus xmlns="5cc6c8e1-61f0-4421-8ec4-372bcd4e7399" xsi:nil="true"/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A2BF7D41-E6B3-43CF-9D47-1F90266EE8DE}"/>
</file>

<file path=customXml/itemProps2.xml><?xml version="1.0" encoding="utf-8"?>
<ds:datastoreItem xmlns:ds="http://schemas.openxmlformats.org/officeDocument/2006/customXml" ds:itemID="{F7100852-8AD1-47C0-A6A4-BF962898EAA6}"/>
</file>

<file path=customXml/itemProps3.xml><?xml version="1.0" encoding="utf-8"?>
<ds:datastoreItem xmlns:ds="http://schemas.openxmlformats.org/officeDocument/2006/customXml" ds:itemID="{94EC9C30-7100-4267-9256-DC378F53D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Fryett</dc:creator>
  <cp:keywords/>
  <dc:description/>
  <cp:lastModifiedBy>Jonathan Fryett</cp:lastModifiedBy>
  <cp:revision>1</cp:revision>
  <dcterms:created xsi:type="dcterms:W3CDTF">2023-07-12T10:21:00Z</dcterms:created>
  <dcterms:modified xsi:type="dcterms:W3CDTF">2023-07-12T10:23:00Z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