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226D214D" w:rsidR="0089223A" w:rsidRDefault="00276F51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Lower Easton Farm Limited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5657F18A" w:rsidR="00CC5240" w:rsidRDefault="00F4712A" w:rsidP="00CC5240">
            <w:pPr>
              <w:pStyle w:val="Default"/>
              <w:rPr>
                <w:sz w:val="23"/>
                <w:szCs w:val="23"/>
              </w:rPr>
            </w:pPr>
            <w:r>
              <w:t>Lower Easton</w:t>
            </w:r>
            <w:r w:rsidR="006701A6">
              <w:t xml:space="preserve"> Farm </w:t>
            </w:r>
          </w:p>
          <w:p w14:paraId="0D65657C" w14:textId="7548C5C4" w:rsidR="00CC5240" w:rsidRDefault="00F4712A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Pylle</w:t>
            </w:r>
          </w:p>
          <w:p w14:paraId="0EBB711F" w14:textId="1757532C" w:rsidR="00F4712A" w:rsidRDefault="00F4712A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Shepton Mallet</w:t>
            </w:r>
          </w:p>
          <w:p w14:paraId="79B83834" w14:textId="1673CB83" w:rsidR="00636075" w:rsidRDefault="00F4712A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Somerset</w:t>
            </w:r>
          </w:p>
          <w:p w14:paraId="5E016621" w14:textId="31B41554" w:rsidR="0089223A" w:rsidRPr="00685E14" w:rsidRDefault="00F4712A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BA4 6SY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79EE649D" w:rsidR="0089223A" w:rsidRDefault="00F4712A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ST62758 38403 &amp; ST62140 38404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6B9B0F34" w:rsidR="0089223A" w:rsidRDefault="00F4712A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="00D42680" w:rsidRPr="00D42680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November</w:t>
            </w:r>
            <w:r w:rsidR="00D42680">
              <w:rPr>
                <w:rFonts w:ascii="Arial" w:hAnsi="Arial" w:cs="Arial"/>
                <w:sz w:val="24"/>
                <w:szCs w:val="24"/>
                <w:lang w:val="en-GB"/>
              </w:rPr>
              <w:t xml:space="preserve"> 202</w:t>
            </w:r>
            <w:r w:rsidR="007566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2361DD60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east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Pylle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02749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04DA6370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Soil bunding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 xml:space="preserve">all goes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through French drains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 xml:space="preserve"> into attenuation ponds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with outlet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to offsite ditch to the north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25AE1AFA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Langport member and Blue Lias</w:t>
            </w:r>
            <w:r w:rsidR="00B561EB">
              <w:rPr>
                <w:rFonts w:ascii="Arial" w:hAnsi="Arial" w:cs="Arial"/>
                <w:sz w:val="24"/>
                <w:szCs w:val="24"/>
                <w:lang w:val="en-GB"/>
              </w:rPr>
              <w:t xml:space="preserve"> formation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 xml:space="preserve"> &amp; Charmouth mudstone formation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 xml:space="preserve"> – Mudstone and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Lime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>stone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 xml:space="preserve"> interbedded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the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Triassic/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>Jurassic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75468333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Secondary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>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2505F153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1118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59F203B8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777F2390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north-westerly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563582FA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112D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318BA">
              <w:rPr>
                <w:rFonts w:ascii="Arial" w:hAnsi="Arial" w:cs="Arial"/>
                <w:sz w:val="24"/>
                <w:szCs w:val="24"/>
                <w:lang w:val="en-GB"/>
              </w:rPr>
              <w:t>Arable farming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51FB3AE1" w:rsidR="00337531" w:rsidRDefault="00F4712A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Eight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Split into two sites of four houses each.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270,000 places (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135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at each site)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 xml:space="preserve">Heating will be provided by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mains gas/infrared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 xml:space="preserve">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3375DD7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sold for land spreading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, with any surplus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0F11932F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regular </w:t>
            </w:r>
            <w:r w:rsidR="00262643">
              <w:rPr>
                <w:rFonts w:ascii="Arial" w:hAnsi="Arial" w:cs="Arial"/>
                <w:sz w:val="24"/>
                <w:szCs w:val="24"/>
                <w:lang w:val="en-GB"/>
              </w:rPr>
              <w:t>collection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62643">
              <w:rPr>
                <w:rFonts w:ascii="Arial" w:hAnsi="Arial" w:cs="Arial"/>
                <w:sz w:val="24"/>
                <w:szCs w:val="24"/>
                <w:lang w:val="en-GB"/>
              </w:rPr>
              <w:t>by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a licensed </w:t>
            </w:r>
            <w:r w:rsidR="00262643">
              <w:rPr>
                <w:rFonts w:ascii="Arial" w:hAnsi="Arial" w:cs="Arial"/>
                <w:sz w:val="24"/>
                <w:szCs w:val="24"/>
                <w:lang w:val="en-GB"/>
              </w:rPr>
              <w:t>collection agent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304825C7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 w:rsidR="00262643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0709F"/>
    <w:rsid w:val="000216D4"/>
    <w:rsid w:val="00027494"/>
    <w:rsid w:val="00044496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2643"/>
    <w:rsid w:val="002664DC"/>
    <w:rsid w:val="00266A7D"/>
    <w:rsid w:val="00267041"/>
    <w:rsid w:val="00275E52"/>
    <w:rsid w:val="00276F51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C25C9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57B49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054FA"/>
    <w:rsid w:val="00B162CE"/>
    <w:rsid w:val="00B163F1"/>
    <w:rsid w:val="00B3157B"/>
    <w:rsid w:val="00B32438"/>
    <w:rsid w:val="00B40396"/>
    <w:rsid w:val="00B418C8"/>
    <w:rsid w:val="00B46DFA"/>
    <w:rsid w:val="00B561EB"/>
    <w:rsid w:val="00B61821"/>
    <w:rsid w:val="00BC073C"/>
    <w:rsid w:val="00BC2535"/>
    <w:rsid w:val="00BE1746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32EA"/>
    <w:rsid w:val="00C65144"/>
    <w:rsid w:val="00C8227D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B1615"/>
    <w:rsid w:val="00DD6FCE"/>
    <w:rsid w:val="00E03C9E"/>
    <w:rsid w:val="00E21BDD"/>
    <w:rsid w:val="00E27CC1"/>
    <w:rsid w:val="00E564B3"/>
    <w:rsid w:val="00E5666C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1186"/>
    <w:rsid w:val="00F17E7E"/>
    <w:rsid w:val="00F37BE1"/>
    <w:rsid w:val="00F4712A"/>
    <w:rsid w:val="00F504E3"/>
    <w:rsid w:val="00F73F90"/>
    <w:rsid w:val="00F8657A"/>
    <w:rsid w:val="00F924DA"/>
    <w:rsid w:val="00FB7909"/>
    <w:rsid w:val="00FD1784"/>
    <w:rsid w:val="00FE4AB9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2024-11-08T00:00:00+00:00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EPR-JP3123LF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Mr M Seager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2024-11-08T00:00:00+00:00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BA4 6SY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Lower Easton Poultry Units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Lower Easton Farm, Pylle, Somerset, BA4 6SY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AFAC401-23EA-4D4B-9E90-466D932D8102}"/>
</file>

<file path=customXml/itemProps2.xml><?xml version="1.0" encoding="utf-8"?>
<ds:datastoreItem xmlns:ds="http://schemas.openxmlformats.org/officeDocument/2006/customXml" ds:itemID="{969EE3E9-A472-4432-A70F-3DE2DDC175DF}"/>
</file>

<file path=customXml/itemProps3.xml><?xml version="1.0" encoding="utf-8"?>
<ds:datastoreItem xmlns:ds="http://schemas.openxmlformats.org/officeDocument/2006/customXml" ds:itemID="{4ECFF303-A53F-4DE1-9A59-9347B511A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183</cp:revision>
  <dcterms:created xsi:type="dcterms:W3CDTF">2009-03-23T15:37:00Z</dcterms:created>
  <dcterms:modified xsi:type="dcterms:W3CDTF">2024-11-07T12:56:00Z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