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C9EB" w14:textId="24C7DECD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FD3584">
        <w:rPr>
          <w:rFonts w:ascii="Arial" w:hAnsi="Arial" w:cs="Arial"/>
          <w:b/>
          <w:sz w:val="24"/>
          <w:szCs w:val="24"/>
        </w:rPr>
        <w:t xml:space="preserve"> </w:t>
      </w:r>
      <w:r w:rsidR="000F5296">
        <w:rPr>
          <w:rFonts w:ascii="Arial" w:hAnsi="Arial" w:cs="Arial"/>
          <w:b/>
          <w:sz w:val="24"/>
          <w:szCs w:val="24"/>
        </w:rPr>
        <w:t>Moorefield</w:t>
      </w:r>
      <w:r w:rsidR="000D3AB4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399A0964" w14:textId="77777777" w:rsidTr="00DE6C4B">
        <w:tc>
          <w:tcPr>
            <w:tcW w:w="1992" w:type="dxa"/>
          </w:tcPr>
          <w:p w14:paraId="546D169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780846A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708AECB9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1CA86BD2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043D1F73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37EC2F2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7ADADE96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06965940" w14:textId="77777777" w:rsidTr="00DE6C4B">
        <w:tc>
          <w:tcPr>
            <w:tcW w:w="1992" w:type="dxa"/>
          </w:tcPr>
          <w:p w14:paraId="6567268E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413EFEA3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8BB8005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C2AFA43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57CFA9E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B5699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4EA0B6E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121C4479" w14:textId="77777777" w:rsidTr="00DE6C4B">
        <w:tc>
          <w:tcPr>
            <w:tcW w:w="1992" w:type="dxa"/>
          </w:tcPr>
          <w:p w14:paraId="50EA93BD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Sources: Litter and Feed, Biomass ash</w:t>
            </w:r>
          </w:p>
        </w:tc>
        <w:tc>
          <w:tcPr>
            <w:tcW w:w="1992" w:type="dxa"/>
          </w:tcPr>
          <w:p w14:paraId="523288EF" w14:textId="4D2242E6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7BC196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62789CB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35DDF083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09B2C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7B2DA8B1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  <w:r w:rsidR="00470AEF">
              <w:rPr>
                <w:rFonts w:ascii="Arial" w:hAnsi="Arial" w:cs="Arial"/>
                <w:sz w:val="20"/>
                <w:szCs w:val="20"/>
              </w:rPr>
              <w:t>Biomass ash stored in sealed container prior to removal off site.</w:t>
            </w:r>
          </w:p>
        </w:tc>
        <w:tc>
          <w:tcPr>
            <w:tcW w:w="2596" w:type="dxa"/>
          </w:tcPr>
          <w:p w14:paraId="21AD99F8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</w:t>
            </w:r>
            <w:r w:rsidR="00FD358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days per year) Careful management</w:t>
            </w:r>
          </w:p>
          <w:p w14:paraId="1BF888C0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28A2F66F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0ED4BB2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6AF9A356" w14:textId="77777777" w:rsidTr="00DE6C4B">
        <w:tc>
          <w:tcPr>
            <w:tcW w:w="1992" w:type="dxa"/>
          </w:tcPr>
          <w:p w14:paraId="617B9B1D" w14:textId="71C2909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5DFA9A79" w14:textId="0D7C39D0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2050638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45CC929F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421B66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C5F62B0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9C88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F1E5E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26ECB38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 as described in IPPC SRG 6.02 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AFD812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320113D1" w14:textId="6146EBAF" w:rsidR="00413A2A" w:rsidRDefault="007B7CAC" w:rsidP="00703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 have been assessed using the H1 methodology and</w:t>
            </w:r>
            <w:r w:rsidR="00AC526E">
              <w:rPr>
                <w:rFonts w:ascii="Arial" w:hAnsi="Arial" w:cs="Arial"/>
                <w:sz w:val="20"/>
                <w:szCs w:val="20"/>
              </w:rPr>
              <w:t xml:space="preserve"> the change in bird type from pullets to broilers will give a reduction of emissions of 24%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6E61F444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3EE4CF83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41713C6A" w14:textId="77777777" w:rsidTr="00DE6C4B">
        <w:tc>
          <w:tcPr>
            <w:tcW w:w="1992" w:type="dxa"/>
          </w:tcPr>
          <w:p w14:paraId="05FC16C7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3027F93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01E4F57C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47AA49AC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D92B1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procedure.</w:t>
            </w:r>
          </w:p>
          <w:p w14:paraId="28571FDF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16E741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567AA0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24F1F5E8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1737D66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769EB42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53C5B49" w14:textId="77777777" w:rsidTr="00DE6C4B">
        <w:tc>
          <w:tcPr>
            <w:tcW w:w="1992" w:type="dxa"/>
          </w:tcPr>
          <w:p w14:paraId="30279409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7966FBD3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D7D6B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9544D0C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21C8B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2E9A9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2EC7B2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7A0D63AB" w14:textId="77777777" w:rsidTr="00DE6C4B">
        <w:tc>
          <w:tcPr>
            <w:tcW w:w="1992" w:type="dxa"/>
          </w:tcPr>
          <w:p w14:paraId="6786BF22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375F5D5C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608D5C60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2A1DB36E" w14:textId="77777777" w:rsidR="00FF1712" w:rsidRPr="00FF1712" w:rsidRDefault="003809CC" w:rsidP="00703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tank. Spillages of litter on yard areas during 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70335B">
              <w:rPr>
                <w:rFonts w:ascii="Arial" w:hAnsi="Arial" w:cs="Arial"/>
                <w:sz w:val="20"/>
                <w:szCs w:val="20"/>
              </w:rPr>
              <w:t>off-site ditch</w:t>
            </w:r>
            <w:r w:rsidR="0087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507953A8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598B45EC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to eutrophication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poisoning of flora and fauna</w:t>
            </w:r>
          </w:p>
        </w:tc>
        <w:tc>
          <w:tcPr>
            <w:tcW w:w="1762" w:type="dxa"/>
          </w:tcPr>
          <w:p w14:paraId="4F064C2B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managed carefully.</w:t>
            </w:r>
          </w:p>
          <w:p w14:paraId="3FA4FAD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8EA0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883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1156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FA49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A960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9EAC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0872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E634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3486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E48D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BC38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365E32CE" w14:textId="77777777" w:rsidTr="00DE6C4B">
        <w:tc>
          <w:tcPr>
            <w:tcW w:w="1992" w:type="dxa"/>
          </w:tcPr>
          <w:p w14:paraId="6EB5813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442B22FA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5E99E5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E6D7C47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9457A7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97937A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A58A927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32E58E90" w14:textId="77777777" w:rsidTr="00DE6C4B">
        <w:tc>
          <w:tcPr>
            <w:tcW w:w="1992" w:type="dxa"/>
          </w:tcPr>
          <w:p w14:paraId="56CFE991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01404CA0" w14:textId="0F187DE4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1AC84DA6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157A3A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6A2D6A62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6B5722B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08DB4788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5F53F4DC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3EE5E191" w14:textId="77777777" w:rsidTr="00DE6C4B">
        <w:tc>
          <w:tcPr>
            <w:tcW w:w="1992" w:type="dxa"/>
          </w:tcPr>
          <w:p w14:paraId="2B9B00B5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7476E3C9" w14:textId="7667543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100D9387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3E15F1B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280A9070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853D575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0330A8E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7CCC264A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140B4BD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1068907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167A91D4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773923C4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61E076B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CA66" w14:textId="77777777" w:rsidR="00B73BEF" w:rsidRDefault="00B73BEF" w:rsidP="00B73BEF">
      <w:pPr>
        <w:spacing w:after="0" w:line="240" w:lineRule="auto"/>
      </w:pPr>
      <w:r>
        <w:separator/>
      </w:r>
    </w:p>
  </w:endnote>
  <w:endnote w:type="continuationSeparator" w:id="0">
    <w:p w14:paraId="13E8F51B" w14:textId="77777777" w:rsidR="00B73BEF" w:rsidRDefault="00B73BEF" w:rsidP="00B7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F02B" w14:textId="77777777" w:rsidR="00B73BEF" w:rsidRDefault="00B73BEF" w:rsidP="00B73BEF">
      <w:pPr>
        <w:spacing w:after="0" w:line="240" w:lineRule="auto"/>
      </w:pPr>
      <w:r>
        <w:separator/>
      </w:r>
    </w:p>
  </w:footnote>
  <w:footnote w:type="continuationSeparator" w:id="0">
    <w:p w14:paraId="77D6A882" w14:textId="77777777" w:rsidR="00B73BEF" w:rsidRDefault="00B73BEF" w:rsidP="00B73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37E51"/>
    <w:rsid w:val="000D3AB4"/>
    <w:rsid w:val="000E7324"/>
    <w:rsid w:val="000F5296"/>
    <w:rsid w:val="001D7485"/>
    <w:rsid w:val="001F2C33"/>
    <w:rsid w:val="002B4B8C"/>
    <w:rsid w:val="003809CC"/>
    <w:rsid w:val="00413A2A"/>
    <w:rsid w:val="00470AEF"/>
    <w:rsid w:val="00607482"/>
    <w:rsid w:val="006A4871"/>
    <w:rsid w:val="0070335B"/>
    <w:rsid w:val="00786E89"/>
    <w:rsid w:val="007B7CAC"/>
    <w:rsid w:val="008725C4"/>
    <w:rsid w:val="008B1E96"/>
    <w:rsid w:val="00AC526E"/>
    <w:rsid w:val="00AD590E"/>
    <w:rsid w:val="00B73BEF"/>
    <w:rsid w:val="00BA4DC6"/>
    <w:rsid w:val="00C33862"/>
    <w:rsid w:val="00DE6C4B"/>
    <w:rsid w:val="00F736E0"/>
    <w:rsid w:val="00FD3584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0305D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epr-fp3837qf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TBC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EPR/FP3837QF/T001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B48 7HD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Moorfield Poultry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Moorfield Farm  Lilley Green Road  Birmingham  West Midlands  B48 7HD</FacilityAddre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23787-D671-4FD2-86F1-58BA03AEB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a0ec-c146-4eeb-925a-270f4bc4be63"/>
    <ds:schemaRef ds:uri="662745e8-e224-48e8-a2e3-254862b8c2f5"/>
    <ds:schemaRef ds:uri="eebef177-55b5-4448-a5fb-28ea454417ee"/>
    <ds:schemaRef ds:uri="5ffd8e36-f429-4edc-ab50-c5be84842779"/>
    <ds:schemaRef ds:uri="13c3dd66-95f8-469c-aefa-160cfe61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0A904-0398-4DE7-8618-5BC102FECF6F}">
  <ds:schemaRefs>
    <ds:schemaRef ds:uri="http://purl.org/dc/elements/1.1/"/>
    <ds:schemaRef ds:uri="8595a0ec-c146-4eeb-925a-270f4bc4be63"/>
    <ds:schemaRef ds:uri="http://schemas.microsoft.com/office/2006/documentManagement/types"/>
    <ds:schemaRef ds:uri="http://schemas.microsoft.com/office/infopath/2007/PartnerControls"/>
    <ds:schemaRef ds:uri="13c3dd66-95f8-469c-aefa-160cfe61df31"/>
    <ds:schemaRef ds:uri="eebef177-55b5-4448-a5fb-28ea454417ee"/>
    <ds:schemaRef ds:uri="5ffd8e36-f429-4edc-ab50-c5be84842779"/>
    <ds:schemaRef ds:uri="http://schemas.openxmlformats.org/package/2006/metadata/core-properties"/>
    <ds:schemaRef ds:uri="http://purl.org/dc/dcmitype/"/>
    <ds:schemaRef ds:uri="http://purl.org/dc/terms/"/>
    <ds:schemaRef ds:uri="662745e8-e224-48e8-a2e3-254862b8c2f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7F6331-8AE1-4F48-8103-95646E5C6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2023-05-12T08:06:00Z</dcterms:created>
  <dcterms:modified xsi:type="dcterms:W3CDTF">2023-05-12T08:06:00Z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