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24A3" w14:textId="452845BC" w:rsidR="00177285" w:rsidRPr="00E206BF" w:rsidRDefault="00177285" w:rsidP="00753890">
      <w:pPr>
        <w:jc w:val="right"/>
      </w:pPr>
      <w:bookmarkStart w:id="0" w:name="_Toc392252823"/>
      <w:r w:rsidRPr="00D60C42">
        <w:rPr>
          <w:noProof/>
          <w:lang w:eastAsia="en-GB"/>
        </w:rPr>
        <w:drawing>
          <wp:inline distT="0" distB="0" distL="0" distR="0" wp14:anchorId="23E825B6" wp14:editId="18E5ADA0">
            <wp:extent cx="2681605" cy="885825"/>
            <wp:effectExtent l="19050" t="0" r="4445"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12" cstate="print"/>
                    <a:srcRect/>
                    <a:stretch>
                      <a:fillRect/>
                    </a:stretch>
                  </pic:blipFill>
                  <pic:spPr bwMode="auto">
                    <a:xfrm>
                      <a:off x="0" y="0"/>
                      <a:ext cx="2681605" cy="885825"/>
                    </a:xfrm>
                    <a:prstGeom prst="rect">
                      <a:avLst/>
                    </a:prstGeom>
                    <a:noFill/>
                    <a:ln w="9525">
                      <a:noFill/>
                      <a:miter lim="800000"/>
                      <a:headEnd/>
                      <a:tailEnd/>
                    </a:ln>
                  </pic:spPr>
                </pic:pic>
              </a:graphicData>
            </a:graphic>
          </wp:inline>
        </w:drawing>
      </w:r>
    </w:p>
    <w:p w14:paraId="0825FAB1" w14:textId="7E240D9C" w:rsidR="00753890" w:rsidRPr="00753890" w:rsidRDefault="00753890" w:rsidP="00753890">
      <w:pPr>
        <w:pStyle w:val="Title"/>
        <w:spacing w:before="0" w:after="0"/>
        <w:contextualSpacing w:val="0"/>
        <w:rPr>
          <w:color w:val="FF0000"/>
        </w:rPr>
      </w:pPr>
      <w:r w:rsidRPr="00753890">
        <w:rPr>
          <w:color w:val="FF0000"/>
        </w:rPr>
        <w:t>DRAFT</w:t>
      </w:r>
    </w:p>
    <w:p w14:paraId="178ED13D" w14:textId="2B2D691B" w:rsidR="00D516AC" w:rsidRDefault="00C8005C" w:rsidP="00753890">
      <w:pPr>
        <w:pStyle w:val="Title"/>
        <w:spacing w:before="120"/>
        <w:contextualSpacing w:val="0"/>
        <w:rPr>
          <w:highlight w:val="yellow"/>
        </w:rPr>
      </w:pPr>
      <w:r>
        <w:t>Standard rules SR202</w:t>
      </w:r>
      <w:r w:rsidR="002A0B0B">
        <w:t>5</w:t>
      </w:r>
      <w:r w:rsidR="000A6747">
        <w:t xml:space="preserve"> </w:t>
      </w:r>
      <w:r>
        <w:t>No</w:t>
      </w:r>
      <w:r w:rsidR="00EA2C80">
        <w:t xml:space="preserve"> </w:t>
      </w:r>
      <w:r w:rsidR="000A6747">
        <w:t>2</w:t>
      </w:r>
      <w:r>
        <w:t xml:space="preserve"> – the burial of human remains </w:t>
      </w:r>
      <w:r w:rsidR="00EE710A">
        <w:t xml:space="preserve">into </w:t>
      </w:r>
      <w:r w:rsidR="00915FF7">
        <w:t xml:space="preserve">unaltered or </w:t>
      </w:r>
      <w:r w:rsidR="00EE710A">
        <w:t>unweathered bedrock</w:t>
      </w:r>
    </w:p>
    <w:p w14:paraId="124A4667" w14:textId="00E0A3AC" w:rsidR="00D516AC" w:rsidRPr="00D516AC" w:rsidRDefault="00D516AC" w:rsidP="00D516AC">
      <w:pPr>
        <w:pStyle w:val="Title"/>
        <w:contextualSpacing w:val="0"/>
      </w:pPr>
      <w:r w:rsidRPr="00D516AC">
        <w:t>Introductory note</w:t>
      </w:r>
    </w:p>
    <w:p w14:paraId="44F3BE26" w14:textId="0AE6BB7B" w:rsidR="00D516AC" w:rsidRPr="00E51ED8" w:rsidRDefault="00D516AC" w:rsidP="00177285">
      <w:pPr>
        <w:rPr>
          <w:b/>
          <w:bCs/>
          <w:sz w:val="24"/>
        </w:rPr>
      </w:pPr>
      <w:r w:rsidRPr="00E51ED8">
        <w:rPr>
          <w:b/>
          <w:bCs/>
          <w:sz w:val="24"/>
        </w:rPr>
        <w:t>This introductory note does not form a part of these standard rules</w:t>
      </w:r>
    </w:p>
    <w:p w14:paraId="50B314E8" w14:textId="16399D79" w:rsidR="00D516AC" w:rsidRPr="00E3432E" w:rsidRDefault="00D516AC" w:rsidP="00177285">
      <w:r w:rsidRPr="00E3432E">
        <w:t xml:space="preserve">When referred to in an environmental permit, these rules will allow the operator to bury human remains </w:t>
      </w:r>
      <w:r w:rsidR="00FF2DAF">
        <w:t xml:space="preserve">into </w:t>
      </w:r>
      <w:r w:rsidR="007B3B37">
        <w:t xml:space="preserve">unaltered or </w:t>
      </w:r>
      <w:r w:rsidR="00FF2DAF">
        <w:t>unweathered bedrock.</w:t>
      </w:r>
    </w:p>
    <w:p w14:paraId="494FA552" w14:textId="28FD5BC0" w:rsidR="00D55300" w:rsidRPr="00E3432E" w:rsidRDefault="006418E3" w:rsidP="00D55300">
      <w:r w:rsidRPr="00E3432E">
        <w:t>The number of burials per annum must be less than</w:t>
      </w:r>
      <w:r w:rsidR="00D55300" w:rsidRPr="00E3432E">
        <w:t>:</w:t>
      </w:r>
    </w:p>
    <w:p w14:paraId="0A6FF99A" w14:textId="3B5AF8CF" w:rsidR="00D516AC" w:rsidRPr="00E3432E" w:rsidRDefault="00D92D24" w:rsidP="00F809C2">
      <w:pPr>
        <w:pStyle w:val="ListParagraph"/>
        <w:numPr>
          <w:ilvl w:val="0"/>
          <w:numId w:val="12"/>
        </w:numPr>
      </w:pPr>
      <w:r>
        <w:t>100</w:t>
      </w:r>
      <w:r w:rsidR="006418E3" w:rsidRPr="00E3432E">
        <w:t xml:space="preserve"> when located on strata which are a secondary </w:t>
      </w:r>
      <w:r w:rsidR="00D55300" w:rsidRPr="00E3432E">
        <w:t>B</w:t>
      </w:r>
      <w:r w:rsidR="006418E3" w:rsidRPr="00E3432E">
        <w:t xml:space="preserve"> aquifer</w:t>
      </w:r>
      <w:r w:rsidR="00D55300" w:rsidRPr="00E3432E">
        <w:t xml:space="preserve"> or secondary undifferentiated aquifer</w:t>
      </w:r>
    </w:p>
    <w:p w14:paraId="0171221D" w14:textId="2C07EC7A" w:rsidR="00D55300" w:rsidRPr="00E3432E" w:rsidRDefault="00D92D24" w:rsidP="00F809C2">
      <w:pPr>
        <w:pStyle w:val="ListParagraph"/>
        <w:numPr>
          <w:ilvl w:val="0"/>
          <w:numId w:val="12"/>
        </w:numPr>
      </w:pPr>
      <w:r>
        <w:t>50</w:t>
      </w:r>
      <w:r w:rsidR="00D55300" w:rsidRPr="00E3432E">
        <w:t xml:space="preserve"> when located on strata which are a secondary A aquifer</w:t>
      </w:r>
    </w:p>
    <w:p w14:paraId="49FCCE50" w14:textId="4707BE8A" w:rsidR="00D55300" w:rsidRPr="00E3432E" w:rsidRDefault="00D92D24" w:rsidP="00F809C2">
      <w:pPr>
        <w:pStyle w:val="ListParagraph"/>
        <w:numPr>
          <w:ilvl w:val="0"/>
          <w:numId w:val="12"/>
        </w:numPr>
      </w:pPr>
      <w:r>
        <w:t>30</w:t>
      </w:r>
      <w:r w:rsidR="00D55300" w:rsidRPr="00E3432E">
        <w:t xml:space="preserve"> when located on strata which are a principal aquifer</w:t>
      </w:r>
    </w:p>
    <w:p w14:paraId="23FACB5F" w14:textId="0D9165B9" w:rsidR="00D55300" w:rsidRPr="00E3432E" w:rsidRDefault="00D55300" w:rsidP="00D55300">
      <w:r w:rsidRPr="00E3432E">
        <w:t>There is no burial limit per annum for cemeteries located on unproductive strata.</w:t>
      </w:r>
    </w:p>
    <w:p w14:paraId="7023ED5A" w14:textId="3BB3D7EE" w:rsidR="00E51ED8" w:rsidRPr="00E3432E" w:rsidRDefault="00E51ED8" w:rsidP="00D55300">
      <w:r w:rsidRPr="00E3432E">
        <w:t>Where a cemetery is located on strata with different aquifer designations, the restrictions on number of burials per annum</w:t>
      </w:r>
      <w:r w:rsidR="00E400DB" w:rsidRPr="00E3432E">
        <w:t xml:space="preserve"> as described above</w:t>
      </w:r>
      <w:r w:rsidRPr="00E3432E">
        <w:t xml:space="preserve"> appl</w:t>
      </w:r>
      <w:r w:rsidR="00E400DB" w:rsidRPr="00E3432E">
        <w:t>y to the area of the cemetery located on that aquifer designation.</w:t>
      </w:r>
    </w:p>
    <w:p w14:paraId="30F7325E" w14:textId="078610A9" w:rsidR="00D86B80" w:rsidRPr="00CB2AE1" w:rsidRDefault="00CB2AE1" w:rsidP="00D55300">
      <w:r w:rsidRPr="00E51ED8">
        <w:t>The cemetery must not have more than 2500 burials per hectare, in proportion to the total area of the new cemetery or extension.</w:t>
      </w:r>
    </w:p>
    <w:p w14:paraId="593EF110" w14:textId="169982C1" w:rsidR="00D55300" w:rsidRPr="00D55300" w:rsidRDefault="00EF6F4D" w:rsidP="00D55300">
      <w:pPr>
        <w:rPr>
          <w:highlight w:val="yellow"/>
        </w:rPr>
      </w:pPr>
      <w:r>
        <w:t>The cemetery must not be located</w:t>
      </w:r>
      <w:r w:rsidR="00D55300">
        <w:t xml:space="preserve"> within a</w:t>
      </w:r>
      <w:r w:rsidR="2775DBB8">
        <w:t>ny</w:t>
      </w:r>
      <w:r w:rsidR="00D55300">
        <w:t xml:space="preserve"> </w:t>
      </w:r>
      <w:r w:rsidR="004C13E3">
        <w:t xml:space="preserve">groundwater </w:t>
      </w:r>
      <w:r w:rsidR="00D55300">
        <w:t>Source Protection Zone</w:t>
      </w:r>
      <w:r>
        <w:t xml:space="preserve"> or be within 250 metres of any well, spring or borehole that is used to supply water for domestic or food production purposes.</w:t>
      </w:r>
    </w:p>
    <w:p w14:paraId="0DA6308A" w14:textId="7AA4804A" w:rsidR="00D516AC" w:rsidRDefault="00D55300" w:rsidP="00177285">
      <w:r>
        <w:t>A burial within a cemetery must not be within 10 metres of any field drain</w:t>
      </w:r>
      <w:r w:rsidR="00EF6F4D">
        <w:t xml:space="preserve"> (</w:t>
      </w:r>
      <w:r>
        <w:t>including any dry ditch</w:t>
      </w:r>
      <w:r w:rsidR="00EF6F4D">
        <w:t>). And must not be within 30 metres of any spring or watercourse.</w:t>
      </w:r>
    </w:p>
    <w:p w14:paraId="0F61E48A" w14:textId="77167284" w:rsidR="00802497" w:rsidRDefault="00D55300" w:rsidP="00177285">
      <w:r w:rsidRPr="00D55300">
        <w:t>A grave must have at least 1 metre clearance between the base of the grave and the top of the water table and must not be undertaken directly into groundwater</w:t>
      </w:r>
      <w:r>
        <w:t xml:space="preserve"> or in an area susceptible to groundwater flooding.</w:t>
      </w:r>
    </w:p>
    <w:p w14:paraId="39183B44" w14:textId="0320DC64" w:rsidR="00E51ED8" w:rsidRDefault="00E51ED8" w:rsidP="00177285">
      <w:r w:rsidRPr="00E51ED8">
        <w:t xml:space="preserve">A burial must not be in, or within 50 metres of, a </w:t>
      </w:r>
      <w:r w:rsidR="000C6E40">
        <w:t>protected site or</w:t>
      </w:r>
      <w:r w:rsidRPr="00E51ED8">
        <w:t xml:space="preserve"> Ancient Woodland</w:t>
      </w:r>
      <w:r w:rsidR="000C6E40">
        <w:t xml:space="preserve"> (see details below)</w:t>
      </w:r>
      <w:r w:rsidRPr="00E51ED8">
        <w:t>.</w:t>
      </w:r>
    </w:p>
    <w:p w14:paraId="3A2F86F9" w14:textId="2F6DDAEA" w:rsidR="00ED3BF7" w:rsidRDefault="00ED3BF7" w:rsidP="00177285">
      <w:pPr>
        <w:rPr>
          <w:highlight w:val="yellow"/>
        </w:rPr>
      </w:pPr>
      <w:r w:rsidRPr="00A30630">
        <w:t>Any activity relating to the burial must not cause pollution of surface water or groundwater.</w:t>
      </w:r>
    </w:p>
    <w:p w14:paraId="23E824B0" w14:textId="1952AF64" w:rsidR="00177285" w:rsidRDefault="00E400DB" w:rsidP="00177285">
      <w:pPr>
        <w:rPr>
          <w:b/>
          <w:bCs/>
        </w:rPr>
      </w:pPr>
      <w:r w:rsidRPr="00E400DB">
        <w:rPr>
          <w:b/>
          <w:bCs/>
        </w:rPr>
        <w:t>End of introductory note</w:t>
      </w:r>
    </w:p>
    <w:p w14:paraId="0F969123" w14:textId="0DC20AA3" w:rsidR="0056216A" w:rsidRPr="000A6747" w:rsidRDefault="006439F9" w:rsidP="00177285">
      <w:r w:rsidRPr="000A6747">
        <w:t>Record of changes</w:t>
      </w:r>
    </w:p>
    <w:tbl>
      <w:tblPr>
        <w:tblStyle w:val="TableGrid"/>
        <w:tblW w:w="0" w:type="auto"/>
        <w:tblLook w:val="04A0" w:firstRow="1" w:lastRow="0" w:firstColumn="1" w:lastColumn="0" w:noHBand="0" w:noVBand="1"/>
      </w:tblPr>
      <w:tblGrid>
        <w:gridCol w:w="859"/>
        <w:gridCol w:w="1121"/>
        <w:gridCol w:w="7087"/>
      </w:tblGrid>
      <w:tr w:rsidR="00431948" w:rsidRPr="00431948" w14:paraId="7C5E76D8" w14:textId="77777777" w:rsidTr="00F80574">
        <w:trPr>
          <w:cnfStyle w:val="100000000000" w:firstRow="1" w:lastRow="0" w:firstColumn="0" w:lastColumn="0" w:oddVBand="0" w:evenVBand="0" w:oddHBand="0" w:evenHBand="0" w:firstRowFirstColumn="0" w:firstRowLastColumn="0" w:lastRowFirstColumn="0" w:lastRowLastColumn="0"/>
        </w:trPr>
        <w:tc>
          <w:tcPr>
            <w:tcW w:w="859" w:type="dxa"/>
          </w:tcPr>
          <w:p w14:paraId="5147B7CF" w14:textId="77777777" w:rsidR="00431948" w:rsidRPr="000A6747" w:rsidRDefault="00431948" w:rsidP="00F80574">
            <w:pPr>
              <w:rPr>
                <w:rStyle w:val="Bold"/>
                <w:szCs w:val="20"/>
              </w:rPr>
            </w:pPr>
            <w:r w:rsidRPr="000A6747">
              <w:rPr>
                <w:rStyle w:val="Bold"/>
                <w:szCs w:val="20"/>
              </w:rPr>
              <w:t>Version</w:t>
            </w:r>
          </w:p>
        </w:tc>
        <w:tc>
          <w:tcPr>
            <w:tcW w:w="1121" w:type="dxa"/>
          </w:tcPr>
          <w:p w14:paraId="476355D8" w14:textId="77777777" w:rsidR="00431948" w:rsidRPr="000A6747" w:rsidRDefault="00431948" w:rsidP="00F80574">
            <w:pPr>
              <w:rPr>
                <w:rStyle w:val="Bold"/>
                <w:szCs w:val="20"/>
              </w:rPr>
            </w:pPr>
            <w:r w:rsidRPr="000A6747">
              <w:rPr>
                <w:rStyle w:val="Bold"/>
                <w:szCs w:val="20"/>
              </w:rPr>
              <w:t>Date</w:t>
            </w:r>
          </w:p>
        </w:tc>
        <w:tc>
          <w:tcPr>
            <w:tcW w:w="7087" w:type="dxa"/>
          </w:tcPr>
          <w:p w14:paraId="48E10A8C" w14:textId="77777777" w:rsidR="00431948" w:rsidRPr="000A6747" w:rsidRDefault="00431948" w:rsidP="00F80574">
            <w:pPr>
              <w:rPr>
                <w:rStyle w:val="Bold"/>
                <w:szCs w:val="20"/>
              </w:rPr>
            </w:pPr>
            <w:r w:rsidRPr="000A6747">
              <w:rPr>
                <w:rStyle w:val="Bold"/>
                <w:szCs w:val="20"/>
              </w:rPr>
              <w:t>Change</w:t>
            </w:r>
          </w:p>
        </w:tc>
      </w:tr>
      <w:tr w:rsidR="00431948" w:rsidRPr="00431948" w14:paraId="3056EA93" w14:textId="77777777" w:rsidTr="00F80574">
        <w:tc>
          <w:tcPr>
            <w:tcW w:w="859" w:type="dxa"/>
          </w:tcPr>
          <w:p w14:paraId="4F024271" w14:textId="77777777" w:rsidR="00431948" w:rsidRPr="000A6747" w:rsidRDefault="00431948" w:rsidP="00F80574">
            <w:pPr>
              <w:rPr>
                <w:rStyle w:val="Blue"/>
                <w:color w:val="auto"/>
                <w:szCs w:val="20"/>
              </w:rPr>
            </w:pPr>
            <w:r w:rsidRPr="000A6747">
              <w:rPr>
                <w:rStyle w:val="Blue"/>
                <w:color w:val="auto"/>
                <w:szCs w:val="20"/>
              </w:rPr>
              <w:t>1.0</w:t>
            </w:r>
          </w:p>
        </w:tc>
        <w:tc>
          <w:tcPr>
            <w:tcW w:w="1121" w:type="dxa"/>
          </w:tcPr>
          <w:p w14:paraId="24BBBA33" w14:textId="77777777" w:rsidR="00431948" w:rsidRPr="000A6747" w:rsidRDefault="00431948" w:rsidP="00F80574">
            <w:pPr>
              <w:rPr>
                <w:rStyle w:val="Blue"/>
                <w:color w:val="auto"/>
                <w:szCs w:val="20"/>
              </w:rPr>
            </w:pPr>
            <w:r w:rsidRPr="000A6747">
              <w:rPr>
                <w:rStyle w:val="Blue"/>
                <w:color w:val="auto"/>
                <w:szCs w:val="20"/>
              </w:rPr>
              <w:t>DATE</w:t>
            </w:r>
          </w:p>
        </w:tc>
        <w:tc>
          <w:tcPr>
            <w:tcW w:w="7087" w:type="dxa"/>
          </w:tcPr>
          <w:p w14:paraId="50E30580" w14:textId="77777777" w:rsidR="00431948" w:rsidRPr="000A6747" w:rsidRDefault="00431948" w:rsidP="00F80574">
            <w:pPr>
              <w:rPr>
                <w:rStyle w:val="Blue"/>
                <w:color w:val="auto"/>
                <w:szCs w:val="20"/>
              </w:rPr>
            </w:pPr>
            <w:r w:rsidRPr="000A6747">
              <w:rPr>
                <w:rStyle w:val="Blue"/>
                <w:color w:val="auto"/>
                <w:szCs w:val="20"/>
              </w:rPr>
              <w:t xml:space="preserve">Published </w:t>
            </w:r>
          </w:p>
        </w:tc>
      </w:tr>
    </w:tbl>
    <w:p w14:paraId="23E824B1" w14:textId="77777777" w:rsidR="00177285" w:rsidRPr="002821F5" w:rsidRDefault="00177285" w:rsidP="00177285">
      <w:r w:rsidRPr="002821F5">
        <w:br w:type="page"/>
      </w:r>
    </w:p>
    <w:p w14:paraId="7FC7C94B" w14:textId="77777777" w:rsidR="00E400DB" w:rsidRDefault="00E400DB" w:rsidP="00E400DB">
      <w:pPr>
        <w:pStyle w:val="Bullet"/>
        <w:numPr>
          <w:ilvl w:val="0"/>
          <w:numId w:val="0"/>
        </w:numPr>
        <w:ind w:left="680" w:hanging="680"/>
      </w:pPr>
      <w:r w:rsidRPr="00E400DB">
        <w:rPr>
          <w:rStyle w:val="Red"/>
          <w:color w:val="auto"/>
        </w:rPr>
        <w:lastRenderedPageBreak/>
        <w:t>Rules</w:t>
      </w:r>
      <w:r w:rsidR="00177285" w:rsidRPr="00E400DB">
        <w:t xml:space="preserve"> </w:t>
      </w:r>
    </w:p>
    <w:p w14:paraId="0C828C3F" w14:textId="09D9B4E6" w:rsidR="00E400DB" w:rsidRPr="002821F5" w:rsidRDefault="00E400DB" w:rsidP="00E400DB">
      <w:pPr>
        <w:pStyle w:val="Bullet"/>
        <w:numPr>
          <w:ilvl w:val="0"/>
          <w:numId w:val="0"/>
        </w:numPr>
      </w:pPr>
      <w:r>
        <w:t xml:space="preserve">1 </w:t>
      </w:r>
      <w:r w:rsidRPr="002821F5">
        <w:t>Management</w:t>
      </w:r>
    </w:p>
    <w:p w14:paraId="074AF7E6" w14:textId="77777777" w:rsidR="00E400DB" w:rsidRPr="002821F5" w:rsidRDefault="00E400DB" w:rsidP="00E400DB">
      <w:pPr>
        <w:pStyle w:val="Bullet0"/>
        <w:numPr>
          <w:ilvl w:val="1"/>
          <w:numId w:val="2"/>
        </w:numPr>
      </w:pPr>
      <w:r w:rsidRPr="002821F5">
        <w:t>General management</w:t>
      </w:r>
    </w:p>
    <w:p w14:paraId="6214F012" w14:textId="4ADA95BA" w:rsidR="00E400DB" w:rsidRPr="002821F5" w:rsidRDefault="00E400DB" w:rsidP="00E400DB">
      <w:pPr>
        <w:pStyle w:val="Bullet1"/>
      </w:pPr>
      <w:r w:rsidRPr="002821F5">
        <w:t>The operator shall manage and operate the activit</w:t>
      </w:r>
      <w:r w:rsidR="00A61CF7">
        <w:rPr>
          <w:rStyle w:val="Red"/>
          <w:color w:val="auto"/>
        </w:rPr>
        <w:t>ies</w:t>
      </w:r>
      <w:r w:rsidRPr="002821F5">
        <w:t>:</w:t>
      </w:r>
    </w:p>
    <w:p w14:paraId="584AC13F" w14:textId="77777777" w:rsidR="00E400DB" w:rsidRPr="002821F5" w:rsidRDefault="00E400DB" w:rsidP="00E400DB">
      <w:pPr>
        <w:pStyle w:val="aBullet"/>
      </w:pPr>
      <w:r w:rsidRPr="002821F5">
        <w:t>in accordance with a written management system that identifies and minimises risks of pollution so far as is reasonably practicable, including those risks arising from operations, maintenance, accidents, incidents, non-conformances and those drawn to the attention of the operator as a result of complaints; and</w:t>
      </w:r>
    </w:p>
    <w:p w14:paraId="46E47E81" w14:textId="77777777" w:rsidR="00E400DB" w:rsidRPr="002821F5" w:rsidRDefault="00E400DB" w:rsidP="00E400DB">
      <w:pPr>
        <w:pStyle w:val="aBullet"/>
      </w:pPr>
      <w:r w:rsidRPr="002821F5">
        <w:t>using sufficient competent persons and resources.</w:t>
      </w:r>
    </w:p>
    <w:p w14:paraId="46D5F4ED" w14:textId="77777777" w:rsidR="00E400DB" w:rsidRPr="002821F5" w:rsidRDefault="00E400DB" w:rsidP="00E400DB">
      <w:pPr>
        <w:pStyle w:val="Bullet1"/>
      </w:pPr>
      <w:r w:rsidRPr="002821F5">
        <w:t xml:space="preserve">Records demonstrating compliance with condition 1.1.1 shall be maintained. </w:t>
      </w:r>
    </w:p>
    <w:p w14:paraId="19220EAD" w14:textId="757C1A91" w:rsidR="00E400DB" w:rsidRPr="002821F5" w:rsidRDefault="00E400DB" w:rsidP="00E400DB">
      <w:pPr>
        <w:pStyle w:val="Bullet1"/>
      </w:pPr>
      <w:r w:rsidRPr="002821F5">
        <w:t xml:space="preserve">Any person having duties that are or may be affected by the matters set out in </w:t>
      </w:r>
      <w:r w:rsidR="00A6282D">
        <w:t>these standard rules</w:t>
      </w:r>
      <w:r w:rsidRPr="002821F5">
        <w:t xml:space="preserve"> shall have convenient access to a copy of the </w:t>
      </w:r>
      <w:r w:rsidR="00A6282D">
        <w:t>standard rules</w:t>
      </w:r>
      <w:r w:rsidRPr="002821F5">
        <w:t>.</w:t>
      </w:r>
    </w:p>
    <w:p w14:paraId="23E824B2" w14:textId="141620B0" w:rsidR="00177285" w:rsidRDefault="00A6282D" w:rsidP="00A6282D">
      <w:pPr>
        <w:pStyle w:val="Bullet"/>
      </w:pPr>
      <w:r w:rsidRPr="00A6282D">
        <w:t>Operations</w:t>
      </w:r>
    </w:p>
    <w:p w14:paraId="1272B745" w14:textId="55ED8637" w:rsidR="00A6282D" w:rsidRDefault="00A6282D" w:rsidP="00A6282D">
      <w:pPr>
        <w:pStyle w:val="Bullet0"/>
      </w:pPr>
      <w:r w:rsidRPr="002821F5">
        <w:t>Permitted activities</w:t>
      </w:r>
    </w:p>
    <w:p w14:paraId="1442D602" w14:textId="35880E91" w:rsidR="00A6282D" w:rsidRDefault="00A6282D" w:rsidP="003A49A9">
      <w:pPr>
        <w:pStyle w:val="Bullet1"/>
        <w:spacing w:after="240"/>
      </w:pPr>
      <w:r>
        <w:t>The only activity authorised by the permit is the activity specified in table 2.1 below.</w:t>
      </w:r>
    </w:p>
    <w:p w14:paraId="1F252630" w14:textId="4721910A" w:rsidR="00B44044" w:rsidRPr="002B6AC1" w:rsidRDefault="00B44044" w:rsidP="002B6AC1">
      <w:pPr>
        <w:pStyle w:val="Bullet1"/>
        <w:numPr>
          <w:ilvl w:val="0"/>
          <w:numId w:val="0"/>
        </w:numPr>
        <w:rPr>
          <w:b/>
          <w:bCs w:val="0"/>
        </w:rPr>
      </w:pPr>
      <w:r w:rsidRPr="002B6AC1">
        <w:rPr>
          <w:b/>
          <w:bCs w:val="0"/>
        </w:rPr>
        <w:t>Table 2.1 Activities</w:t>
      </w:r>
    </w:p>
    <w:tbl>
      <w:tblPr>
        <w:tblStyle w:val="TableGrid"/>
        <w:tblW w:w="5000" w:type="pct"/>
        <w:tblLook w:val="0020" w:firstRow="1" w:lastRow="0" w:firstColumn="0" w:lastColumn="0" w:noHBand="0" w:noVBand="0"/>
      </w:tblPr>
      <w:tblGrid>
        <w:gridCol w:w="2336"/>
        <w:gridCol w:w="7292"/>
      </w:tblGrid>
      <w:tr w:rsidR="00A6282D" w:rsidRPr="002821F5" w14:paraId="7EB6E176" w14:textId="77777777" w:rsidTr="002B6AC1">
        <w:trPr>
          <w:cnfStyle w:val="100000000000" w:firstRow="1" w:lastRow="0" w:firstColumn="0" w:lastColumn="0" w:oddVBand="0" w:evenVBand="0" w:oddHBand="0" w:evenHBand="0" w:firstRowFirstColumn="0" w:firstRowLastColumn="0" w:lastRowFirstColumn="0" w:lastRowLastColumn="0"/>
          <w:cantSplit/>
          <w:tblHeader/>
        </w:trPr>
        <w:tc>
          <w:tcPr>
            <w:tcW w:w="1213" w:type="pct"/>
          </w:tcPr>
          <w:p w14:paraId="353CA090" w14:textId="4E527386" w:rsidR="00A6282D" w:rsidRPr="00A6282D" w:rsidRDefault="00A6282D" w:rsidP="00A6282D">
            <w:pPr>
              <w:pStyle w:val="TableText"/>
              <w:rPr>
                <w:b w:val="0"/>
                <w:color w:val="FF0000" w:themeColor="accent1"/>
              </w:rPr>
            </w:pPr>
            <w:r w:rsidRPr="00A6282D">
              <w:rPr>
                <w:rStyle w:val="Red"/>
                <w:color w:val="auto"/>
              </w:rPr>
              <w:t>Description of activity</w:t>
            </w:r>
          </w:p>
        </w:tc>
        <w:tc>
          <w:tcPr>
            <w:tcW w:w="3787" w:type="pct"/>
          </w:tcPr>
          <w:p w14:paraId="71E87AAB" w14:textId="4C26B06C" w:rsidR="00A6282D" w:rsidRPr="002821F5" w:rsidRDefault="00A6282D" w:rsidP="00F80574">
            <w:pPr>
              <w:pStyle w:val="TableText"/>
            </w:pPr>
            <w:r w:rsidRPr="002821F5">
              <w:t>Limits of activity</w:t>
            </w:r>
          </w:p>
        </w:tc>
      </w:tr>
      <w:tr w:rsidR="00A6282D" w:rsidRPr="002821F5" w14:paraId="0C9149BC" w14:textId="77777777" w:rsidTr="002B6AC1">
        <w:trPr>
          <w:cantSplit/>
        </w:trPr>
        <w:tc>
          <w:tcPr>
            <w:tcW w:w="1213" w:type="pct"/>
          </w:tcPr>
          <w:p w14:paraId="636FC575" w14:textId="6714BB8F" w:rsidR="00A6282D" w:rsidRPr="007C78C8" w:rsidRDefault="00A6282D" w:rsidP="00F80574">
            <w:pPr>
              <w:pStyle w:val="TableText"/>
              <w:rPr>
                <w:rFonts w:ascii="Arial" w:hAnsi="Arial"/>
              </w:rPr>
            </w:pPr>
            <w:r w:rsidRPr="4BB6F3FC">
              <w:rPr>
                <w:rStyle w:val="Blue"/>
                <w:color w:val="auto"/>
              </w:rPr>
              <w:t>The burial of human remains</w:t>
            </w:r>
            <w:r w:rsidR="00611784" w:rsidRPr="4BB6F3FC">
              <w:rPr>
                <w:rStyle w:val="Blue"/>
                <w:color w:val="auto"/>
              </w:rPr>
              <w:t>.</w:t>
            </w:r>
          </w:p>
        </w:tc>
        <w:tc>
          <w:tcPr>
            <w:tcW w:w="3787" w:type="pct"/>
          </w:tcPr>
          <w:p w14:paraId="02753A16" w14:textId="44591150" w:rsidR="00392DCD" w:rsidRPr="00A6282D" w:rsidRDefault="00A6282D" w:rsidP="002B6AC1">
            <w:r>
              <w:t>The number of burials per annum must be less than:</w:t>
            </w:r>
          </w:p>
          <w:p w14:paraId="7B2D76DF" w14:textId="50422C43" w:rsidR="00A6282D" w:rsidRPr="00A6282D" w:rsidRDefault="00596FED" w:rsidP="002B6AC1">
            <w:pPr>
              <w:pStyle w:val="ListParagraph"/>
              <w:numPr>
                <w:ilvl w:val="0"/>
                <w:numId w:val="24"/>
              </w:numPr>
            </w:pPr>
            <w:r>
              <w:t>100</w:t>
            </w:r>
            <w:r w:rsidR="00A6282D" w:rsidRPr="00A6282D">
              <w:t xml:space="preserve"> when located on strata which are a secondary B aquifer or secondary undifferentiated aquifer</w:t>
            </w:r>
          </w:p>
          <w:p w14:paraId="1A363C2E" w14:textId="08DB6B56" w:rsidR="00A6282D" w:rsidRPr="00A6282D" w:rsidRDefault="00596FED" w:rsidP="002B6AC1">
            <w:pPr>
              <w:pStyle w:val="ListParagraph"/>
              <w:numPr>
                <w:ilvl w:val="0"/>
                <w:numId w:val="24"/>
              </w:numPr>
            </w:pPr>
            <w:r>
              <w:t>50</w:t>
            </w:r>
            <w:r w:rsidR="00A6282D" w:rsidRPr="00A6282D">
              <w:t xml:space="preserve"> when located on strata which are a secondary A aquifer</w:t>
            </w:r>
          </w:p>
          <w:p w14:paraId="2DAF6B3B" w14:textId="093CCBA7" w:rsidR="00A6282D" w:rsidRDefault="00596FED" w:rsidP="002B6AC1">
            <w:pPr>
              <w:pStyle w:val="ListParagraph"/>
              <w:numPr>
                <w:ilvl w:val="0"/>
                <w:numId w:val="24"/>
              </w:numPr>
            </w:pPr>
            <w:r>
              <w:t>30</w:t>
            </w:r>
            <w:r w:rsidR="00A6282D" w:rsidRPr="00A6282D">
              <w:t xml:space="preserve"> when located on strata which are a principal aquifer</w:t>
            </w:r>
          </w:p>
          <w:p w14:paraId="4655EE60" w14:textId="73892166" w:rsidR="00BE6238" w:rsidRDefault="00BE6238" w:rsidP="002B6AC1">
            <w:pPr>
              <w:pStyle w:val="TableText"/>
              <w:spacing w:before="120" w:after="120"/>
            </w:pPr>
            <w:r>
              <w:t>There is no burial limit for cemeteries located on unproductive strata</w:t>
            </w:r>
          </w:p>
          <w:p w14:paraId="6419EA60" w14:textId="6E83836D" w:rsidR="00392DCD" w:rsidRDefault="00A6282D" w:rsidP="002B6AC1">
            <w:pPr>
              <w:pStyle w:val="TableText"/>
              <w:spacing w:before="120" w:after="120"/>
            </w:pPr>
            <w:r w:rsidRPr="00A6282D">
              <w:t xml:space="preserve">Where a cemetery is located on strata with different aquifer designations, the restrictions on number of burials per annum as described above apply to the area of the cemetery located on </w:t>
            </w:r>
            <w:r w:rsidR="001163FD">
              <w:t>strata with that</w:t>
            </w:r>
            <w:r w:rsidRPr="00A6282D">
              <w:t xml:space="preserve"> aquifer designation.</w:t>
            </w:r>
          </w:p>
          <w:p w14:paraId="7D12BEC4" w14:textId="0947A07E" w:rsidR="00DB287B" w:rsidRDefault="00392DCD" w:rsidP="002B6AC1">
            <w:pPr>
              <w:pStyle w:val="TableText"/>
              <w:spacing w:before="120" w:after="120"/>
            </w:pPr>
            <w:r w:rsidRPr="00C42021">
              <w:t>A burial must not be undertaken directly into groundwater or in an area susceptible to groundwater flooding</w:t>
            </w:r>
            <w:r>
              <w:t>.</w:t>
            </w:r>
          </w:p>
          <w:p w14:paraId="15EDA687" w14:textId="2DC6F6A3" w:rsidR="00DB287B" w:rsidRPr="00C42021" w:rsidRDefault="00927C2D" w:rsidP="002B6AC1">
            <w:pPr>
              <w:pStyle w:val="TableText"/>
              <w:spacing w:before="120" w:after="120"/>
            </w:pPr>
            <w:r w:rsidRPr="00C42021">
              <w:t>A grave must have at least 1 metre clearance between the base of the grave and the top of the water table.</w:t>
            </w:r>
          </w:p>
          <w:p w14:paraId="4C69DB3F" w14:textId="77777777" w:rsidR="00DB287B" w:rsidRPr="000A6747" w:rsidRDefault="005F5022" w:rsidP="002B6AC1">
            <w:pPr>
              <w:pStyle w:val="TableText"/>
              <w:spacing w:before="120" w:after="120"/>
              <w:rPr>
                <w:bCs/>
                <w:color w:val="0000FF" w:themeColor="accent3"/>
              </w:rPr>
            </w:pPr>
            <w:r w:rsidRPr="00C42021">
              <w:t>The cemetery must not have more than 2500 burials per hectare, in proportion to the total area of the new cemetery or extension.</w:t>
            </w:r>
          </w:p>
          <w:p w14:paraId="2B93F028" w14:textId="4EBD1153" w:rsidR="002E5203" w:rsidRPr="000A6747" w:rsidRDefault="00E66ACE" w:rsidP="002B6AC1">
            <w:pPr>
              <w:pStyle w:val="TableText"/>
              <w:spacing w:before="120" w:after="120"/>
              <w:rPr>
                <w:rStyle w:val="Blue"/>
                <w:bCs/>
              </w:rPr>
            </w:pPr>
            <w:r w:rsidRPr="000A6747">
              <w:rPr>
                <w:rStyle w:val="Blue"/>
                <w:bCs/>
                <w:color w:val="auto"/>
              </w:rPr>
              <w:t>A burial into bedrock must not take place if the overlying soil zone is greater than 2 metres in thickness.</w:t>
            </w:r>
          </w:p>
          <w:p w14:paraId="51F70540" w14:textId="2C22BB39" w:rsidR="00084A9E" w:rsidRPr="00084A9E" w:rsidRDefault="00084A9E" w:rsidP="002B6AC1">
            <w:pPr>
              <w:pStyle w:val="TableText"/>
              <w:spacing w:before="120" w:after="120"/>
              <w:rPr>
                <w:rStyle w:val="Blue"/>
                <w:bCs/>
              </w:rPr>
            </w:pPr>
            <w:r w:rsidRPr="00A30630">
              <w:t>Any activity relating to the burial must not cause pollution of surface water or groundwater.</w:t>
            </w:r>
          </w:p>
        </w:tc>
      </w:tr>
    </w:tbl>
    <w:p w14:paraId="7AAFD384" w14:textId="77777777" w:rsidR="00B44044" w:rsidRDefault="00B44044">
      <w:pPr>
        <w:spacing w:before="0" w:after="0" w:line="240" w:lineRule="auto"/>
      </w:pPr>
      <w:r>
        <w:br w:type="page"/>
      </w:r>
    </w:p>
    <w:p w14:paraId="2FF0C6BF" w14:textId="778047F7" w:rsidR="00A6282D" w:rsidRDefault="00DB287B" w:rsidP="00DB287B">
      <w:pPr>
        <w:pStyle w:val="Bullet0"/>
        <w:rPr>
          <w:sz w:val="32"/>
          <w:szCs w:val="26"/>
        </w:rPr>
      </w:pPr>
      <w:r>
        <w:rPr>
          <w:sz w:val="32"/>
          <w:szCs w:val="26"/>
        </w:rPr>
        <w:lastRenderedPageBreak/>
        <w:t>The site</w:t>
      </w:r>
    </w:p>
    <w:p w14:paraId="73DE5199" w14:textId="1199AC0F" w:rsidR="00DB287B" w:rsidRDefault="00DB287B" w:rsidP="00DB287B">
      <w:pPr>
        <w:pStyle w:val="Bullet1"/>
      </w:pPr>
      <w:r>
        <w:t>The burials shall take place within the cemetery development marked on the site plan attached to the permit.</w:t>
      </w:r>
    </w:p>
    <w:p w14:paraId="48A10C7C" w14:textId="5811B61E" w:rsidR="00DB287B" w:rsidRDefault="00DB287B" w:rsidP="00DB287B">
      <w:pPr>
        <w:pStyle w:val="Bullet1"/>
      </w:pPr>
      <w:r w:rsidRPr="00DB287B">
        <w:t xml:space="preserve">Burials must not take place within a </w:t>
      </w:r>
      <w:r w:rsidR="00ED5C8E">
        <w:t xml:space="preserve">groundwater </w:t>
      </w:r>
      <w:r w:rsidRPr="00D80864">
        <w:t>Source Protection Zone</w:t>
      </w:r>
      <w:r w:rsidR="00913665" w:rsidRPr="00D80864">
        <w:t xml:space="preserve"> 1</w:t>
      </w:r>
      <w:r w:rsidR="00CB2BB6">
        <w:t xml:space="preserve"> (SPZ1)</w:t>
      </w:r>
      <w:r w:rsidR="00BE6238">
        <w:t>, Source Protection Zone 2</w:t>
      </w:r>
      <w:r w:rsidR="00CB2BB6">
        <w:t xml:space="preserve"> (SPZ2)</w:t>
      </w:r>
      <w:r w:rsidR="00BE6238">
        <w:t>, or Source Protection Zone 3</w:t>
      </w:r>
      <w:r w:rsidR="00CB2BB6">
        <w:t xml:space="preserve"> (SPZ3)</w:t>
      </w:r>
      <w:r w:rsidRPr="00DB287B">
        <w:t>.</w:t>
      </w:r>
    </w:p>
    <w:p w14:paraId="0F54070A" w14:textId="16DF6C45" w:rsidR="00DB287B" w:rsidRDefault="00DB287B" w:rsidP="00927C2D">
      <w:pPr>
        <w:pStyle w:val="Bullet1"/>
      </w:pPr>
      <w:r>
        <w:t>A burial within a cemetery must not be within 10 metres of any field drain, including any dry ditch.</w:t>
      </w:r>
    </w:p>
    <w:p w14:paraId="57B63569" w14:textId="77777777" w:rsidR="00DB287B" w:rsidRDefault="00DB287B" w:rsidP="00DB287B">
      <w:pPr>
        <w:pStyle w:val="Bullet1"/>
      </w:pPr>
      <w:r>
        <w:t>A burial must not be within 30 metres of any spring or watercourse.</w:t>
      </w:r>
    </w:p>
    <w:p w14:paraId="042BD796" w14:textId="3A8494B6" w:rsidR="00DB287B" w:rsidRDefault="00DB287B" w:rsidP="00DB287B">
      <w:pPr>
        <w:pStyle w:val="Bullet1"/>
      </w:pPr>
      <w:r>
        <w:t xml:space="preserve">A burial must not be in, or within 50 metres of, </w:t>
      </w:r>
      <w:r w:rsidR="00C86264" w:rsidRPr="005B2BE5">
        <w:t>a wetland designated as a European site</w:t>
      </w:r>
      <w:r>
        <w:t>, Ramsar site</w:t>
      </w:r>
      <w:r w:rsidR="000F616C">
        <w:t>, Local Nature Reserve</w:t>
      </w:r>
      <w:r w:rsidR="4EF832C8">
        <w:t xml:space="preserve"> </w:t>
      </w:r>
      <w:r w:rsidR="000F616C">
        <w:t>(LNR)</w:t>
      </w:r>
      <w:r>
        <w:t xml:space="preserve"> or biological Site of Special Scientific Interest (SSSI)</w:t>
      </w:r>
      <w:r w:rsidR="7CEDC244">
        <w:t xml:space="preserve"> </w:t>
      </w:r>
      <w:r>
        <w:t xml:space="preserve">and must not be in an </w:t>
      </w:r>
      <w:r w:rsidR="008066D6">
        <w:t>a</w:t>
      </w:r>
      <w:r>
        <w:t xml:space="preserve">ncient </w:t>
      </w:r>
      <w:r w:rsidR="008066D6">
        <w:t>w</w:t>
      </w:r>
      <w:r>
        <w:t>oodland.</w:t>
      </w:r>
    </w:p>
    <w:p w14:paraId="47D00A29" w14:textId="4F5EEF3C" w:rsidR="00DB287B" w:rsidRDefault="00DB287B" w:rsidP="00DB287B">
      <w:pPr>
        <w:pStyle w:val="Bullet1"/>
      </w:pPr>
      <w:r>
        <w:t>The cemetery must not be located within 250 metres of any well, spring or borehole that is used to supply water for domestic or food production purposes.</w:t>
      </w:r>
    </w:p>
    <w:p w14:paraId="5DD18B19" w14:textId="4AD23092" w:rsidR="00927C2D" w:rsidRDefault="00927C2D" w:rsidP="00927C2D">
      <w:pPr>
        <w:pStyle w:val="Bullet"/>
      </w:pPr>
      <w:r w:rsidRPr="002821F5">
        <w:t>Emissions and monitoring</w:t>
      </w:r>
    </w:p>
    <w:p w14:paraId="6D00ED78" w14:textId="6BAE5E69" w:rsidR="006E6C75" w:rsidRDefault="006E6C75" w:rsidP="006E6C75">
      <w:pPr>
        <w:pStyle w:val="Bullet0"/>
        <w:rPr>
          <w:sz w:val="32"/>
          <w:szCs w:val="26"/>
        </w:rPr>
      </w:pPr>
      <w:r>
        <w:rPr>
          <w:sz w:val="32"/>
          <w:szCs w:val="26"/>
        </w:rPr>
        <w:t>Emissions to water</w:t>
      </w:r>
    </w:p>
    <w:p w14:paraId="7136C1BA" w14:textId="6AADD55D" w:rsidR="006E6C75" w:rsidRDefault="006E6C75" w:rsidP="006E6C75">
      <w:pPr>
        <w:pStyle w:val="Bullet1"/>
      </w:pPr>
      <w:r w:rsidRPr="006E6C75">
        <w:t>The limits given in tab</w:t>
      </w:r>
      <w:r>
        <w:t>l</w:t>
      </w:r>
      <w:r w:rsidRPr="006E6C75">
        <w:t>e</w:t>
      </w:r>
      <w:r>
        <w:t xml:space="preserve"> S3.1 shall not be exceeded.</w:t>
      </w:r>
    </w:p>
    <w:p w14:paraId="6C3C396F" w14:textId="35D13AA1" w:rsidR="00B44044" w:rsidRPr="002B6AC1" w:rsidRDefault="00B44044" w:rsidP="00DD458A">
      <w:pPr>
        <w:pStyle w:val="Bullet1"/>
        <w:numPr>
          <w:ilvl w:val="0"/>
          <w:numId w:val="0"/>
        </w:numPr>
        <w:rPr>
          <w:b/>
          <w:bCs w:val="0"/>
        </w:rPr>
      </w:pPr>
      <w:r w:rsidRPr="002B6AC1">
        <w:rPr>
          <w:b/>
          <w:bCs w:val="0"/>
        </w:rPr>
        <w:t>Table S3.1 Point Source emission to groundwater – emission limits and monitoring requirements</w:t>
      </w:r>
    </w:p>
    <w:tbl>
      <w:tblPr>
        <w:tblStyle w:val="TableGrid"/>
        <w:tblW w:w="5000" w:type="pct"/>
        <w:tblLook w:val="0020" w:firstRow="1" w:lastRow="0" w:firstColumn="0" w:lastColumn="0" w:noHBand="0" w:noVBand="0"/>
      </w:tblPr>
      <w:tblGrid>
        <w:gridCol w:w="1694"/>
        <w:gridCol w:w="1437"/>
        <w:gridCol w:w="3851"/>
        <w:gridCol w:w="2646"/>
      </w:tblGrid>
      <w:tr w:rsidR="009B4609" w:rsidRPr="002821F5" w14:paraId="0D51A97D" w14:textId="77777777" w:rsidTr="0064641C">
        <w:trPr>
          <w:cnfStyle w:val="100000000000" w:firstRow="1" w:lastRow="0" w:firstColumn="0" w:lastColumn="0" w:oddVBand="0" w:evenVBand="0" w:oddHBand="0" w:evenHBand="0" w:firstRowFirstColumn="0" w:firstRowLastColumn="0" w:lastRowFirstColumn="0" w:lastRowLastColumn="0"/>
          <w:cantSplit/>
          <w:tblHeader/>
        </w:trPr>
        <w:tc>
          <w:tcPr>
            <w:tcW w:w="880" w:type="pct"/>
          </w:tcPr>
          <w:p w14:paraId="0E124B4D" w14:textId="09587F88" w:rsidR="009B4609" w:rsidRPr="00A6282D" w:rsidRDefault="009B4609" w:rsidP="00F80574">
            <w:pPr>
              <w:pStyle w:val="TableText"/>
              <w:rPr>
                <w:b w:val="0"/>
                <w:color w:val="FF0000" w:themeColor="accent1"/>
              </w:rPr>
            </w:pPr>
            <w:r w:rsidRPr="009B4609">
              <w:rPr>
                <w:rStyle w:val="Red"/>
                <w:color w:val="auto"/>
              </w:rPr>
              <w:t>Emission point and source</w:t>
            </w:r>
          </w:p>
        </w:tc>
        <w:tc>
          <w:tcPr>
            <w:tcW w:w="746" w:type="pct"/>
          </w:tcPr>
          <w:p w14:paraId="1E61C82D" w14:textId="62463BBF" w:rsidR="009B4609" w:rsidRPr="002821F5" w:rsidRDefault="009B4609" w:rsidP="00F80574">
            <w:pPr>
              <w:pStyle w:val="TableText"/>
              <w:rPr>
                <w:b w:val="0"/>
              </w:rPr>
            </w:pPr>
            <w:r>
              <w:t>Parameter</w:t>
            </w:r>
          </w:p>
        </w:tc>
        <w:tc>
          <w:tcPr>
            <w:tcW w:w="2000" w:type="pct"/>
          </w:tcPr>
          <w:p w14:paraId="28491E8C" w14:textId="23EDD6CC" w:rsidR="009B4609" w:rsidRPr="002821F5" w:rsidRDefault="009B4609" w:rsidP="00F80574">
            <w:pPr>
              <w:pStyle w:val="TableText"/>
              <w:rPr>
                <w:b w:val="0"/>
              </w:rPr>
            </w:pPr>
            <w:r w:rsidRPr="007C548A">
              <w:rPr>
                <w:bCs/>
              </w:rPr>
              <w:t>L</w:t>
            </w:r>
            <w:r>
              <w:t>imit (including unit)</w:t>
            </w:r>
          </w:p>
        </w:tc>
        <w:tc>
          <w:tcPr>
            <w:tcW w:w="1374" w:type="pct"/>
          </w:tcPr>
          <w:p w14:paraId="6EDF7328" w14:textId="50C252AA" w:rsidR="009B4609" w:rsidRPr="002821F5" w:rsidRDefault="009B4609" w:rsidP="00F80574">
            <w:pPr>
              <w:pStyle w:val="TableText"/>
            </w:pPr>
            <w:r>
              <w:t>Monitoring frequency and standard or method</w:t>
            </w:r>
          </w:p>
        </w:tc>
      </w:tr>
      <w:tr w:rsidR="00611784" w:rsidRPr="002821F5" w14:paraId="1D80F9DA" w14:textId="77777777" w:rsidTr="00F80574">
        <w:trPr>
          <w:cantSplit/>
          <w:trHeight w:val="1270"/>
        </w:trPr>
        <w:tc>
          <w:tcPr>
            <w:tcW w:w="880" w:type="pct"/>
          </w:tcPr>
          <w:p w14:paraId="10DFDFE1" w14:textId="6C314A56" w:rsidR="00611784" w:rsidRPr="007C78C8" w:rsidRDefault="00611784" w:rsidP="00F80574">
            <w:pPr>
              <w:pStyle w:val="TableText"/>
              <w:rPr>
                <w:rFonts w:ascii="Arial" w:hAnsi="Arial"/>
              </w:rPr>
            </w:pPr>
            <w:r w:rsidRPr="00A6282D">
              <w:rPr>
                <w:rStyle w:val="Blue"/>
                <w:color w:val="auto"/>
              </w:rPr>
              <w:t>The burial of human remains</w:t>
            </w:r>
            <w:r>
              <w:rPr>
                <w:rStyle w:val="Blue"/>
                <w:color w:val="auto"/>
              </w:rPr>
              <w:t>.</w:t>
            </w:r>
          </w:p>
        </w:tc>
        <w:tc>
          <w:tcPr>
            <w:tcW w:w="746" w:type="pct"/>
          </w:tcPr>
          <w:p w14:paraId="0DB9535E" w14:textId="41240A2B" w:rsidR="00611784" w:rsidRPr="009B4609" w:rsidRDefault="00611784" w:rsidP="009B4609">
            <w:pPr>
              <w:pStyle w:val="TableText"/>
              <w:rPr>
                <w:rStyle w:val="Blue"/>
                <w:color w:val="auto"/>
              </w:rPr>
            </w:pPr>
            <w:r w:rsidRPr="009B4609">
              <w:rPr>
                <w:rStyle w:val="Blue"/>
                <w:color w:val="auto"/>
              </w:rPr>
              <w:t>Visual appearance and other environmental effects</w:t>
            </w:r>
          </w:p>
        </w:tc>
        <w:tc>
          <w:tcPr>
            <w:tcW w:w="2000" w:type="pct"/>
          </w:tcPr>
          <w:p w14:paraId="3219A753" w14:textId="53B744F7" w:rsidR="00611784" w:rsidRDefault="00611784" w:rsidP="00F80574">
            <w:pPr>
              <w:pStyle w:val="TableText"/>
            </w:pPr>
            <w:r>
              <w:t xml:space="preserve">Burials must so far as is reasonably practicable have no significant adverse visible effect on </w:t>
            </w:r>
            <w:r w:rsidR="00AA648D">
              <w:t>the water environment</w:t>
            </w:r>
            <w:r>
              <w:t>.</w:t>
            </w:r>
          </w:p>
        </w:tc>
        <w:tc>
          <w:tcPr>
            <w:tcW w:w="1374" w:type="pct"/>
          </w:tcPr>
          <w:p w14:paraId="45AD1EBC" w14:textId="2F117BFB" w:rsidR="00611784" w:rsidRPr="00A6282D" w:rsidRDefault="00611784" w:rsidP="00F80574">
            <w:pPr>
              <w:pStyle w:val="TableText"/>
              <w:rPr>
                <w:rStyle w:val="Blue"/>
                <w:color w:val="auto"/>
              </w:rPr>
            </w:pPr>
            <w:r>
              <w:rPr>
                <w:rStyle w:val="Blue"/>
                <w:color w:val="auto"/>
              </w:rPr>
              <w:t>See table 3.3</w:t>
            </w:r>
          </w:p>
        </w:tc>
      </w:tr>
    </w:tbl>
    <w:p w14:paraId="627A01BD" w14:textId="2766DFC5" w:rsidR="009C71E8" w:rsidRDefault="009C71E8" w:rsidP="009C71E8">
      <w:pPr>
        <w:pStyle w:val="Bullet0"/>
        <w:rPr>
          <w:sz w:val="32"/>
          <w:szCs w:val="32"/>
        </w:rPr>
      </w:pPr>
      <w:r w:rsidRPr="29C4654C">
        <w:rPr>
          <w:sz w:val="32"/>
          <w:szCs w:val="32"/>
        </w:rPr>
        <w:t>Emissions of substances not controlled by emission limits</w:t>
      </w:r>
    </w:p>
    <w:p w14:paraId="59A17A92" w14:textId="05E83ECC" w:rsidR="009C71E8" w:rsidRPr="002821F5" w:rsidRDefault="009C71E8" w:rsidP="009C71E8">
      <w:pPr>
        <w:pStyle w:val="Bullet1"/>
      </w:pPr>
      <w:r w:rsidRPr="002821F5">
        <w:t xml:space="preserve">For the </w:t>
      </w:r>
      <w:r w:rsidRPr="009C71E8">
        <w:t>activit</w:t>
      </w:r>
      <w:r>
        <w:rPr>
          <w:rStyle w:val="Red"/>
          <w:color w:val="auto"/>
        </w:rPr>
        <w:t xml:space="preserve">y </w:t>
      </w:r>
      <w:r w:rsidRPr="009C71E8">
        <w:t>referenced</w:t>
      </w:r>
      <w:r w:rsidRPr="002821F5">
        <w:t xml:space="preserve"> in </w:t>
      </w:r>
      <w:r>
        <w:t>Table 2.1,</w:t>
      </w:r>
      <w:r w:rsidRPr="002821F5">
        <w:t xml:space="preserve"> the operator shall take appropriate measures as far as is reasonably practicable:</w:t>
      </w:r>
    </w:p>
    <w:p w14:paraId="22E82A1A" w14:textId="77777777" w:rsidR="009C71E8" w:rsidRPr="002821F5" w:rsidRDefault="009C71E8" w:rsidP="009C71E8">
      <w:pPr>
        <w:pStyle w:val="aBullet"/>
      </w:pPr>
      <w:r w:rsidRPr="002821F5">
        <w:t>to prevent the input of hazardous substances to groundwater; and</w:t>
      </w:r>
    </w:p>
    <w:p w14:paraId="30A34303" w14:textId="4CC3B481" w:rsidR="009C71E8" w:rsidRPr="009C71E8" w:rsidRDefault="009C71E8" w:rsidP="009C71E8">
      <w:pPr>
        <w:pStyle w:val="aBullet"/>
      </w:pPr>
      <w:r>
        <w:t xml:space="preserve">to limit the input of such non-hazardous pollutants to groundwater so as to ensure that inputs do not cause pollution of groundwater. </w:t>
      </w:r>
    </w:p>
    <w:p w14:paraId="68137513" w14:textId="28F88E5B" w:rsidR="0064641C" w:rsidRDefault="0064641C" w:rsidP="0064641C">
      <w:pPr>
        <w:pStyle w:val="Bullet0"/>
        <w:rPr>
          <w:sz w:val="32"/>
          <w:szCs w:val="26"/>
        </w:rPr>
      </w:pPr>
      <w:r>
        <w:rPr>
          <w:sz w:val="32"/>
          <w:szCs w:val="26"/>
        </w:rPr>
        <w:t>Monitoring</w:t>
      </w:r>
    </w:p>
    <w:p w14:paraId="6869E92F" w14:textId="18E9BC82" w:rsidR="0064641C" w:rsidRDefault="0064641C" w:rsidP="0064641C">
      <w:pPr>
        <w:pStyle w:val="Bullet1"/>
      </w:pPr>
      <w:r>
        <w:t xml:space="preserve">The operator shall, unless otherwise agreed in writing by the Environment Agency, undertake monitoring for the parameters, at the locations and at not less than the frequencies specified in table </w:t>
      </w:r>
      <w:r w:rsidR="00690990">
        <w:t>S</w:t>
      </w:r>
      <w:r>
        <w:t>3.3.</w:t>
      </w:r>
    </w:p>
    <w:p w14:paraId="7B33969D" w14:textId="65E7CFCB" w:rsidR="00CB6F09" w:rsidRDefault="0064641C" w:rsidP="00611784">
      <w:pPr>
        <w:pStyle w:val="Bullet1"/>
      </w:pPr>
      <w:r>
        <w:t>The operator shall maintain records of all monitoring required by these standard rules.</w:t>
      </w:r>
    </w:p>
    <w:p w14:paraId="091B81BB" w14:textId="50AFCECE" w:rsidR="00B44044" w:rsidRDefault="00B44044">
      <w:pPr>
        <w:spacing w:before="0" w:after="0" w:line="240" w:lineRule="auto"/>
        <w:rPr>
          <w:rFonts w:asciiTheme="majorHAnsi" w:eastAsiaTheme="majorEastAsia" w:hAnsiTheme="majorHAnsi" w:cstheme="majorBidi"/>
          <w:bCs/>
        </w:rPr>
      </w:pPr>
      <w:r>
        <w:br w:type="page"/>
      </w:r>
    </w:p>
    <w:p w14:paraId="039D9400" w14:textId="1994E2F8" w:rsidR="00611784" w:rsidRPr="002B6AC1" w:rsidRDefault="00B44044" w:rsidP="00611784">
      <w:pPr>
        <w:pStyle w:val="Bullet1"/>
        <w:numPr>
          <w:ilvl w:val="0"/>
          <w:numId w:val="0"/>
        </w:numPr>
        <w:rPr>
          <w:b/>
          <w:bCs w:val="0"/>
        </w:rPr>
      </w:pPr>
      <w:r w:rsidRPr="002B6AC1">
        <w:rPr>
          <w:b/>
          <w:bCs w:val="0"/>
        </w:rPr>
        <w:lastRenderedPageBreak/>
        <w:t>Table S3.3 Activities – monitoring requirements</w:t>
      </w:r>
    </w:p>
    <w:tbl>
      <w:tblPr>
        <w:tblStyle w:val="TableGrid"/>
        <w:tblW w:w="5000" w:type="pct"/>
        <w:tblLook w:val="0020" w:firstRow="1" w:lastRow="0" w:firstColumn="0" w:lastColumn="0" w:noHBand="0" w:noVBand="0"/>
      </w:tblPr>
      <w:tblGrid>
        <w:gridCol w:w="2065"/>
        <w:gridCol w:w="1531"/>
        <w:gridCol w:w="1619"/>
        <w:gridCol w:w="1727"/>
        <w:gridCol w:w="2686"/>
      </w:tblGrid>
      <w:tr w:rsidR="00F64BD0" w:rsidRPr="002821F5" w14:paraId="1EDD50E1" w14:textId="42504EE9" w:rsidTr="00DD458A">
        <w:trPr>
          <w:cnfStyle w:val="100000000000" w:firstRow="1" w:lastRow="0" w:firstColumn="0" w:lastColumn="0" w:oddVBand="0" w:evenVBand="0" w:oddHBand="0" w:evenHBand="0" w:firstRowFirstColumn="0" w:firstRowLastColumn="0" w:lastRowFirstColumn="0" w:lastRowLastColumn="0"/>
          <w:cantSplit/>
          <w:tblHeader/>
        </w:trPr>
        <w:tc>
          <w:tcPr>
            <w:tcW w:w="1072" w:type="pct"/>
          </w:tcPr>
          <w:p w14:paraId="407E19FA" w14:textId="44E9D9C5" w:rsidR="00F64BD0" w:rsidRPr="00A6282D" w:rsidRDefault="00F64BD0" w:rsidP="00F80574">
            <w:pPr>
              <w:pStyle w:val="TableText"/>
              <w:rPr>
                <w:b w:val="0"/>
                <w:color w:val="FF0000" w:themeColor="accent1"/>
              </w:rPr>
            </w:pPr>
            <w:r w:rsidRPr="00F64BD0">
              <w:rPr>
                <w:rStyle w:val="Red"/>
                <w:color w:val="auto"/>
              </w:rPr>
              <w:t>Monitoring point</w:t>
            </w:r>
          </w:p>
        </w:tc>
        <w:tc>
          <w:tcPr>
            <w:tcW w:w="795" w:type="pct"/>
          </w:tcPr>
          <w:p w14:paraId="40B75A32" w14:textId="77777777" w:rsidR="00F64BD0" w:rsidRPr="002821F5" w:rsidRDefault="00F64BD0" w:rsidP="00F80574">
            <w:pPr>
              <w:pStyle w:val="TableText"/>
              <w:rPr>
                <w:b w:val="0"/>
              </w:rPr>
            </w:pPr>
            <w:r>
              <w:t>Parameter</w:t>
            </w:r>
          </w:p>
        </w:tc>
        <w:tc>
          <w:tcPr>
            <w:tcW w:w="841" w:type="pct"/>
          </w:tcPr>
          <w:p w14:paraId="550C09DA" w14:textId="131DCE96" w:rsidR="00F64BD0" w:rsidRPr="002821F5" w:rsidRDefault="00F64BD0" w:rsidP="00F80574">
            <w:pPr>
              <w:pStyle w:val="TableText"/>
              <w:rPr>
                <w:b w:val="0"/>
              </w:rPr>
            </w:pPr>
            <w:r>
              <w:rPr>
                <w:bCs/>
              </w:rPr>
              <w:t>Monitoring frequency</w:t>
            </w:r>
          </w:p>
        </w:tc>
        <w:tc>
          <w:tcPr>
            <w:tcW w:w="897" w:type="pct"/>
          </w:tcPr>
          <w:p w14:paraId="49E2DA4B" w14:textId="08261046" w:rsidR="00F64BD0" w:rsidRPr="002821F5" w:rsidRDefault="00F64BD0" w:rsidP="00F80574">
            <w:pPr>
              <w:pStyle w:val="TableText"/>
            </w:pPr>
            <w:r>
              <w:t>Monitoring method</w:t>
            </w:r>
          </w:p>
        </w:tc>
        <w:tc>
          <w:tcPr>
            <w:tcW w:w="1395" w:type="pct"/>
          </w:tcPr>
          <w:p w14:paraId="1DF00787" w14:textId="5B932E79" w:rsidR="00F64BD0" w:rsidRDefault="00F64BD0" w:rsidP="00F80574">
            <w:pPr>
              <w:pStyle w:val="TableText"/>
            </w:pPr>
            <w:r>
              <w:t>Other specifications</w:t>
            </w:r>
          </w:p>
        </w:tc>
      </w:tr>
      <w:tr w:rsidR="00F64BD0" w:rsidRPr="002821F5" w14:paraId="1E63F4B8" w14:textId="62575CB8" w:rsidTr="00DD458A">
        <w:trPr>
          <w:cantSplit/>
        </w:trPr>
        <w:tc>
          <w:tcPr>
            <w:tcW w:w="1072" w:type="pct"/>
          </w:tcPr>
          <w:p w14:paraId="2B749537" w14:textId="7BAFCD98" w:rsidR="00F64BD0" w:rsidRPr="007C78C8" w:rsidRDefault="006709A5" w:rsidP="00F80574">
            <w:pPr>
              <w:pStyle w:val="TableText"/>
              <w:rPr>
                <w:rFonts w:ascii="Arial" w:hAnsi="Arial"/>
              </w:rPr>
            </w:pPr>
            <w:r w:rsidRPr="003817BA">
              <w:rPr>
                <w:rStyle w:val="Blue"/>
                <w:color w:val="auto"/>
              </w:rPr>
              <w:t>A</w:t>
            </w:r>
            <w:r w:rsidR="008E2C0D">
              <w:rPr>
                <w:rStyle w:val="Blue"/>
                <w:color w:val="auto"/>
              </w:rPr>
              <w:t>n</w:t>
            </w:r>
            <w:r w:rsidR="008E2C0D" w:rsidRPr="000A6747">
              <w:rPr>
                <w:rStyle w:val="Blue"/>
                <w:color w:val="auto"/>
              </w:rPr>
              <w:t>y</w:t>
            </w:r>
            <w:r w:rsidRPr="003817BA">
              <w:rPr>
                <w:rStyle w:val="Blue"/>
                <w:color w:val="auto"/>
              </w:rPr>
              <w:t xml:space="preserve"> </w:t>
            </w:r>
            <w:r w:rsidR="008A3C4E" w:rsidRPr="000A6747">
              <w:rPr>
                <w:rStyle w:val="Blue"/>
                <w:color w:val="auto"/>
              </w:rPr>
              <w:t>water features</w:t>
            </w:r>
            <w:r w:rsidRPr="003817BA">
              <w:rPr>
                <w:rStyle w:val="Blue"/>
                <w:color w:val="auto"/>
              </w:rPr>
              <w:t xml:space="preserve"> within the </w:t>
            </w:r>
            <w:r w:rsidR="008A3C4E" w:rsidRPr="003817BA">
              <w:rPr>
                <w:rStyle w:val="Blue"/>
                <w:color w:val="auto"/>
              </w:rPr>
              <w:t>b</w:t>
            </w:r>
            <w:r w:rsidR="008A3C4E" w:rsidRPr="000A6747">
              <w:rPr>
                <w:rStyle w:val="Blue"/>
                <w:color w:val="auto"/>
              </w:rPr>
              <w:t xml:space="preserve">oundary of the </w:t>
            </w:r>
            <w:r w:rsidRPr="003817BA">
              <w:rPr>
                <w:rStyle w:val="Blue"/>
                <w:color w:val="auto"/>
              </w:rPr>
              <w:t>cemetery site.</w:t>
            </w:r>
          </w:p>
        </w:tc>
        <w:tc>
          <w:tcPr>
            <w:tcW w:w="795" w:type="pct"/>
          </w:tcPr>
          <w:p w14:paraId="328D31C7" w14:textId="77777777" w:rsidR="00F64BD0" w:rsidRPr="009B4609" w:rsidRDefault="00F64BD0" w:rsidP="00F80574">
            <w:pPr>
              <w:pStyle w:val="TableText"/>
              <w:rPr>
                <w:rStyle w:val="Blue"/>
                <w:color w:val="auto"/>
              </w:rPr>
            </w:pPr>
            <w:r w:rsidRPr="009B4609">
              <w:rPr>
                <w:rStyle w:val="Blue"/>
                <w:color w:val="auto"/>
              </w:rPr>
              <w:t>Visual appearance and other environmental effects</w:t>
            </w:r>
          </w:p>
        </w:tc>
        <w:tc>
          <w:tcPr>
            <w:tcW w:w="841" w:type="pct"/>
          </w:tcPr>
          <w:p w14:paraId="6DBB6E1D" w14:textId="5659B36D" w:rsidR="00F64BD0" w:rsidRDefault="00F64BD0" w:rsidP="00F80574">
            <w:pPr>
              <w:pStyle w:val="TableText"/>
            </w:pPr>
            <w:r>
              <w:t>Weekly</w:t>
            </w:r>
          </w:p>
        </w:tc>
        <w:tc>
          <w:tcPr>
            <w:tcW w:w="897" w:type="pct"/>
          </w:tcPr>
          <w:p w14:paraId="4A7C5209" w14:textId="04B6B094" w:rsidR="00F64BD0" w:rsidRPr="00A6282D" w:rsidRDefault="00F64BD0" w:rsidP="00F80574">
            <w:pPr>
              <w:pStyle w:val="TableText"/>
              <w:rPr>
                <w:rStyle w:val="Blue"/>
                <w:color w:val="auto"/>
              </w:rPr>
            </w:pPr>
            <w:r>
              <w:rPr>
                <w:rStyle w:val="Blue"/>
                <w:color w:val="auto"/>
              </w:rPr>
              <w:t>Visual examination</w:t>
            </w:r>
          </w:p>
        </w:tc>
        <w:tc>
          <w:tcPr>
            <w:tcW w:w="1395" w:type="pct"/>
          </w:tcPr>
          <w:p w14:paraId="4C8CF993" w14:textId="33F493F0" w:rsidR="00F64BD0" w:rsidRDefault="006709A5" w:rsidP="00F80574">
            <w:pPr>
              <w:pStyle w:val="TableText"/>
              <w:rPr>
                <w:rStyle w:val="Blue"/>
                <w:color w:val="auto"/>
              </w:rPr>
            </w:pPr>
            <w:r>
              <w:t>Burials must so far as is reasonably practicable have no significant adverse visible effect on the water environment.</w:t>
            </w:r>
          </w:p>
        </w:tc>
      </w:tr>
    </w:tbl>
    <w:p w14:paraId="4E38EA90" w14:textId="315EE70E" w:rsidR="00A6282D" w:rsidRDefault="00E4655B" w:rsidP="00E4655B">
      <w:pPr>
        <w:pStyle w:val="Bullet"/>
      </w:pPr>
      <w:r>
        <w:t>Information</w:t>
      </w:r>
    </w:p>
    <w:p w14:paraId="20D2D888" w14:textId="051F97A4" w:rsidR="00E4655B" w:rsidRDefault="00E4655B" w:rsidP="00E4655B">
      <w:pPr>
        <w:pStyle w:val="Bullet0"/>
        <w:rPr>
          <w:sz w:val="32"/>
          <w:szCs w:val="26"/>
        </w:rPr>
      </w:pPr>
      <w:r w:rsidRPr="00E4655B">
        <w:rPr>
          <w:sz w:val="32"/>
          <w:szCs w:val="26"/>
        </w:rPr>
        <w:t>Records</w:t>
      </w:r>
    </w:p>
    <w:p w14:paraId="4D65C9BB" w14:textId="77777777" w:rsidR="00E4655B" w:rsidRDefault="00E4655B" w:rsidP="00E4655B">
      <w:pPr>
        <w:pStyle w:val="Bullet1"/>
      </w:pPr>
      <w:r w:rsidRPr="00E4655B">
        <w:t>All records required to be made by conditions 3.3.2 and 4.3.2 shall:</w:t>
      </w:r>
    </w:p>
    <w:p w14:paraId="29B0B0A7" w14:textId="77777777" w:rsidR="00E4655B" w:rsidRDefault="00E4655B" w:rsidP="00E4655B">
      <w:pPr>
        <w:pStyle w:val="Bullet1"/>
        <w:numPr>
          <w:ilvl w:val="0"/>
          <w:numId w:val="0"/>
        </w:numPr>
        <w:ind w:left="680"/>
      </w:pPr>
      <w:r>
        <w:t>(a) be legible;</w:t>
      </w:r>
    </w:p>
    <w:p w14:paraId="12DECE8E" w14:textId="77777777" w:rsidR="00E4655B" w:rsidRDefault="00E4655B" w:rsidP="00E4655B">
      <w:pPr>
        <w:pStyle w:val="Bullet1"/>
        <w:numPr>
          <w:ilvl w:val="0"/>
          <w:numId w:val="0"/>
        </w:numPr>
        <w:ind w:left="680"/>
      </w:pPr>
      <w:r>
        <w:t>(b) be made as soon as reasonably practicable;</w:t>
      </w:r>
    </w:p>
    <w:p w14:paraId="1562D4F8" w14:textId="77777777" w:rsidR="00E4655B" w:rsidRDefault="00E4655B" w:rsidP="00E4655B">
      <w:pPr>
        <w:pStyle w:val="Bullet1"/>
        <w:numPr>
          <w:ilvl w:val="0"/>
          <w:numId w:val="0"/>
        </w:numPr>
        <w:ind w:left="680"/>
      </w:pPr>
      <w:r>
        <w:t>(c) if amended, be amended in such a way that the original and any subsequent amendments remain legible, or are capable of retrieval; and</w:t>
      </w:r>
    </w:p>
    <w:p w14:paraId="7B3E1CF5" w14:textId="3618A5D2" w:rsidR="00E4655B" w:rsidRDefault="00E4655B" w:rsidP="00E4655B">
      <w:pPr>
        <w:pStyle w:val="Bullet1"/>
        <w:numPr>
          <w:ilvl w:val="0"/>
          <w:numId w:val="0"/>
        </w:numPr>
        <w:ind w:left="680"/>
      </w:pPr>
      <w:r>
        <w:t>(d) be retained, unless otherwise agreed in writing by the Environment Agency, for at least 6 years from the date when the records were made.</w:t>
      </w:r>
    </w:p>
    <w:p w14:paraId="28092248" w14:textId="6A9E278D" w:rsidR="00E4655B" w:rsidRPr="00E4655B" w:rsidRDefault="00E4655B" w:rsidP="00E4655B">
      <w:pPr>
        <w:pStyle w:val="Bullet1"/>
      </w:pPr>
      <w:r>
        <w:t>The operator shall maintain convenient access, in either electronic or hard copy, to the records, plan and management system required to be maintained by these standard rules.</w:t>
      </w:r>
    </w:p>
    <w:p w14:paraId="0304488F" w14:textId="5724421F" w:rsidR="00E4655B" w:rsidRPr="00E4655B" w:rsidRDefault="00E4655B" w:rsidP="00E4655B">
      <w:pPr>
        <w:pStyle w:val="Bullet0"/>
        <w:rPr>
          <w:sz w:val="32"/>
          <w:szCs w:val="26"/>
        </w:rPr>
      </w:pPr>
      <w:r w:rsidRPr="00E4655B">
        <w:rPr>
          <w:sz w:val="32"/>
          <w:szCs w:val="26"/>
        </w:rPr>
        <w:t>Reporting</w:t>
      </w:r>
    </w:p>
    <w:p w14:paraId="23A99EB1" w14:textId="4379D3F2" w:rsidR="00E4655B" w:rsidRDefault="00E4655B" w:rsidP="00E4655B">
      <w:pPr>
        <w:pStyle w:val="Bullet1"/>
      </w:pPr>
      <w:r>
        <w:t>The operator shall send all reports and notifications required by these standard rules to the Environment Agency using the contact details supplied in writing by the Environment Agency.</w:t>
      </w:r>
    </w:p>
    <w:p w14:paraId="1F22654C" w14:textId="3C10ACE7" w:rsidR="00E4655B" w:rsidRPr="00E4655B" w:rsidRDefault="00E4655B" w:rsidP="00E4655B">
      <w:pPr>
        <w:pStyle w:val="Bullet0"/>
        <w:rPr>
          <w:sz w:val="32"/>
          <w:szCs w:val="26"/>
        </w:rPr>
      </w:pPr>
      <w:r w:rsidRPr="00E4655B">
        <w:rPr>
          <w:sz w:val="32"/>
          <w:szCs w:val="26"/>
        </w:rPr>
        <w:t>Notifications</w:t>
      </w:r>
    </w:p>
    <w:p w14:paraId="5D507571" w14:textId="77777777" w:rsidR="00E4655B" w:rsidRDefault="00E4655B" w:rsidP="00E4655B">
      <w:pPr>
        <w:pStyle w:val="Bullet1"/>
      </w:pPr>
      <w:r>
        <w:t>The Environment Agency shall be notified as soon as reasonably practicable following detection, within the site of the regulated facility of:</w:t>
      </w:r>
    </w:p>
    <w:p w14:paraId="5CBC753D" w14:textId="7385ABA6" w:rsidR="00E4655B" w:rsidRDefault="00E4655B" w:rsidP="00CF7701">
      <w:pPr>
        <w:pStyle w:val="aBullet"/>
      </w:pPr>
      <w:r>
        <w:t>any malfunction, breakdown or failure of equipment or techniques, accident, or emission of a substance not controlled by an emission limit which has caused, is causing or may cause significant pollution; and any breach of a limit specified in these standard rules. Any other significant adverse environmental effects, which may have been caused by the activity, shall also be notified to the Environment Agency as soon as reasonably practicable following detection.</w:t>
      </w:r>
    </w:p>
    <w:p w14:paraId="7D843D33" w14:textId="13125FCE" w:rsidR="00E4655B" w:rsidRDefault="00E4655B" w:rsidP="00CF7701">
      <w:pPr>
        <w:pStyle w:val="Bullet1"/>
      </w:pPr>
      <w:r>
        <w:t>Written confirmation of actual or potential pollution incidents and breaches of emission limits shall be submitted within 24 hours.</w:t>
      </w:r>
    </w:p>
    <w:p w14:paraId="24D6552A" w14:textId="77777777" w:rsidR="00CF7701" w:rsidRDefault="00E4655B" w:rsidP="00CF7701">
      <w:pPr>
        <w:pStyle w:val="Bullet1"/>
      </w:pPr>
      <w:r>
        <w:t>The Environment Agency shall be notified within 14 days of the occurrence of the following matters, except where such disclosure is prohibited by Stock Exchange rules:</w:t>
      </w:r>
    </w:p>
    <w:p w14:paraId="4BA2E05B" w14:textId="77777777" w:rsidR="00CF7701" w:rsidRDefault="00E4655B" w:rsidP="00CF7701">
      <w:pPr>
        <w:pStyle w:val="Bullet1"/>
        <w:numPr>
          <w:ilvl w:val="0"/>
          <w:numId w:val="0"/>
        </w:numPr>
        <w:ind w:left="680"/>
      </w:pPr>
      <w:r>
        <w:t>Where the operator is a registered company:</w:t>
      </w:r>
    </w:p>
    <w:p w14:paraId="5A1DFA05" w14:textId="77777777" w:rsidR="00CF7701" w:rsidRDefault="00E4655B" w:rsidP="00CF7701">
      <w:pPr>
        <w:pStyle w:val="Bullet1"/>
        <w:numPr>
          <w:ilvl w:val="0"/>
          <w:numId w:val="0"/>
        </w:numPr>
        <w:ind w:left="680"/>
      </w:pPr>
      <w:r>
        <w:t>(a) any change in the operator’s trading name, registered name or registered office address; and</w:t>
      </w:r>
    </w:p>
    <w:p w14:paraId="53DEAF8C" w14:textId="77777777" w:rsidR="00CF7701" w:rsidRDefault="00E4655B" w:rsidP="00CF7701">
      <w:pPr>
        <w:pStyle w:val="Bullet1"/>
        <w:numPr>
          <w:ilvl w:val="0"/>
          <w:numId w:val="0"/>
        </w:numPr>
        <w:ind w:left="680"/>
      </w:pPr>
      <w:r>
        <w:t>(b) any steps taken with a view to the operator going into administration, entering into a company voluntary arrangement or being wound up.</w:t>
      </w:r>
    </w:p>
    <w:p w14:paraId="26CCE534" w14:textId="77777777" w:rsidR="00CF7701" w:rsidRDefault="00E4655B" w:rsidP="00CF7701">
      <w:pPr>
        <w:pStyle w:val="Bullet1"/>
        <w:numPr>
          <w:ilvl w:val="0"/>
          <w:numId w:val="0"/>
        </w:numPr>
        <w:ind w:left="680"/>
      </w:pPr>
      <w:r>
        <w:t>Where the operator is a corporate body other than a registered company:</w:t>
      </w:r>
    </w:p>
    <w:p w14:paraId="2668638F" w14:textId="77777777" w:rsidR="00CF7701" w:rsidRDefault="00E4655B" w:rsidP="00CF7701">
      <w:pPr>
        <w:pStyle w:val="Bullet1"/>
        <w:numPr>
          <w:ilvl w:val="0"/>
          <w:numId w:val="0"/>
        </w:numPr>
        <w:ind w:left="680"/>
      </w:pPr>
      <w:r>
        <w:lastRenderedPageBreak/>
        <w:t>(a) any change in the operator’s name or address; and</w:t>
      </w:r>
    </w:p>
    <w:p w14:paraId="1CA9F653" w14:textId="00AAD6B1" w:rsidR="00CF7701" w:rsidRDefault="00E4655B" w:rsidP="00CF7701">
      <w:pPr>
        <w:pStyle w:val="Bullet1"/>
        <w:numPr>
          <w:ilvl w:val="0"/>
          <w:numId w:val="0"/>
        </w:numPr>
        <w:ind w:left="680"/>
      </w:pPr>
      <w:r>
        <w:t>(b) any steps taken with a view to the dissolution of the operator.</w:t>
      </w:r>
    </w:p>
    <w:p w14:paraId="25EB1C83" w14:textId="226F388E" w:rsidR="00CF7701" w:rsidRDefault="00E4655B" w:rsidP="00CF7701">
      <w:pPr>
        <w:pStyle w:val="Bullet1"/>
      </w:pPr>
      <w:r>
        <w:t xml:space="preserve">Where the operator proposes to make a change in the nature of the activity by the addition of, or allowing the introduction of, a substance to the activity to an extent that the operator considers could have a significant adverse environmental effect on the </w:t>
      </w:r>
      <w:r w:rsidR="0011670D">
        <w:t xml:space="preserve">groundwater or any other </w:t>
      </w:r>
      <w:r>
        <w:t>receiving waters, and the change is not the subject of an application for approval under the EP Regulations or under the terms of this permit:</w:t>
      </w:r>
    </w:p>
    <w:p w14:paraId="038467FA" w14:textId="1FD96EA3" w:rsidR="00CF7701" w:rsidRDefault="00E4655B" w:rsidP="00CF7701">
      <w:pPr>
        <w:pStyle w:val="Bullet1"/>
        <w:numPr>
          <w:ilvl w:val="0"/>
          <w:numId w:val="0"/>
        </w:numPr>
        <w:ind w:left="680"/>
      </w:pPr>
      <w:r>
        <w:t>(a) the Environment Agency shall be notified in writing at least 14 days before the addition or allowing the introduction; and</w:t>
      </w:r>
    </w:p>
    <w:p w14:paraId="1995E0C1" w14:textId="20B068AE" w:rsidR="00E4655B" w:rsidRDefault="00E4655B" w:rsidP="00CF7701">
      <w:pPr>
        <w:pStyle w:val="Bullet1"/>
        <w:numPr>
          <w:ilvl w:val="0"/>
          <w:numId w:val="0"/>
        </w:numPr>
        <w:ind w:left="680"/>
      </w:pPr>
      <w:r>
        <w:t>(b) the notification shall contain a description of the proposed change.</w:t>
      </w:r>
    </w:p>
    <w:p w14:paraId="47529558" w14:textId="613D3DDC" w:rsidR="00FE5E24" w:rsidRPr="00FE5E24" w:rsidRDefault="00FE5E24" w:rsidP="00FE5E24">
      <w:pPr>
        <w:pStyle w:val="Bullet0"/>
        <w:rPr>
          <w:sz w:val="32"/>
          <w:szCs w:val="26"/>
        </w:rPr>
      </w:pPr>
      <w:r w:rsidRPr="00FE5E24">
        <w:rPr>
          <w:sz w:val="32"/>
          <w:szCs w:val="26"/>
        </w:rPr>
        <w:t>Interpretation</w:t>
      </w:r>
    </w:p>
    <w:p w14:paraId="4BFA58EF" w14:textId="613FC39E" w:rsidR="00FE5E24" w:rsidRDefault="00FE5E24" w:rsidP="00FE5E24">
      <w:pPr>
        <w:pStyle w:val="Bullet1"/>
      </w:pPr>
      <w:r>
        <w:t>In these standard rules the expressions listed below shall have the meaning given.</w:t>
      </w:r>
    </w:p>
    <w:p w14:paraId="07642D71" w14:textId="22CD7D24" w:rsidR="00E4655B" w:rsidRDefault="00FE5E24" w:rsidP="00FE5E24">
      <w:pPr>
        <w:pStyle w:val="Bullet1"/>
      </w:pPr>
      <w:r>
        <w:t>In these standard rules references to reports and notifications mean written reports and notifications, except where reference is made to notification being made “as soon as reasonably practicable”, in which case it may be provided by telephone.</w:t>
      </w:r>
    </w:p>
    <w:p w14:paraId="2127C95A" w14:textId="77777777" w:rsidR="00FE5E24" w:rsidRDefault="00FE5E24" w:rsidP="00FE5E24">
      <w:pPr>
        <w:pStyle w:val="Bullet1"/>
        <w:numPr>
          <w:ilvl w:val="0"/>
          <w:numId w:val="0"/>
        </w:numPr>
        <w:ind w:left="680"/>
      </w:pPr>
      <w:r>
        <w:t>“accident” means an accident that may result in pollution.</w:t>
      </w:r>
    </w:p>
    <w:p w14:paraId="2D98F71F" w14:textId="78B43246" w:rsidR="003823E8" w:rsidRDefault="00727AA1" w:rsidP="00FE5E24">
      <w:pPr>
        <w:pStyle w:val="Bullet1"/>
        <w:numPr>
          <w:ilvl w:val="0"/>
          <w:numId w:val="0"/>
        </w:numPr>
        <w:ind w:left="680"/>
      </w:pPr>
      <w:r>
        <w:t>“</w:t>
      </w:r>
      <w:r w:rsidR="00820270">
        <w:t>a</w:t>
      </w:r>
      <w:r w:rsidRPr="00727AA1">
        <w:t>ncient woodland” means any area that has been wooded continuously since at least 1600 AD, including ancient semi-natural woodland and plantations on ancient woodland sites</w:t>
      </w:r>
      <w:r>
        <w:t>.</w:t>
      </w:r>
    </w:p>
    <w:p w14:paraId="2EBDDA25" w14:textId="77777777" w:rsidR="00974D91" w:rsidRPr="00D73B30" w:rsidRDefault="00974D91" w:rsidP="00974D91">
      <w:pPr>
        <w:pStyle w:val="Bullet1"/>
        <w:numPr>
          <w:ilvl w:val="0"/>
          <w:numId w:val="0"/>
        </w:numPr>
        <w:ind w:left="680"/>
      </w:pPr>
      <w:r w:rsidRPr="00D73B30">
        <w:t>“biological SSSI” means for the purpose of these standard rules either:</w:t>
      </w:r>
    </w:p>
    <w:p w14:paraId="44668021" w14:textId="77777777" w:rsidR="00974D91" w:rsidRPr="00D73B30" w:rsidRDefault="00974D91" w:rsidP="00974D91">
      <w:pPr>
        <w:pStyle w:val="aBullet"/>
        <w:tabs>
          <w:tab w:val="clear" w:pos="1162"/>
          <w:tab w:val="num" w:pos="1134"/>
        </w:tabs>
        <w:ind w:left="1134"/>
      </w:pPr>
      <w:r w:rsidRPr="00D73B30">
        <w:t>a SSSI which has been designated due to the presence of flora or fauna.</w:t>
      </w:r>
    </w:p>
    <w:p w14:paraId="7995CC0F" w14:textId="491A7F4B" w:rsidR="00974D91" w:rsidRPr="00D73B30" w:rsidRDefault="00493B1D" w:rsidP="000A6747">
      <w:pPr>
        <w:pStyle w:val="aBullet"/>
        <w:tabs>
          <w:tab w:val="clear" w:pos="1162"/>
          <w:tab w:val="num" w:pos="1134"/>
        </w:tabs>
        <w:ind w:left="1134"/>
      </w:pPr>
      <w:r w:rsidRPr="00D73B30">
        <w:t>a</w:t>
      </w:r>
      <w:r w:rsidR="00974D91" w:rsidRPr="00D73B30">
        <w:t xml:space="preserve"> SSSI that contains surface water or springs that can provide habitat for flora or fauna </w:t>
      </w:r>
    </w:p>
    <w:p w14:paraId="55ABAB8F" w14:textId="72314866" w:rsidR="00FE5E24" w:rsidRDefault="00FE5E24" w:rsidP="00FE5E24">
      <w:pPr>
        <w:pStyle w:val="Bullet1"/>
        <w:numPr>
          <w:ilvl w:val="0"/>
          <w:numId w:val="0"/>
        </w:numPr>
        <w:ind w:left="680"/>
      </w:pPr>
      <w:r w:rsidRPr="009C71E8">
        <w:t>“</w:t>
      </w:r>
      <w:r w:rsidR="002F4D00" w:rsidRPr="009C71E8">
        <w:t>e</w:t>
      </w:r>
      <w:r w:rsidRPr="009C71E8">
        <w:t>missions of substances not controlled by emission limits” means emissions of substances to air, water or land from the permitted activities, which are not controlled by an emission limit.</w:t>
      </w:r>
    </w:p>
    <w:p w14:paraId="2D424533" w14:textId="77777777" w:rsidR="00FE5E24" w:rsidRPr="00982EB3" w:rsidRDefault="00FE5E24" w:rsidP="00FE5E24">
      <w:pPr>
        <w:pStyle w:val="Bullet1"/>
        <w:numPr>
          <w:ilvl w:val="2"/>
          <w:numId w:val="0"/>
        </w:numPr>
        <w:ind w:left="680"/>
      </w:pPr>
      <w:r>
        <w:t xml:space="preserve">“EP Regulations” means The Environmental Permitting (England and Wales) Regulations SI 2016 </w:t>
      </w:r>
      <w:r w:rsidRPr="000A6747">
        <w:t>No.1154</w:t>
      </w:r>
      <w:r>
        <w:t xml:space="preserve"> and words and expressions used in this permit which are also used in the Regulations have the same meanings as in those Regulations.</w:t>
      </w:r>
    </w:p>
    <w:p w14:paraId="1903E262" w14:textId="5384705F" w:rsidR="00FE5E24" w:rsidRDefault="00FE5E24" w:rsidP="004D7A72">
      <w:pPr>
        <w:pStyle w:val="Bullet1"/>
        <w:numPr>
          <w:ilvl w:val="0"/>
          <w:numId w:val="0"/>
        </w:numPr>
        <w:ind w:left="680"/>
      </w:pPr>
      <w:r>
        <w:t xml:space="preserve">“European </w:t>
      </w:r>
      <w:r w:rsidR="00A93E31">
        <w:t>s</w:t>
      </w:r>
      <w:r>
        <w:t>ite” means a European site within the meaning of Regulation 8 of the Conservation of Habitats and Species Regulations 2017.</w:t>
      </w:r>
    </w:p>
    <w:p w14:paraId="20F28750" w14:textId="1AD7D3EB" w:rsidR="00E438EB" w:rsidRPr="00D73B30" w:rsidRDefault="00E438EB" w:rsidP="00FE5E24">
      <w:pPr>
        <w:pStyle w:val="Bullet1"/>
        <w:numPr>
          <w:ilvl w:val="0"/>
          <w:numId w:val="0"/>
        </w:numPr>
        <w:ind w:left="680"/>
      </w:pPr>
      <w:r w:rsidRPr="00D73B30">
        <w:t>“</w:t>
      </w:r>
      <w:r w:rsidR="00856C66" w:rsidRPr="00D73B30">
        <w:t>d</w:t>
      </w:r>
      <w:r w:rsidRPr="00D73B30">
        <w:t xml:space="preserve">ry ditch” means a </w:t>
      </w:r>
      <w:r w:rsidR="005500CD" w:rsidRPr="00D73B30">
        <w:t>ditch</w:t>
      </w:r>
      <w:r w:rsidRPr="00D73B30">
        <w:t xml:space="preserve"> that receives surface water run-off from surrounding land, and typically runs dry for most or part of the year.</w:t>
      </w:r>
    </w:p>
    <w:p w14:paraId="45DCFEE6" w14:textId="64E99BF6" w:rsidR="00583455" w:rsidRPr="00D73B30" w:rsidRDefault="005D6F54" w:rsidP="005D6F54">
      <w:pPr>
        <w:pStyle w:val="Bullet1"/>
        <w:numPr>
          <w:ilvl w:val="0"/>
          <w:numId w:val="0"/>
        </w:numPr>
        <w:ind w:left="680"/>
      </w:pPr>
      <w:r w:rsidRPr="00D73B30">
        <w:t>“</w:t>
      </w:r>
      <w:r w:rsidR="00856C66" w:rsidRPr="00D73B30">
        <w:t>f</w:t>
      </w:r>
      <w:r w:rsidRPr="00D73B30">
        <w:t>ield drain” means</w:t>
      </w:r>
      <w:r w:rsidR="005500CD" w:rsidRPr="00D73B30">
        <w:t xml:space="preserve"> for the purpose of these standard rules</w:t>
      </w:r>
      <w:r w:rsidRPr="00D73B30">
        <w:t xml:space="preserve"> </w:t>
      </w:r>
      <w:r w:rsidR="00583455" w:rsidRPr="00D73B30">
        <w:t>either:</w:t>
      </w:r>
    </w:p>
    <w:p w14:paraId="640D561C" w14:textId="7111120B" w:rsidR="00583455" w:rsidRPr="00D73B30" w:rsidRDefault="00583455" w:rsidP="000A6747">
      <w:pPr>
        <w:pStyle w:val="aBullet"/>
        <w:numPr>
          <w:ilvl w:val="3"/>
          <w:numId w:val="21"/>
        </w:numPr>
      </w:pPr>
      <w:r w:rsidRPr="00D73B30">
        <w:t xml:space="preserve">A </w:t>
      </w:r>
      <w:r w:rsidR="005500CD" w:rsidRPr="00D73B30">
        <w:t>ditch</w:t>
      </w:r>
      <w:r w:rsidRPr="00D73B30">
        <w:t xml:space="preserve"> </w:t>
      </w:r>
      <w:r w:rsidR="00AD390C" w:rsidRPr="00D73B30">
        <w:t xml:space="preserve">or open land drain </w:t>
      </w:r>
      <w:r w:rsidRPr="00D73B30">
        <w:t>that receives surface water run-off from surround</w:t>
      </w:r>
      <w:r w:rsidR="7AB01AA5" w:rsidRPr="00D73B30">
        <w:t>ing</w:t>
      </w:r>
      <w:r w:rsidRPr="00D73B30">
        <w:t xml:space="preserve"> land, and </w:t>
      </w:r>
      <w:r w:rsidR="00E63276" w:rsidRPr="00D73B30">
        <w:t>typically</w:t>
      </w:r>
      <w:r w:rsidR="0040054D" w:rsidRPr="00D73B30">
        <w:t xml:space="preserve"> </w:t>
      </w:r>
      <w:r w:rsidRPr="00D73B30">
        <w:t xml:space="preserve">contains water </w:t>
      </w:r>
      <w:r w:rsidR="00E63276" w:rsidRPr="00D73B30">
        <w:t>for most of the</w:t>
      </w:r>
      <w:r w:rsidRPr="00D73B30">
        <w:t xml:space="preserve"> year.</w:t>
      </w:r>
    </w:p>
    <w:p w14:paraId="04F3F89B" w14:textId="36EE1C7E" w:rsidR="005D6F54" w:rsidRPr="00D73B30" w:rsidRDefault="00BC6BB2" w:rsidP="00583455">
      <w:pPr>
        <w:pStyle w:val="aBullet"/>
      </w:pPr>
      <w:r w:rsidRPr="00D73B30">
        <w:t>a pipe or permeable horizon installed below the ground surface</w:t>
      </w:r>
      <w:r w:rsidR="000C0261" w:rsidRPr="00D73B30">
        <w:t xml:space="preserve"> at a depth </w:t>
      </w:r>
      <w:r w:rsidR="006E7A48" w:rsidRPr="00D73B30">
        <w:t>typically</w:t>
      </w:r>
      <w:r w:rsidR="000C0261" w:rsidRPr="00D73B30">
        <w:t xml:space="preserve"> greater than 700mm at any point, which is used to drain water from soils.</w:t>
      </w:r>
    </w:p>
    <w:p w14:paraId="28D8FE0F" w14:textId="05DBC80D" w:rsidR="009E0799" w:rsidRPr="009E0799" w:rsidRDefault="009E0799" w:rsidP="009E0799">
      <w:pPr>
        <w:pStyle w:val="Bullet1"/>
        <w:numPr>
          <w:ilvl w:val="0"/>
          <w:numId w:val="0"/>
        </w:numPr>
        <w:ind w:left="680"/>
      </w:pPr>
      <w:r w:rsidRPr="00D73B30">
        <w:t>“</w:t>
      </w:r>
      <w:r w:rsidR="002F4D00" w:rsidRPr="00D73B30">
        <w:t>g</w:t>
      </w:r>
      <w:r w:rsidRPr="00D73B30">
        <w:t xml:space="preserve">rave” means an area of land within the cemetery that </w:t>
      </w:r>
      <w:r w:rsidR="005E2917" w:rsidRPr="00D73B30">
        <w:t>has</w:t>
      </w:r>
      <w:r w:rsidRPr="00D73B30">
        <w:t xml:space="preserve"> be excavated to allow a human burial.</w:t>
      </w:r>
    </w:p>
    <w:p w14:paraId="14A1335F" w14:textId="69C20615" w:rsidR="00E438EB" w:rsidRPr="00A945E6" w:rsidRDefault="00E438EB" w:rsidP="00E438EB">
      <w:pPr>
        <w:pStyle w:val="Bullet1"/>
        <w:numPr>
          <w:ilvl w:val="0"/>
          <w:numId w:val="0"/>
        </w:numPr>
        <w:ind w:left="680"/>
      </w:pPr>
      <w:r w:rsidRPr="000A6747">
        <w:t>“</w:t>
      </w:r>
      <w:r w:rsidR="002F4D00" w:rsidRPr="000A6747">
        <w:t>g</w:t>
      </w:r>
      <w:r w:rsidRPr="000A6747">
        <w:t xml:space="preserve">roundwater” means </w:t>
      </w:r>
      <w:r w:rsidR="002F4D00" w:rsidRPr="000A6747">
        <w:t>a</w:t>
      </w:r>
      <w:r w:rsidRPr="000A6747">
        <w:t>ll water, which is below the surface of the ground in the saturation zone and in direct contact with the ground or subsoil.</w:t>
      </w:r>
    </w:p>
    <w:p w14:paraId="073C7531" w14:textId="0EC252E9" w:rsidR="00E438EB" w:rsidRPr="000A6747" w:rsidRDefault="00E438EB" w:rsidP="00E438EB">
      <w:pPr>
        <w:pStyle w:val="Bullet1"/>
        <w:numPr>
          <w:ilvl w:val="0"/>
          <w:numId w:val="0"/>
        </w:numPr>
        <w:ind w:left="680"/>
      </w:pPr>
      <w:r w:rsidRPr="000A6747">
        <w:t>“</w:t>
      </w:r>
      <w:r w:rsidR="002F4D00" w:rsidRPr="000A6747">
        <w:t>g</w:t>
      </w:r>
      <w:r w:rsidRPr="000A6747">
        <w:t>roundwater flooding” means flooding where the water table beneath the ground rises and causes water to seep out at ground level.</w:t>
      </w:r>
    </w:p>
    <w:p w14:paraId="35689CB0" w14:textId="103720F2" w:rsidR="00E438EB" w:rsidRPr="000A6747" w:rsidRDefault="00E438EB" w:rsidP="00E438EB">
      <w:pPr>
        <w:pStyle w:val="Bullet1"/>
        <w:numPr>
          <w:ilvl w:val="0"/>
          <w:numId w:val="0"/>
        </w:numPr>
        <w:ind w:left="680"/>
      </w:pPr>
      <w:r w:rsidRPr="000A6747">
        <w:t>“</w:t>
      </w:r>
      <w:r w:rsidR="00D27BB2" w:rsidRPr="000A6747">
        <w:t>g</w:t>
      </w:r>
      <w:r w:rsidRPr="000A6747">
        <w:t>roundwater Source Protection Zone 1” means a zone—</w:t>
      </w:r>
    </w:p>
    <w:p w14:paraId="094FD525" w14:textId="77777777" w:rsidR="00E438EB" w:rsidRPr="000A6747" w:rsidRDefault="00E438EB" w:rsidP="00E438EB">
      <w:pPr>
        <w:pStyle w:val="Bullet1"/>
        <w:numPr>
          <w:ilvl w:val="0"/>
          <w:numId w:val="0"/>
        </w:numPr>
        <w:ind w:left="680"/>
      </w:pPr>
      <w:r w:rsidRPr="000A6747">
        <w:t>(a)within 50m of a point at which water is abstracted for domestic or food production purposes from any underground strata, or</w:t>
      </w:r>
    </w:p>
    <w:p w14:paraId="56B0B1AD" w14:textId="77777777" w:rsidR="00E438EB" w:rsidRPr="000A6747" w:rsidRDefault="00E438EB" w:rsidP="00E438EB">
      <w:pPr>
        <w:pStyle w:val="Bullet1"/>
        <w:numPr>
          <w:ilvl w:val="0"/>
          <w:numId w:val="0"/>
        </w:numPr>
        <w:ind w:left="680"/>
      </w:pPr>
      <w:r w:rsidRPr="000A6747">
        <w:lastRenderedPageBreak/>
        <w:t>(b)defined by a 50-day travel time for groundwater to reach a groundwater abstraction point that is used to supply water for domestic or food production purposes,</w:t>
      </w:r>
    </w:p>
    <w:p w14:paraId="539D0D64" w14:textId="77777777" w:rsidR="00E438EB" w:rsidRPr="000A6747" w:rsidRDefault="00E438EB" w:rsidP="00E438EB">
      <w:pPr>
        <w:pStyle w:val="Bullet1"/>
        <w:numPr>
          <w:ilvl w:val="0"/>
          <w:numId w:val="0"/>
        </w:numPr>
        <w:ind w:left="680"/>
      </w:pPr>
      <w:r w:rsidRPr="000A6747">
        <w:t>whichever is larger.</w:t>
      </w:r>
    </w:p>
    <w:p w14:paraId="4B17A379" w14:textId="15D1714B" w:rsidR="00E438EB" w:rsidRPr="000A6747" w:rsidRDefault="00E438EB" w:rsidP="00E438EB">
      <w:pPr>
        <w:pStyle w:val="Bullet1"/>
        <w:numPr>
          <w:ilvl w:val="0"/>
          <w:numId w:val="0"/>
        </w:numPr>
        <w:ind w:left="680"/>
      </w:pPr>
      <w:r w:rsidRPr="000A6747">
        <w:t>“</w:t>
      </w:r>
      <w:r w:rsidR="00D27BB2" w:rsidRPr="000A6747">
        <w:t>g</w:t>
      </w:r>
      <w:r w:rsidRPr="000A6747">
        <w:t>roundwater Source Protection Zone 2” means a zone—</w:t>
      </w:r>
    </w:p>
    <w:p w14:paraId="64E7333E" w14:textId="77777777" w:rsidR="00E438EB" w:rsidRPr="000A6747" w:rsidRDefault="00E438EB" w:rsidP="00E438EB">
      <w:pPr>
        <w:pStyle w:val="Bullet1"/>
        <w:numPr>
          <w:ilvl w:val="0"/>
          <w:numId w:val="0"/>
        </w:numPr>
        <w:ind w:left="680"/>
      </w:pPr>
      <w:r w:rsidRPr="000A6747">
        <w:t>(a) within—</w:t>
      </w:r>
    </w:p>
    <w:p w14:paraId="14A5CD02" w14:textId="77777777" w:rsidR="00E438EB" w:rsidRPr="000A6747" w:rsidRDefault="00E438EB" w:rsidP="00E438EB">
      <w:pPr>
        <w:pStyle w:val="Bullet1"/>
        <w:numPr>
          <w:ilvl w:val="0"/>
          <w:numId w:val="0"/>
        </w:numPr>
        <w:ind w:left="1134"/>
      </w:pPr>
      <w:r w:rsidRPr="000A6747">
        <w:t>(i) 250m of a point at which water is abstracted for domestic or food production purposes from underground strata where the maximum allowable annual volume as authorised by a licence under section 24 of the Water Resources Act 1991(8) or allowed by virtue of section 27 of that Act (as the case may be) divided by 365 is less than 2,000 m3 per day, or</w:t>
      </w:r>
    </w:p>
    <w:p w14:paraId="1206146C" w14:textId="77777777" w:rsidR="00E438EB" w:rsidRPr="000A6747" w:rsidRDefault="00E438EB" w:rsidP="00E438EB">
      <w:pPr>
        <w:pStyle w:val="Bullet1"/>
        <w:numPr>
          <w:ilvl w:val="0"/>
          <w:numId w:val="0"/>
        </w:numPr>
        <w:ind w:left="1134"/>
      </w:pPr>
      <w:r w:rsidRPr="000A6747">
        <w:t>(ii) 500m of a point at which water is abstracted for domestic or food production purposes from underground strata where the maximum allowable annual volume as authorised by a licence under section 24 of the Water Resources Act 1991 divided by 365 is equal to or greater than 2,000 m3 per day, or</w:t>
      </w:r>
    </w:p>
    <w:p w14:paraId="704E7ACC" w14:textId="77777777" w:rsidR="00E438EB" w:rsidRPr="000A6747" w:rsidRDefault="00E438EB" w:rsidP="00E438EB">
      <w:pPr>
        <w:pStyle w:val="Bullet1"/>
        <w:numPr>
          <w:ilvl w:val="0"/>
          <w:numId w:val="0"/>
        </w:numPr>
        <w:ind w:left="720"/>
      </w:pPr>
      <w:r w:rsidRPr="000A6747">
        <w:t>(b) defined by a 400-day travel time for groundwater to reach a groundwater abstraction point that is used to supply water for domestic or food production purposes,</w:t>
      </w:r>
    </w:p>
    <w:p w14:paraId="0DC9E776" w14:textId="77777777" w:rsidR="00E438EB" w:rsidRDefault="00E438EB" w:rsidP="00E438EB">
      <w:pPr>
        <w:pStyle w:val="Bullet1"/>
        <w:numPr>
          <w:ilvl w:val="0"/>
          <w:numId w:val="0"/>
        </w:numPr>
        <w:ind w:left="1400" w:hanging="680"/>
      </w:pPr>
      <w:r w:rsidRPr="000A6747">
        <w:t>whichever is larger.</w:t>
      </w:r>
    </w:p>
    <w:p w14:paraId="5C640A3B" w14:textId="5355E301" w:rsidR="00FE5E24" w:rsidRDefault="00FE5E24" w:rsidP="00FE5E24">
      <w:pPr>
        <w:pStyle w:val="Bullet1"/>
        <w:numPr>
          <w:ilvl w:val="0"/>
          <w:numId w:val="0"/>
        </w:numPr>
        <w:ind w:left="680"/>
      </w:pPr>
      <w:r>
        <w:t>“Local Nature Reserve” means an area designated by a local authority under the National Parks and Access to the Countryside Act 1949.</w:t>
      </w:r>
    </w:p>
    <w:p w14:paraId="17D173AF" w14:textId="66D0EB5D" w:rsidR="002A65A6" w:rsidRPr="000A6747" w:rsidRDefault="002A65A6" w:rsidP="002A65A6">
      <w:pPr>
        <w:pStyle w:val="Bullet1"/>
        <w:numPr>
          <w:ilvl w:val="0"/>
          <w:numId w:val="0"/>
        </w:numPr>
        <w:ind w:left="680"/>
      </w:pPr>
      <w:r w:rsidRPr="000A6747">
        <w:t>“</w:t>
      </w:r>
      <w:r w:rsidR="001E2393">
        <w:t>p</w:t>
      </w:r>
      <w:r w:rsidRPr="000A6747">
        <w:t>rincipal aquifer” means geological strata which—</w:t>
      </w:r>
    </w:p>
    <w:p w14:paraId="594FB3BB" w14:textId="77777777" w:rsidR="002A65A6" w:rsidRPr="000A6747" w:rsidRDefault="002A65A6" w:rsidP="00F809C2">
      <w:pPr>
        <w:pStyle w:val="Bullet1"/>
        <w:numPr>
          <w:ilvl w:val="0"/>
          <w:numId w:val="14"/>
        </w:numPr>
      </w:pPr>
      <w:r w:rsidRPr="000A6747">
        <w:t>exhibit a high intergranular or fracture permeability, and</w:t>
      </w:r>
    </w:p>
    <w:p w14:paraId="61AEF0F1" w14:textId="77777777" w:rsidR="002A65A6" w:rsidRPr="000A6747" w:rsidRDefault="002A65A6" w:rsidP="00F809C2">
      <w:pPr>
        <w:pStyle w:val="Bullet1"/>
        <w:numPr>
          <w:ilvl w:val="0"/>
          <w:numId w:val="14"/>
        </w:numPr>
      </w:pPr>
      <w:r w:rsidRPr="000A6747">
        <w:t>provide a high level of water storage and support water supply or base flow to rivers, lakes and wetlands on a strategic scale.</w:t>
      </w:r>
    </w:p>
    <w:p w14:paraId="71A3363C" w14:textId="77777777" w:rsidR="00C04A64" w:rsidRDefault="00C04A64" w:rsidP="000A6747">
      <w:pPr>
        <w:pStyle w:val="Bullet1"/>
        <w:numPr>
          <w:ilvl w:val="0"/>
          <w:numId w:val="0"/>
        </w:numPr>
        <w:ind w:left="680"/>
      </w:pPr>
      <w:r>
        <w:t>“pollution” means the direct or indirect introduction, as a result of human activity, of substances, heat or biological entities or micro-organisms into air, water or land which may—</w:t>
      </w:r>
    </w:p>
    <w:p w14:paraId="1D648C6B" w14:textId="77777777" w:rsidR="00C04A64" w:rsidRDefault="00C04A64" w:rsidP="000A6747">
      <w:pPr>
        <w:pStyle w:val="Bullet1"/>
        <w:numPr>
          <w:ilvl w:val="0"/>
          <w:numId w:val="0"/>
        </w:numPr>
        <w:ind w:left="1360" w:hanging="680"/>
      </w:pPr>
      <w:r>
        <w:t>(a) be harmful to human health or the quality of aquatic ecosystems or terrestrial ecosystems directly depending on aquatic ecosystems,</w:t>
      </w:r>
    </w:p>
    <w:p w14:paraId="356B98A6" w14:textId="77777777" w:rsidR="00C04A64" w:rsidRDefault="00C04A64" w:rsidP="000A6747">
      <w:pPr>
        <w:pStyle w:val="Bullet1"/>
        <w:numPr>
          <w:ilvl w:val="0"/>
          <w:numId w:val="0"/>
        </w:numPr>
        <w:ind w:left="1360" w:hanging="680"/>
      </w:pPr>
      <w:r>
        <w:t>(b) result in damage to material property, or</w:t>
      </w:r>
    </w:p>
    <w:p w14:paraId="7BCBDF7C" w14:textId="77777777" w:rsidR="00C04A64" w:rsidRDefault="00C04A64" w:rsidP="000A6747">
      <w:pPr>
        <w:pStyle w:val="Bullet1"/>
        <w:numPr>
          <w:ilvl w:val="0"/>
          <w:numId w:val="0"/>
        </w:numPr>
        <w:ind w:left="1360" w:hanging="680"/>
      </w:pPr>
      <w:r>
        <w:t>(c) impair or interfere with amenities or other legitimate uses of the environment</w:t>
      </w:r>
    </w:p>
    <w:p w14:paraId="3E618DF9" w14:textId="6F397BF5" w:rsidR="00982EB3" w:rsidRDefault="00FE5E24" w:rsidP="00E438EB">
      <w:pPr>
        <w:pStyle w:val="Bullet1"/>
        <w:numPr>
          <w:ilvl w:val="0"/>
          <w:numId w:val="0"/>
        </w:numPr>
        <w:ind w:left="680"/>
      </w:pPr>
      <w:r>
        <w:t>“Ramsar site” means a wetland of international importance, designated under the Ramsar Convention (an international agreement signed in Ramsar, Iran, in 1971). It is government policy to treat Ramsar sites the same as European sites.</w:t>
      </w:r>
    </w:p>
    <w:p w14:paraId="19274F5D" w14:textId="77777777" w:rsidR="002A65A6" w:rsidRPr="000A6747" w:rsidRDefault="002A65A6" w:rsidP="002A65A6">
      <w:pPr>
        <w:pStyle w:val="Bullet1"/>
        <w:numPr>
          <w:ilvl w:val="0"/>
          <w:numId w:val="0"/>
        </w:numPr>
        <w:ind w:left="680"/>
      </w:pPr>
      <w:r w:rsidRPr="000A6747">
        <w:t>“secondary A aquifer” means permeable strata capable of supporting water supplies at a local rather than strategic scale.</w:t>
      </w:r>
    </w:p>
    <w:p w14:paraId="141C5F8E" w14:textId="5B548EA5" w:rsidR="002A65A6" w:rsidRPr="000A6747" w:rsidRDefault="002A65A6" w:rsidP="002A65A6">
      <w:pPr>
        <w:pStyle w:val="Bullet1"/>
        <w:numPr>
          <w:ilvl w:val="0"/>
          <w:numId w:val="0"/>
        </w:numPr>
        <w:ind w:left="680"/>
      </w:pPr>
      <w:r w:rsidRPr="000A6747">
        <w:t>“</w:t>
      </w:r>
      <w:r w:rsidR="002F4D00" w:rsidRPr="000A6747">
        <w:t>S</w:t>
      </w:r>
      <w:r w:rsidRPr="000A6747">
        <w:t>econdary B aquifer” means predominantly lower permeability strata including where they have, in part, the ability to store and yield limited amounts of groundwater by virtue of localised features such as fissures, thin permeable horizons or weathering.</w:t>
      </w:r>
    </w:p>
    <w:p w14:paraId="1F8A89FA" w14:textId="235AA71C" w:rsidR="002A65A6" w:rsidRDefault="002A65A6" w:rsidP="002A65A6">
      <w:pPr>
        <w:pStyle w:val="Bullet1"/>
        <w:numPr>
          <w:ilvl w:val="0"/>
          <w:numId w:val="0"/>
        </w:numPr>
        <w:ind w:left="680"/>
      </w:pPr>
      <w:r w:rsidRPr="000A6747">
        <w:t>“</w:t>
      </w:r>
      <w:r w:rsidR="002F4D00" w:rsidRPr="000A6747">
        <w:t>S</w:t>
      </w:r>
      <w:r w:rsidRPr="000A6747">
        <w:t>econdary undifferentiated rocks” means rock deposits or strata with variable permeability and storage properties which are not consistently a secondary A aquifer or secondary B aquifer</w:t>
      </w:r>
      <w:r w:rsidRPr="00A945E6">
        <w:t>.</w:t>
      </w:r>
    </w:p>
    <w:p w14:paraId="7D6ECDFF" w14:textId="14FFDE0E" w:rsidR="001462AF" w:rsidRDefault="00551035" w:rsidP="00CB6F09">
      <w:pPr>
        <w:pStyle w:val="Bullet1"/>
        <w:numPr>
          <w:ilvl w:val="0"/>
          <w:numId w:val="0"/>
        </w:numPr>
        <w:ind w:left="680"/>
      </w:pPr>
      <w:r w:rsidRPr="00551035">
        <w:t>“significant adverse visible effect” means dead or distressed fish, other animals, or plants; appreciable deposit of solid material; significant fungal or algal growth; appreciable discolouration.</w:t>
      </w:r>
    </w:p>
    <w:p w14:paraId="58169172" w14:textId="77777777" w:rsidR="00CB6F09" w:rsidRDefault="00FE5E24" w:rsidP="00CB6F09">
      <w:pPr>
        <w:pStyle w:val="Bullet1"/>
        <w:numPr>
          <w:ilvl w:val="0"/>
          <w:numId w:val="0"/>
        </w:numPr>
        <w:ind w:left="680"/>
      </w:pPr>
      <w:r>
        <w:t>“significant pollution” means a category 1 or category 2 incident indicated by the Common Incident Classification Scheme (CICS).</w:t>
      </w:r>
    </w:p>
    <w:p w14:paraId="1E23AAF1" w14:textId="5AE93C99" w:rsidR="00CB6F09" w:rsidRDefault="00FE5E24" w:rsidP="00CB6F09">
      <w:pPr>
        <w:pStyle w:val="Bullet1"/>
        <w:numPr>
          <w:ilvl w:val="2"/>
          <w:numId w:val="0"/>
        </w:numPr>
        <w:ind w:left="680"/>
      </w:pPr>
      <w:r>
        <w:t>“SSSI” means Site of Special Scientific Interest within the meaning of the Wildlife and Countryside Act 1981 (as amended by the Countryside and Rights of Way Act 2000).</w:t>
      </w:r>
    </w:p>
    <w:p w14:paraId="2CE87CA8" w14:textId="32D04C1A" w:rsidR="006407D0" w:rsidRDefault="006407D0" w:rsidP="006407D0">
      <w:pPr>
        <w:pStyle w:val="Bullet1"/>
        <w:numPr>
          <w:ilvl w:val="0"/>
          <w:numId w:val="0"/>
        </w:numPr>
        <w:ind w:left="680"/>
      </w:pPr>
      <w:r w:rsidRPr="00D73B30">
        <w:lastRenderedPageBreak/>
        <w:t>“unaltered or unweathered bedrock” means hard, solid rock that has not been significantly altered by weathering processes.</w:t>
      </w:r>
    </w:p>
    <w:p w14:paraId="692E4E01" w14:textId="77777777" w:rsidR="00AE5447" w:rsidRDefault="00D06299" w:rsidP="000A6747">
      <w:pPr>
        <w:pStyle w:val="Bullet1"/>
        <w:numPr>
          <w:ilvl w:val="0"/>
          <w:numId w:val="0"/>
        </w:numPr>
        <w:ind w:left="680"/>
      </w:pPr>
      <w:r>
        <w:t>“unproductive strata” means</w:t>
      </w:r>
      <w:r w:rsidR="00A41317">
        <w:t xml:space="preserve"> </w:t>
      </w:r>
      <w:r w:rsidR="00AE5447">
        <w:t>geological strata which—</w:t>
      </w:r>
    </w:p>
    <w:p w14:paraId="339C38CB" w14:textId="77777777" w:rsidR="00480F1E" w:rsidRDefault="00AE5447" w:rsidP="00F040F8">
      <w:pPr>
        <w:pStyle w:val="Bullet1"/>
        <w:numPr>
          <w:ilvl w:val="0"/>
          <w:numId w:val="20"/>
        </w:numPr>
        <w:ind w:left="1038" w:firstLine="0"/>
      </w:pPr>
      <w:r>
        <w:t xml:space="preserve"> have a low permeability that has negligible significance for water supply or river base flow, and</w:t>
      </w:r>
      <w:r w:rsidR="00F040F8">
        <w:t xml:space="preserve"> </w:t>
      </w:r>
    </w:p>
    <w:p w14:paraId="6BAB456F" w14:textId="58E48CEB" w:rsidR="007E2917" w:rsidRDefault="00480F1E" w:rsidP="000A6747">
      <w:pPr>
        <w:pStyle w:val="Bullet1"/>
        <w:numPr>
          <w:ilvl w:val="0"/>
          <w:numId w:val="20"/>
        </w:numPr>
        <w:ind w:left="1038" w:firstLine="0"/>
      </w:pPr>
      <w:r>
        <w:t xml:space="preserve"> </w:t>
      </w:r>
      <w:r w:rsidR="00AE5447">
        <w:t>consist of deposits that naturally offer protection to any aquifers that may be present beneath.</w:t>
      </w:r>
    </w:p>
    <w:p w14:paraId="45701F26" w14:textId="274277D7" w:rsidR="005500CD" w:rsidRPr="00D73B30" w:rsidRDefault="005500CD" w:rsidP="005D6F54">
      <w:pPr>
        <w:pStyle w:val="Bullet1"/>
        <w:numPr>
          <w:ilvl w:val="0"/>
          <w:numId w:val="0"/>
        </w:numPr>
        <w:ind w:left="680"/>
      </w:pPr>
      <w:r w:rsidRPr="00D73B30">
        <w:t>“watercourse” means for the purposes of these standard rules mean</w:t>
      </w:r>
      <w:r w:rsidR="00E94588" w:rsidRPr="00D73B30">
        <w:t>s a relevant river or watercourse as defined by the Water Resources Act 1991.</w:t>
      </w:r>
    </w:p>
    <w:p w14:paraId="27B3563A" w14:textId="767CDC41" w:rsidR="0060303F" w:rsidRPr="00D73B30" w:rsidRDefault="0060303F" w:rsidP="005D6F54">
      <w:pPr>
        <w:pStyle w:val="Bullet1"/>
        <w:numPr>
          <w:ilvl w:val="0"/>
          <w:numId w:val="0"/>
        </w:numPr>
        <w:ind w:left="680"/>
      </w:pPr>
      <w:r w:rsidRPr="00D73B30">
        <w:t>“water features” means boreholes, wells, adits, springs, seepage and wetland areas, ponds, lakes and watercourses.</w:t>
      </w:r>
    </w:p>
    <w:p w14:paraId="755DA76F" w14:textId="3C12305E" w:rsidR="006C2A79" w:rsidRDefault="006C2A79" w:rsidP="006C2A79">
      <w:pPr>
        <w:pStyle w:val="Bullet1"/>
        <w:numPr>
          <w:ilvl w:val="0"/>
          <w:numId w:val="0"/>
        </w:numPr>
        <w:ind w:left="680"/>
      </w:pPr>
      <w:r w:rsidRPr="00D73B30">
        <w:t>“water table” means the level below which the ground is saturated with groundwater.</w:t>
      </w:r>
    </w:p>
    <w:p w14:paraId="1A7190C4" w14:textId="6868F8F5" w:rsidR="00FE5E24" w:rsidRDefault="00FE5E24" w:rsidP="00CB6F09">
      <w:pPr>
        <w:pStyle w:val="Bullet1"/>
        <w:numPr>
          <w:ilvl w:val="0"/>
          <w:numId w:val="0"/>
        </w:numPr>
        <w:ind w:left="680"/>
      </w:pPr>
      <w:r>
        <w:t>“year” means calendar year commencing on 1st January.</w:t>
      </w:r>
    </w:p>
    <w:p w14:paraId="6DB9812D" w14:textId="12176033" w:rsidR="00FE5E24" w:rsidRDefault="00FE5E24" w:rsidP="00DD458A">
      <w:pPr>
        <w:pStyle w:val="Bullet1"/>
        <w:numPr>
          <w:ilvl w:val="0"/>
          <w:numId w:val="0"/>
        </w:numPr>
        <w:ind w:left="680"/>
      </w:pPr>
      <w:r w:rsidRPr="00FE5E24">
        <w:rPr>
          <w:b/>
          <w:bCs w:val="0"/>
        </w:rPr>
        <w:t>End of standard rules</w:t>
      </w:r>
      <w:bookmarkEnd w:id="0"/>
    </w:p>
    <w:sectPr w:rsidR="00FE5E24" w:rsidSect="008B192D">
      <w:footerReference w:type="default" r:id="rId13"/>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93842" w14:textId="77777777" w:rsidR="00492D6A" w:rsidRDefault="00492D6A" w:rsidP="00FF16FF">
      <w:pPr>
        <w:spacing w:before="0" w:after="0" w:line="240" w:lineRule="auto"/>
      </w:pPr>
      <w:r>
        <w:separator/>
      </w:r>
    </w:p>
  </w:endnote>
  <w:endnote w:type="continuationSeparator" w:id="0">
    <w:p w14:paraId="0631D0E7" w14:textId="77777777" w:rsidR="00492D6A" w:rsidRDefault="00492D6A" w:rsidP="00FF16FF">
      <w:pPr>
        <w:spacing w:before="0" w:after="0" w:line="240" w:lineRule="auto"/>
      </w:pPr>
      <w:r>
        <w:continuationSeparator/>
      </w:r>
    </w:p>
  </w:endnote>
  <w:endnote w:type="continuationNotice" w:id="1">
    <w:p w14:paraId="571B190D" w14:textId="77777777" w:rsidR="00492D6A" w:rsidRDefault="00492D6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25C0" w14:textId="45A968CD" w:rsidR="00585B1D" w:rsidRPr="00D82845" w:rsidRDefault="00F9376E" w:rsidP="009116D3">
    <w:pPr>
      <w:pStyle w:val="Footer"/>
    </w:pPr>
    <w:r>
      <w:t xml:space="preserve">Draft </w:t>
    </w:r>
    <w:r w:rsidR="006D2FCA">
      <w:t>SR2025 No.2 V1.0</w:t>
    </w:r>
    <w:r w:rsidR="00585B1D">
      <w:ptab w:relativeTo="margin" w:alignment="right" w:leader="none"/>
    </w:r>
    <w:r w:rsidR="00585B1D">
      <w:fldChar w:fldCharType="begin"/>
    </w:r>
    <w:r w:rsidR="00585B1D">
      <w:instrText xml:space="preserve"> PAGE   \* MERGEFORMAT </w:instrText>
    </w:r>
    <w:r w:rsidR="00585B1D">
      <w:fldChar w:fldCharType="separate"/>
    </w:r>
    <w:r w:rsidR="00DC2CFF">
      <w:rPr>
        <w:noProof/>
      </w:rPr>
      <w:t>11</w:t>
    </w:r>
    <w:r w:rsidR="00585B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A241D2" w14:textId="77777777" w:rsidR="00492D6A" w:rsidRDefault="00492D6A" w:rsidP="00FF16FF">
      <w:pPr>
        <w:spacing w:before="0" w:after="0" w:line="240" w:lineRule="auto"/>
      </w:pPr>
      <w:r>
        <w:separator/>
      </w:r>
    </w:p>
  </w:footnote>
  <w:footnote w:type="continuationSeparator" w:id="0">
    <w:p w14:paraId="4EA6D3A5" w14:textId="77777777" w:rsidR="00492D6A" w:rsidRDefault="00492D6A" w:rsidP="00FF16FF">
      <w:pPr>
        <w:spacing w:before="0" w:after="0" w:line="240" w:lineRule="auto"/>
      </w:pPr>
      <w:r>
        <w:continuationSeparator/>
      </w:r>
    </w:p>
  </w:footnote>
  <w:footnote w:type="continuationNotice" w:id="1">
    <w:p w14:paraId="666DF968" w14:textId="77777777" w:rsidR="00492D6A" w:rsidRDefault="00492D6A">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1" w15:restartNumberingAfterBreak="0">
    <w:nsid w:val="1F9436EF"/>
    <w:multiLevelType w:val="hybridMultilevel"/>
    <w:tmpl w:val="3CB4541E"/>
    <w:lvl w:ilvl="0" w:tplc="08090001">
      <w:start w:val="1"/>
      <w:numFmt w:val="bullet"/>
      <w:lvlText w:val=""/>
      <w:lvlJc w:val="left"/>
      <w:pPr>
        <w:ind w:left="1400" w:hanging="360"/>
      </w:pPr>
      <w:rPr>
        <w:rFonts w:ascii="Symbol" w:hAnsi="Symbol" w:hint="default"/>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2" w15:restartNumberingAfterBreak="0">
    <w:nsid w:val="1FB52CB0"/>
    <w:multiLevelType w:val="hybridMultilevel"/>
    <w:tmpl w:val="38FC83DE"/>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3" w15:restartNumberingAfterBreak="0">
    <w:nsid w:val="24174212"/>
    <w:multiLevelType w:val="multilevel"/>
    <w:tmpl w:val="55C835B8"/>
    <w:numStyleLink w:val="EATableBullets"/>
  </w:abstractNum>
  <w:abstractNum w:abstractNumId="4"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B58BA"/>
    <w:multiLevelType w:val="hybridMultilevel"/>
    <w:tmpl w:val="D77AEB2E"/>
    <w:lvl w:ilvl="0" w:tplc="56CEB0EA">
      <w:start w:val="1"/>
      <w:numFmt w:val="bullet"/>
      <w:lvlText w:val=""/>
      <w:lvlJc w:val="left"/>
      <w:pPr>
        <w:ind w:left="501" w:hanging="360"/>
      </w:pPr>
      <w:rPr>
        <w:rFonts w:ascii="Symbol" w:hAnsi="Symbol" w:hint="default"/>
        <w:color w:val="auto"/>
      </w:rPr>
    </w:lvl>
    <w:lvl w:ilvl="1" w:tplc="08090003" w:tentative="1">
      <w:start w:val="1"/>
      <w:numFmt w:val="bullet"/>
      <w:lvlText w:val="o"/>
      <w:lvlJc w:val="left"/>
      <w:pPr>
        <w:ind w:left="1525" w:hanging="360"/>
      </w:pPr>
      <w:rPr>
        <w:rFonts w:ascii="Courier New" w:hAnsi="Courier New" w:cs="Courier New" w:hint="default"/>
      </w:rPr>
    </w:lvl>
    <w:lvl w:ilvl="2" w:tplc="08090005">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6" w15:restartNumberingAfterBreak="0">
    <w:nsid w:val="431835C5"/>
    <w:multiLevelType w:val="hybridMultilevel"/>
    <w:tmpl w:val="FA0054C4"/>
    <w:lvl w:ilvl="0" w:tplc="58AAE62A">
      <w:start w:val="1"/>
      <w:numFmt w:val="bullet"/>
      <w:lvlText w:val=""/>
      <w:lvlJc w:val="left"/>
      <w:pPr>
        <w:ind w:left="1352" w:hanging="360"/>
      </w:pPr>
      <w:rPr>
        <w:rFonts w:ascii="Symbol" w:hAnsi="Symbol" w:hint="default"/>
        <w:sz w:val="16"/>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7" w15:restartNumberingAfterBreak="0">
    <w:nsid w:val="437C1CDC"/>
    <w:multiLevelType w:val="multilevel"/>
    <w:tmpl w:val="44D6460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306AAB"/>
    <w:multiLevelType w:val="hybridMultilevel"/>
    <w:tmpl w:val="BA4C9084"/>
    <w:lvl w:ilvl="0" w:tplc="927C0962">
      <w:start w:val="1"/>
      <w:numFmt w:val="bullet"/>
      <w:pStyle w:val="Bullettex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D473BC"/>
    <w:multiLevelType w:val="multilevel"/>
    <w:tmpl w:val="16228F44"/>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E259A6"/>
    <w:multiLevelType w:val="hybridMultilevel"/>
    <w:tmpl w:val="C56C6A56"/>
    <w:lvl w:ilvl="0" w:tplc="08090001">
      <w:start w:val="1"/>
      <w:numFmt w:val="bullet"/>
      <w:lvlText w:val=""/>
      <w:lvlJc w:val="left"/>
      <w:pPr>
        <w:ind w:left="1459" w:hanging="360"/>
      </w:pPr>
      <w:rPr>
        <w:rFonts w:ascii="Symbol" w:hAnsi="Symbol"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11" w15:restartNumberingAfterBreak="0">
    <w:nsid w:val="591B395B"/>
    <w:multiLevelType w:val="multilevel"/>
    <w:tmpl w:val="C1D834F4"/>
    <w:styleLink w:val="EARoundBullets"/>
    <w:lvl w:ilvl="0">
      <w:start w:val="1"/>
      <w:numFmt w:val="bullet"/>
      <w:pStyle w:val="RoundBulletL1"/>
      <w:lvlText w:val="•"/>
      <w:lvlJc w:val="left"/>
      <w:pPr>
        <w:tabs>
          <w:tab w:val="num" w:pos="340"/>
        </w:tabs>
        <w:ind w:left="340" w:hanging="340"/>
      </w:pPr>
      <w:rPr>
        <w:rFonts w:ascii="Times New Roman" w:hAnsi="Times New Roman"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757A1B"/>
    <w:multiLevelType w:val="multilevel"/>
    <w:tmpl w:val="C1D834F4"/>
    <w:numStyleLink w:val="EARoundBullets"/>
  </w:abstractNum>
  <w:abstractNum w:abstractNumId="13" w15:restartNumberingAfterBreak="0">
    <w:nsid w:val="64445A58"/>
    <w:multiLevelType w:val="hybridMultilevel"/>
    <w:tmpl w:val="51FA4E28"/>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4" w15:restartNumberingAfterBreak="0">
    <w:nsid w:val="65A06F12"/>
    <w:multiLevelType w:val="hybridMultilevel"/>
    <w:tmpl w:val="AC98EB32"/>
    <w:lvl w:ilvl="0" w:tplc="A96616F2">
      <w:start w:val="1"/>
      <w:numFmt w:val="lowerLetter"/>
      <w:lvlText w:val="%1)"/>
      <w:lvlJc w:val="left"/>
      <w:pPr>
        <w:ind w:left="1484" w:hanging="360"/>
      </w:pPr>
      <w:rPr>
        <w:rFonts w:hint="default"/>
      </w:r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15" w15:restartNumberingAfterBreak="0">
    <w:nsid w:val="69856AFD"/>
    <w:multiLevelType w:val="hybridMultilevel"/>
    <w:tmpl w:val="7E203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9432603">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687098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609028">
    <w:abstractNumId w:val="11"/>
  </w:num>
  <w:num w:numId="4" w16cid:durableId="623730238">
    <w:abstractNumId w:val="4"/>
  </w:num>
  <w:num w:numId="5" w16cid:durableId="744572476">
    <w:abstractNumId w:val="7"/>
    <w:lvlOverride w:ilvl="0">
      <w:lvl w:ilvl="0">
        <w:start w:val="1"/>
        <w:numFmt w:val="lowerLetter"/>
        <w:pStyle w:val="AlphaBulletL1"/>
        <w:lvlText w:val="(%1)"/>
        <w:lvlJc w:val="left"/>
        <w:pPr>
          <w:tabs>
            <w:tab w:val="num" w:pos="340"/>
          </w:tabs>
          <w:ind w:left="340" w:hanging="340"/>
        </w:pPr>
        <w:rPr>
          <w:rFonts w:hint="default"/>
        </w:rPr>
      </w:lvl>
    </w:lvlOverride>
    <w:lvlOverride w:ilvl="1">
      <w:lvl w:ilvl="1">
        <w:start w:val="1"/>
        <w:numFmt w:val="lowerLetter"/>
        <w:pStyle w:val="AlphaBulletL2"/>
        <w:lvlText w:val="(%2)"/>
        <w:lvlJc w:val="left"/>
        <w:pPr>
          <w:tabs>
            <w:tab w:val="num" w:pos="680"/>
          </w:tabs>
          <w:ind w:left="680" w:hanging="340"/>
        </w:pPr>
        <w:rPr>
          <w:rFonts w:hint="default"/>
        </w:rPr>
      </w:lvl>
    </w:lvlOverride>
    <w:lvlOverride w:ilvl="2">
      <w:lvl w:ilvl="2">
        <w:start w:val="1"/>
        <w:numFmt w:val="lowerLetter"/>
        <w:pStyle w:val="AlphaBulletL3"/>
        <w:lvlText w:val="(%3)"/>
        <w:lvlJc w:val="left"/>
        <w:pPr>
          <w:tabs>
            <w:tab w:val="num" w:pos="1134"/>
          </w:tabs>
          <w:ind w:left="1134" w:hanging="454"/>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lowerLetter"/>
        <w:pStyle w:val="AlphaBulletL4"/>
        <w:lvlText w:val="(%4)"/>
        <w:lvlJc w:val="left"/>
        <w:pPr>
          <w:tabs>
            <w:tab w:val="num" w:pos="1588"/>
          </w:tabs>
          <w:ind w:left="1588" w:hanging="45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56248471">
    <w:abstractNumId w:val="0"/>
  </w:num>
  <w:num w:numId="7" w16cid:durableId="735973945">
    <w:abstractNumId w:val="12"/>
  </w:num>
  <w:num w:numId="8" w16cid:durableId="775440186">
    <w:abstractNumId w:val="3"/>
  </w:num>
  <w:num w:numId="9" w16cid:durableId="398602148">
    <w:abstractNumId w:val="7"/>
  </w:num>
  <w:num w:numId="10" w16cid:durableId="115102047">
    <w:abstractNumId w:val="9"/>
  </w:num>
  <w:num w:numId="11" w16cid:durableId="19863765">
    <w:abstractNumId w:val="8"/>
  </w:num>
  <w:num w:numId="12" w16cid:durableId="19357524">
    <w:abstractNumId w:val="15"/>
  </w:num>
  <w:num w:numId="13" w16cid:durableId="221448290">
    <w:abstractNumId w:val="6"/>
  </w:num>
  <w:num w:numId="14" w16cid:durableId="1024525413">
    <w:abstractNumId w:val="10"/>
  </w:num>
  <w:num w:numId="15" w16cid:durableId="1909532405">
    <w:abstractNumId w:val="5"/>
  </w:num>
  <w:num w:numId="16" w16cid:durableId="1912540497">
    <w:abstractNumId w:val="2"/>
  </w:num>
  <w:num w:numId="17" w16cid:durableId="1223910438">
    <w:abstractNumId w:val="14"/>
  </w:num>
  <w:num w:numId="18" w16cid:durableId="839387921">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strike w:val="0"/>
        </w:rPr>
      </w:lvl>
    </w:lvlOverride>
    <w:lvlOverride w:ilvl="3">
      <w:lvl w:ilvl="3">
        <w:start w:val="1"/>
        <w:numFmt w:val="lowerLetter"/>
        <w:pStyle w:val="aBullet"/>
        <w:lvlText w:val="(%4)"/>
        <w:lvlJc w:val="left"/>
        <w:pPr>
          <w:tabs>
            <w:tab w:val="num" w:pos="1162"/>
          </w:tabs>
          <w:ind w:left="1162"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550875544">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strike w:val="0"/>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607080912">
    <w:abstractNumId w:val="1"/>
  </w:num>
  <w:num w:numId="21" w16cid:durableId="436096159">
    <w:abstractNumId w:val="9"/>
    <w:lvlOverride w:ilvl="0">
      <w:startOverride w:val="1"/>
      <w:lvl w:ilvl="0">
        <w:start w:val="1"/>
        <w:numFmt w:val="decimal"/>
        <w:pStyle w:val="Bullet"/>
        <w:lvlText w:val="%1"/>
        <w:lvlJc w:val="left"/>
        <w:pPr>
          <w:tabs>
            <w:tab w:val="num" w:pos="680"/>
          </w:tabs>
          <w:ind w:left="680" w:hanging="680"/>
        </w:pPr>
        <w:rPr>
          <w:rFonts w:hint="default"/>
        </w:rPr>
      </w:lvl>
    </w:lvlOverride>
    <w:lvlOverride w:ilvl="1">
      <w:startOverride w:val="1"/>
      <w:lvl w:ilvl="1">
        <w:start w:val="1"/>
        <w:numFmt w:val="decimal"/>
        <w:pStyle w:val="Bullet0"/>
        <w:lvlText w:val="%1.%2"/>
        <w:lvlJc w:val="left"/>
        <w:pPr>
          <w:tabs>
            <w:tab w:val="num" w:pos="680"/>
          </w:tabs>
          <w:ind w:left="680" w:hanging="680"/>
        </w:pPr>
        <w:rPr>
          <w:rFonts w:hint="default"/>
        </w:rPr>
      </w:lvl>
    </w:lvlOverride>
    <w:lvlOverride w:ilvl="2">
      <w:startOverride w:val="1"/>
      <w:lvl w:ilvl="2">
        <w:start w:val="1"/>
        <w:numFmt w:val="decimal"/>
        <w:pStyle w:val="Bullet1"/>
        <w:lvlText w:val="%1.%2.%3"/>
        <w:lvlJc w:val="left"/>
        <w:pPr>
          <w:tabs>
            <w:tab w:val="num" w:pos="680"/>
          </w:tabs>
          <w:ind w:left="680" w:hanging="680"/>
        </w:pPr>
        <w:rPr>
          <w:rFonts w:hint="default"/>
        </w:rPr>
      </w:lvl>
    </w:lvlOverride>
    <w:lvlOverride w:ilvl="3">
      <w:startOverride w:val="1"/>
      <w:lvl w:ilvl="3">
        <w:start w:val="1"/>
        <w:numFmt w:val="lowerLetter"/>
        <w:pStyle w:val="aBullet"/>
        <w:lvlText w:val="(%4)"/>
        <w:lvlJc w:val="left"/>
        <w:pPr>
          <w:tabs>
            <w:tab w:val="num" w:pos="1134"/>
          </w:tabs>
          <w:ind w:left="1134" w:hanging="454"/>
        </w:pPr>
        <w:rPr>
          <w:rFonts w:hint="default"/>
        </w:rPr>
      </w:lvl>
    </w:lvlOverride>
    <w:lvlOverride w:ilvl="4">
      <w:startOverride w:val="1"/>
      <w:lvl w:ilvl="4">
        <w:start w:val="1"/>
        <w:numFmt w:val="lowerRoman"/>
        <w:pStyle w:val="aiBullet"/>
        <w:lvlText w:val="(%5)"/>
        <w:lvlJc w:val="left"/>
        <w:pPr>
          <w:tabs>
            <w:tab w:val="num" w:pos="1588"/>
          </w:tabs>
          <w:ind w:left="1588" w:hanging="454"/>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2" w16cid:durableId="770248395">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16cid:durableId="447284807">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61606216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DA"/>
    <w:rsid w:val="000013D9"/>
    <w:rsid w:val="00001582"/>
    <w:rsid w:val="00003F1D"/>
    <w:rsid w:val="000064C9"/>
    <w:rsid w:val="00007925"/>
    <w:rsid w:val="00014C54"/>
    <w:rsid w:val="000150BB"/>
    <w:rsid w:val="00015B11"/>
    <w:rsid w:val="00023D2D"/>
    <w:rsid w:val="000240B6"/>
    <w:rsid w:val="00024ED1"/>
    <w:rsid w:val="00027249"/>
    <w:rsid w:val="00031911"/>
    <w:rsid w:val="00033714"/>
    <w:rsid w:val="00037BF8"/>
    <w:rsid w:val="0004303E"/>
    <w:rsid w:val="00046ABB"/>
    <w:rsid w:val="00046C2F"/>
    <w:rsid w:val="0005121B"/>
    <w:rsid w:val="0005471E"/>
    <w:rsid w:val="00060D16"/>
    <w:rsid w:val="00064706"/>
    <w:rsid w:val="00065756"/>
    <w:rsid w:val="0006608C"/>
    <w:rsid w:val="00066C06"/>
    <w:rsid w:val="00071EE3"/>
    <w:rsid w:val="00074E3C"/>
    <w:rsid w:val="00080065"/>
    <w:rsid w:val="00081CC9"/>
    <w:rsid w:val="00083918"/>
    <w:rsid w:val="00084801"/>
    <w:rsid w:val="0008489B"/>
    <w:rsid w:val="000848DA"/>
    <w:rsid w:val="00084A9E"/>
    <w:rsid w:val="000850A7"/>
    <w:rsid w:val="0008662E"/>
    <w:rsid w:val="000873B4"/>
    <w:rsid w:val="0009020A"/>
    <w:rsid w:val="000926A7"/>
    <w:rsid w:val="00093EAC"/>
    <w:rsid w:val="00095A80"/>
    <w:rsid w:val="00097E65"/>
    <w:rsid w:val="000A17B7"/>
    <w:rsid w:val="000A5915"/>
    <w:rsid w:val="000A6747"/>
    <w:rsid w:val="000B4DFD"/>
    <w:rsid w:val="000B5487"/>
    <w:rsid w:val="000C005B"/>
    <w:rsid w:val="000C0261"/>
    <w:rsid w:val="000C2397"/>
    <w:rsid w:val="000C2E85"/>
    <w:rsid w:val="000C32E5"/>
    <w:rsid w:val="000C4CCC"/>
    <w:rsid w:val="000C4F89"/>
    <w:rsid w:val="000C6E40"/>
    <w:rsid w:val="000D0C73"/>
    <w:rsid w:val="000D1B04"/>
    <w:rsid w:val="000D25F8"/>
    <w:rsid w:val="000E4AB2"/>
    <w:rsid w:val="000E7E30"/>
    <w:rsid w:val="000F1990"/>
    <w:rsid w:val="000F2263"/>
    <w:rsid w:val="000F257D"/>
    <w:rsid w:val="000F42EC"/>
    <w:rsid w:val="000F489D"/>
    <w:rsid w:val="000F4D84"/>
    <w:rsid w:val="000F4E63"/>
    <w:rsid w:val="000F5B96"/>
    <w:rsid w:val="000F616C"/>
    <w:rsid w:val="000F7B49"/>
    <w:rsid w:val="001073D6"/>
    <w:rsid w:val="0010777A"/>
    <w:rsid w:val="001104E9"/>
    <w:rsid w:val="0011174E"/>
    <w:rsid w:val="001121FC"/>
    <w:rsid w:val="00112C36"/>
    <w:rsid w:val="00112DC2"/>
    <w:rsid w:val="001163FD"/>
    <w:rsid w:val="0011670D"/>
    <w:rsid w:val="00123263"/>
    <w:rsid w:val="001237AD"/>
    <w:rsid w:val="00124B75"/>
    <w:rsid w:val="00126271"/>
    <w:rsid w:val="001304BB"/>
    <w:rsid w:val="00132161"/>
    <w:rsid w:val="00141AB9"/>
    <w:rsid w:val="00142286"/>
    <w:rsid w:val="001462AF"/>
    <w:rsid w:val="00146B1B"/>
    <w:rsid w:val="00147932"/>
    <w:rsid w:val="00151FA6"/>
    <w:rsid w:val="001538B6"/>
    <w:rsid w:val="00154CE3"/>
    <w:rsid w:val="0015643F"/>
    <w:rsid w:val="0016092B"/>
    <w:rsid w:val="00161366"/>
    <w:rsid w:val="0016308B"/>
    <w:rsid w:val="00164190"/>
    <w:rsid w:val="00165920"/>
    <w:rsid w:val="00165D4C"/>
    <w:rsid w:val="00166479"/>
    <w:rsid w:val="00170078"/>
    <w:rsid w:val="001754D9"/>
    <w:rsid w:val="00177285"/>
    <w:rsid w:val="00180A18"/>
    <w:rsid w:val="00182CE7"/>
    <w:rsid w:val="00182D39"/>
    <w:rsid w:val="001831D2"/>
    <w:rsid w:val="001837F3"/>
    <w:rsid w:val="001937E8"/>
    <w:rsid w:val="00193C90"/>
    <w:rsid w:val="00194ECF"/>
    <w:rsid w:val="00196F03"/>
    <w:rsid w:val="001A1585"/>
    <w:rsid w:val="001A18F6"/>
    <w:rsid w:val="001A3561"/>
    <w:rsid w:val="001A6667"/>
    <w:rsid w:val="001B002E"/>
    <w:rsid w:val="001C4F1D"/>
    <w:rsid w:val="001C5229"/>
    <w:rsid w:val="001C6A0B"/>
    <w:rsid w:val="001C7BFD"/>
    <w:rsid w:val="001D0258"/>
    <w:rsid w:val="001D324A"/>
    <w:rsid w:val="001E2393"/>
    <w:rsid w:val="001E2522"/>
    <w:rsid w:val="001E3D51"/>
    <w:rsid w:val="001E6E81"/>
    <w:rsid w:val="001F116D"/>
    <w:rsid w:val="001F4B89"/>
    <w:rsid w:val="0020172C"/>
    <w:rsid w:val="00202036"/>
    <w:rsid w:val="00203C32"/>
    <w:rsid w:val="00204661"/>
    <w:rsid w:val="00205333"/>
    <w:rsid w:val="00207990"/>
    <w:rsid w:val="00207BD6"/>
    <w:rsid w:val="00212670"/>
    <w:rsid w:val="00215022"/>
    <w:rsid w:val="0022196A"/>
    <w:rsid w:val="002222F0"/>
    <w:rsid w:val="00222977"/>
    <w:rsid w:val="00227760"/>
    <w:rsid w:val="00230911"/>
    <w:rsid w:val="002313AE"/>
    <w:rsid w:val="0023218C"/>
    <w:rsid w:val="00240045"/>
    <w:rsid w:val="00241DA4"/>
    <w:rsid w:val="00243129"/>
    <w:rsid w:val="00251A9D"/>
    <w:rsid w:val="00251F6A"/>
    <w:rsid w:val="00257765"/>
    <w:rsid w:val="00260A6C"/>
    <w:rsid w:val="00261EE0"/>
    <w:rsid w:val="00272850"/>
    <w:rsid w:val="002809B4"/>
    <w:rsid w:val="002821F5"/>
    <w:rsid w:val="00284C34"/>
    <w:rsid w:val="002852BA"/>
    <w:rsid w:val="002853AD"/>
    <w:rsid w:val="00291905"/>
    <w:rsid w:val="002919F0"/>
    <w:rsid w:val="00295EF3"/>
    <w:rsid w:val="00297198"/>
    <w:rsid w:val="002A0126"/>
    <w:rsid w:val="002A0B0B"/>
    <w:rsid w:val="002A1427"/>
    <w:rsid w:val="002A36AB"/>
    <w:rsid w:val="002A65A6"/>
    <w:rsid w:val="002B18E3"/>
    <w:rsid w:val="002B2CA3"/>
    <w:rsid w:val="002B4F15"/>
    <w:rsid w:val="002B4FF5"/>
    <w:rsid w:val="002B57C8"/>
    <w:rsid w:val="002B6AC1"/>
    <w:rsid w:val="002B6E8A"/>
    <w:rsid w:val="002B6F59"/>
    <w:rsid w:val="002C2622"/>
    <w:rsid w:val="002C4FB4"/>
    <w:rsid w:val="002C5C73"/>
    <w:rsid w:val="002D2467"/>
    <w:rsid w:val="002D2987"/>
    <w:rsid w:val="002D3D59"/>
    <w:rsid w:val="002D7BAA"/>
    <w:rsid w:val="002E5203"/>
    <w:rsid w:val="002F0EC2"/>
    <w:rsid w:val="002F4538"/>
    <w:rsid w:val="002F4D00"/>
    <w:rsid w:val="002F501F"/>
    <w:rsid w:val="002F502E"/>
    <w:rsid w:val="002F6ADB"/>
    <w:rsid w:val="003011B5"/>
    <w:rsid w:val="0030424F"/>
    <w:rsid w:val="00310BA3"/>
    <w:rsid w:val="00321554"/>
    <w:rsid w:val="0032230A"/>
    <w:rsid w:val="00322481"/>
    <w:rsid w:val="00326254"/>
    <w:rsid w:val="00336AF4"/>
    <w:rsid w:val="0034259E"/>
    <w:rsid w:val="00344D04"/>
    <w:rsid w:val="00350B42"/>
    <w:rsid w:val="00353515"/>
    <w:rsid w:val="00360B68"/>
    <w:rsid w:val="0036311F"/>
    <w:rsid w:val="00366AE8"/>
    <w:rsid w:val="00366BEA"/>
    <w:rsid w:val="00376A6F"/>
    <w:rsid w:val="00380C0A"/>
    <w:rsid w:val="00380ED9"/>
    <w:rsid w:val="003817BA"/>
    <w:rsid w:val="003823E8"/>
    <w:rsid w:val="003908E2"/>
    <w:rsid w:val="003921FB"/>
    <w:rsid w:val="00392DCD"/>
    <w:rsid w:val="00393090"/>
    <w:rsid w:val="00394B91"/>
    <w:rsid w:val="0039652B"/>
    <w:rsid w:val="003A0E12"/>
    <w:rsid w:val="003A49A9"/>
    <w:rsid w:val="003B136C"/>
    <w:rsid w:val="003C0DEB"/>
    <w:rsid w:val="003C77DA"/>
    <w:rsid w:val="003D091A"/>
    <w:rsid w:val="003D3347"/>
    <w:rsid w:val="003D44D9"/>
    <w:rsid w:val="003D66A0"/>
    <w:rsid w:val="003D69E6"/>
    <w:rsid w:val="003E0C20"/>
    <w:rsid w:val="003E0D32"/>
    <w:rsid w:val="003E4725"/>
    <w:rsid w:val="003E57B8"/>
    <w:rsid w:val="003E7111"/>
    <w:rsid w:val="003F74D2"/>
    <w:rsid w:val="003F7DDF"/>
    <w:rsid w:val="0040054D"/>
    <w:rsid w:val="004006B8"/>
    <w:rsid w:val="004036E7"/>
    <w:rsid w:val="00405260"/>
    <w:rsid w:val="00405E75"/>
    <w:rsid w:val="004079A9"/>
    <w:rsid w:val="00410292"/>
    <w:rsid w:val="00413C53"/>
    <w:rsid w:val="004141B7"/>
    <w:rsid w:val="004146E0"/>
    <w:rsid w:val="00414CDA"/>
    <w:rsid w:val="00415ABB"/>
    <w:rsid w:val="00420467"/>
    <w:rsid w:val="00421D2B"/>
    <w:rsid w:val="0042228E"/>
    <w:rsid w:val="0043023A"/>
    <w:rsid w:val="00431948"/>
    <w:rsid w:val="004328DF"/>
    <w:rsid w:val="00434AA5"/>
    <w:rsid w:val="00437EF0"/>
    <w:rsid w:val="004404C8"/>
    <w:rsid w:val="00443A70"/>
    <w:rsid w:val="004444A5"/>
    <w:rsid w:val="004453CB"/>
    <w:rsid w:val="00446188"/>
    <w:rsid w:val="00446DE3"/>
    <w:rsid w:val="00460A33"/>
    <w:rsid w:val="00463D23"/>
    <w:rsid w:val="00466AFD"/>
    <w:rsid w:val="004707ED"/>
    <w:rsid w:val="0047329D"/>
    <w:rsid w:val="004754F2"/>
    <w:rsid w:val="00480F1E"/>
    <w:rsid w:val="004813E2"/>
    <w:rsid w:val="0048328C"/>
    <w:rsid w:val="004866A0"/>
    <w:rsid w:val="00490297"/>
    <w:rsid w:val="00492D6A"/>
    <w:rsid w:val="00493928"/>
    <w:rsid w:val="00493B1D"/>
    <w:rsid w:val="00494751"/>
    <w:rsid w:val="004A244A"/>
    <w:rsid w:val="004A4F30"/>
    <w:rsid w:val="004A6EAC"/>
    <w:rsid w:val="004B0AA6"/>
    <w:rsid w:val="004B2752"/>
    <w:rsid w:val="004B36AB"/>
    <w:rsid w:val="004B421E"/>
    <w:rsid w:val="004B6383"/>
    <w:rsid w:val="004C13E3"/>
    <w:rsid w:val="004C33EB"/>
    <w:rsid w:val="004C3465"/>
    <w:rsid w:val="004C4B85"/>
    <w:rsid w:val="004C4BE5"/>
    <w:rsid w:val="004C5E22"/>
    <w:rsid w:val="004D0287"/>
    <w:rsid w:val="004D3ADB"/>
    <w:rsid w:val="004D614E"/>
    <w:rsid w:val="004D624E"/>
    <w:rsid w:val="004D6F22"/>
    <w:rsid w:val="004D7A72"/>
    <w:rsid w:val="004E08E4"/>
    <w:rsid w:val="004E5211"/>
    <w:rsid w:val="004E72CF"/>
    <w:rsid w:val="004F11B9"/>
    <w:rsid w:val="004F1ED8"/>
    <w:rsid w:val="004F6132"/>
    <w:rsid w:val="00503D43"/>
    <w:rsid w:val="00511143"/>
    <w:rsid w:val="0051188C"/>
    <w:rsid w:val="00515C80"/>
    <w:rsid w:val="005177E2"/>
    <w:rsid w:val="00524177"/>
    <w:rsid w:val="00524CE0"/>
    <w:rsid w:val="00525D71"/>
    <w:rsid w:val="005267AA"/>
    <w:rsid w:val="0053053E"/>
    <w:rsid w:val="00536F4A"/>
    <w:rsid w:val="005411A9"/>
    <w:rsid w:val="00544EAF"/>
    <w:rsid w:val="00544F56"/>
    <w:rsid w:val="005500CD"/>
    <w:rsid w:val="00551035"/>
    <w:rsid w:val="00551F8B"/>
    <w:rsid w:val="0055338C"/>
    <w:rsid w:val="00557D86"/>
    <w:rsid w:val="0056216A"/>
    <w:rsid w:val="00563124"/>
    <w:rsid w:val="0056538C"/>
    <w:rsid w:val="0057006D"/>
    <w:rsid w:val="00573BA9"/>
    <w:rsid w:val="005746DB"/>
    <w:rsid w:val="00576B38"/>
    <w:rsid w:val="0057765C"/>
    <w:rsid w:val="00583455"/>
    <w:rsid w:val="00585B1D"/>
    <w:rsid w:val="005865E3"/>
    <w:rsid w:val="00590250"/>
    <w:rsid w:val="005919A4"/>
    <w:rsid w:val="00596FED"/>
    <w:rsid w:val="005A24F7"/>
    <w:rsid w:val="005A5523"/>
    <w:rsid w:val="005A5C7E"/>
    <w:rsid w:val="005B1D96"/>
    <w:rsid w:val="005B75CA"/>
    <w:rsid w:val="005B7B1E"/>
    <w:rsid w:val="005C03A7"/>
    <w:rsid w:val="005C1BE7"/>
    <w:rsid w:val="005C291E"/>
    <w:rsid w:val="005D4F47"/>
    <w:rsid w:val="005D61AA"/>
    <w:rsid w:val="005D6F54"/>
    <w:rsid w:val="005D7DE8"/>
    <w:rsid w:val="005E2917"/>
    <w:rsid w:val="005E4677"/>
    <w:rsid w:val="005F3195"/>
    <w:rsid w:val="005F5022"/>
    <w:rsid w:val="0060303F"/>
    <w:rsid w:val="006032EC"/>
    <w:rsid w:val="00610013"/>
    <w:rsid w:val="00611784"/>
    <w:rsid w:val="00611998"/>
    <w:rsid w:val="006122FC"/>
    <w:rsid w:val="006135FC"/>
    <w:rsid w:val="006144C9"/>
    <w:rsid w:val="0061572F"/>
    <w:rsid w:val="00621953"/>
    <w:rsid w:val="0062227F"/>
    <w:rsid w:val="006222CD"/>
    <w:rsid w:val="006247EA"/>
    <w:rsid w:val="00631FB5"/>
    <w:rsid w:val="00632676"/>
    <w:rsid w:val="006346B2"/>
    <w:rsid w:val="00635DF0"/>
    <w:rsid w:val="006405A5"/>
    <w:rsid w:val="006405F6"/>
    <w:rsid w:val="006407D0"/>
    <w:rsid w:val="00641516"/>
    <w:rsid w:val="006418E3"/>
    <w:rsid w:val="006425F9"/>
    <w:rsid w:val="006426A1"/>
    <w:rsid w:val="00643070"/>
    <w:rsid w:val="006439F9"/>
    <w:rsid w:val="0064426C"/>
    <w:rsid w:val="00645B33"/>
    <w:rsid w:val="0064621A"/>
    <w:rsid w:val="0064641C"/>
    <w:rsid w:val="006518D2"/>
    <w:rsid w:val="00656A78"/>
    <w:rsid w:val="006613E0"/>
    <w:rsid w:val="00661932"/>
    <w:rsid w:val="0066272E"/>
    <w:rsid w:val="00664AEC"/>
    <w:rsid w:val="00665538"/>
    <w:rsid w:val="0066620B"/>
    <w:rsid w:val="00666BC9"/>
    <w:rsid w:val="00667CFF"/>
    <w:rsid w:val="006709A5"/>
    <w:rsid w:val="006710E8"/>
    <w:rsid w:val="00671910"/>
    <w:rsid w:val="00674E24"/>
    <w:rsid w:val="00676EAE"/>
    <w:rsid w:val="006774A1"/>
    <w:rsid w:val="00677E8D"/>
    <w:rsid w:val="00680909"/>
    <w:rsid w:val="00681D34"/>
    <w:rsid w:val="00682E11"/>
    <w:rsid w:val="00690990"/>
    <w:rsid w:val="00692EAD"/>
    <w:rsid w:val="00694F5D"/>
    <w:rsid w:val="00695CEE"/>
    <w:rsid w:val="00696D85"/>
    <w:rsid w:val="00697114"/>
    <w:rsid w:val="00697EB7"/>
    <w:rsid w:val="006A093E"/>
    <w:rsid w:val="006A4C05"/>
    <w:rsid w:val="006B106F"/>
    <w:rsid w:val="006B32F6"/>
    <w:rsid w:val="006B38C1"/>
    <w:rsid w:val="006B5637"/>
    <w:rsid w:val="006B6EA8"/>
    <w:rsid w:val="006B7F27"/>
    <w:rsid w:val="006C0908"/>
    <w:rsid w:val="006C2A79"/>
    <w:rsid w:val="006D2DA4"/>
    <w:rsid w:val="006D2FCA"/>
    <w:rsid w:val="006D3612"/>
    <w:rsid w:val="006D4F42"/>
    <w:rsid w:val="006E2658"/>
    <w:rsid w:val="006E329D"/>
    <w:rsid w:val="006E6C75"/>
    <w:rsid w:val="006E7A48"/>
    <w:rsid w:val="006F7093"/>
    <w:rsid w:val="006F745D"/>
    <w:rsid w:val="00700536"/>
    <w:rsid w:val="0070449B"/>
    <w:rsid w:val="0070604B"/>
    <w:rsid w:val="00711394"/>
    <w:rsid w:val="00711DE1"/>
    <w:rsid w:val="00713881"/>
    <w:rsid w:val="00720099"/>
    <w:rsid w:val="00722160"/>
    <w:rsid w:val="00722A36"/>
    <w:rsid w:val="00722FEA"/>
    <w:rsid w:val="00723069"/>
    <w:rsid w:val="007240FC"/>
    <w:rsid w:val="00724985"/>
    <w:rsid w:val="00727AA1"/>
    <w:rsid w:val="00731666"/>
    <w:rsid w:val="00734054"/>
    <w:rsid w:val="00736738"/>
    <w:rsid w:val="0073697B"/>
    <w:rsid w:val="007373EE"/>
    <w:rsid w:val="00743A0F"/>
    <w:rsid w:val="007507C3"/>
    <w:rsid w:val="00751A7E"/>
    <w:rsid w:val="00753890"/>
    <w:rsid w:val="00762ADA"/>
    <w:rsid w:val="00763CC4"/>
    <w:rsid w:val="00767C1F"/>
    <w:rsid w:val="007723E2"/>
    <w:rsid w:val="00776015"/>
    <w:rsid w:val="00776D67"/>
    <w:rsid w:val="0077746E"/>
    <w:rsid w:val="00781BDE"/>
    <w:rsid w:val="0078745E"/>
    <w:rsid w:val="00794B9E"/>
    <w:rsid w:val="00794D6F"/>
    <w:rsid w:val="007976C5"/>
    <w:rsid w:val="00797D57"/>
    <w:rsid w:val="007A2A42"/>
    <w:rsid w:val="007A3798"/>
    <w:rsid w:val="007A3FCF"/>
    <w:rsid w:val="007A4C04"/>
    <w:rsid w:val="007A628D"/>
    <w:rsid w:val="007B2109"/>
    <w:rsid w:val="007B2C70"/>
    <w:rsid w:val="007B3B37"/>
    <w:rsid w:val="007C0058"/>
    <w:rsid w:val="007C3CF9"/>
    <w:rsid w:val="007C548A"/>
    <w:rsid w:val="007C643A"/>
    <w:rsid w:val="007C78C8"/>
    <w:rsid w:val="007C7C6A"/>
    <w:rsid w:val="007D250E"/>
    <w:rsid w:val="007D2F13"/>
    <w:rsid w:val="007D42FA"/>
    <w:rsid w:val="007D4DC7"/>
    <w:rsid w:val="007D67E8"/>
    <w:rsid w:val="007D6AFF"/>
    <w:rsid w:val="007D707A"/>
    <w:rsid w:val="007E021B"/>
    <w:rsid w:val="007E025E"/>
    <w:rsid w:val="007E2917"/>
    <w:rsid w:val="007E3216"/>
    <w:rsid w:val="007E36CE"/>
    <w:rsid w:val="007E59FD"/>
    <w:rsid w:val="007E5C2F"/>
    <w:rsid w:val="007F2A9E"/>
    <w:rsid w:val="007F4B1F"/>
    <w:rsid w:val="007F5038"/>
    <w:rsid w:val="00800339"/>
    <w:rsid w:val="00801E97"/>
    <w:rsid w:val="008021E8"/>
    <w:rsid w:val="00802497"/>
    <w:rsid w:val="008066D6"/>
    <w:rsid w:val="008073BC"/>
    <w:rsid w:val="008112F4"/>
    <w:rsid w:val="00813D95"/>
    <w:rsid w:val="008142B2"/>
    <w:rsid w:val="00820270"/>
    <w:rsid w:val="008203D9"/>
    <w:rsid w:val="008222AE"/>
    <w:rsid w:val="00824296"/>
    <w:rsid w:val="00825F85"/>
    <w:rsid w:val="00837E57"/>
    <w:rsid w:val="008407E5"/>
    <w:rsid w:val="00841D30"/>
    <w:rsid w:val="00841DDB"/>
    <w:rsid w:val="00842C61"/>
    <w:rsid w:val="0084383B"/>
    <w:rsid w:val="008518AD"/>
    <w:rsid w:val="00856573"/>
    <w:rsid w:val="00856C66"/>
    <w:rsid w:val="008572AD"/>
    <w:rsid w:val="00857C9F"/>
    <w:rsid w:val="008620D9"/>
    <w:rsid w:val="0086521B"/>
    <w:rsid w:val="00865F96"/>
    <w:rsid w:val="0086679E"/>
    <w:rsid w:val="008725B1"/>
    <w:rsid w:val="008812B0"/>
    <w:rsid w:val="0088417E"/>
    <w:rsid w:val="008845BC"/>
    <w:rsid w:val="008856DB"/>
    <w:rsid w:val="0088580F"/>
    <w:rsid w:val="0088582F"/>
    <w:rsid w:val="008A34B5"/>
    <w:rsid w:val="008A3C4E"/>
    <w:rsid w:val="008A3E6B"/>
    <w:rsid w:val="008A61AB"/>
    <w:rsid w:val="008A769F"/>
    <w:rsid w:val="008B001A"/>
    <w:rsid w:val="008B065E"/>
    <w:rsid w:val="008B109F"/>
    <w:rsid w:val="008B1124"/>
    <w:rsid w:val="008B192D"/>
    <w:rsid w:val="008B34FA"/>
    <w:rsid w:val="008B7E02"/>
    <w:rsid w:val="008C04D5"/>
    <w:rsid w:val="008C233D"/>
    <w:rsid w:val="008C550F"/>
    <w:rsid w:val="008C6A03"/>
    <w:rsid w:val="008C7B64"/>
    <w:rsid w:val="008D2F86"/>
    <w:rsid w:val="008E122C"/>
    <w:rsid w:val="008E2C0D"/>
    <w:rsid w:val="008E559E"/>
    <w:rsid w:val="008F3DE9"/>
    <w:rsid w:val="008F5419"/>
    <w:rsid w:val="008F5D8C"/>
    <w:rsid w:val="008F7E48"/>
    <w:rsid w:val="00900466"/>
    <w:rsid w:val="009024AE"/>
    <w:rsid w:val="00902FF6"/>
    <w:rsid w:val="009054EF"/>
    <w:rsid w:val="00910CA3"/>
    <w:rsid w:val="009110DA"/>
    <w:rsid w:val="009116D3"/>
    <w:rsid w:val="00913665"/>
    <w:rsid w:val="009156C1"/>
    <w:rsid w:val="00915FF7"/>
    <w:rsid w:val="009175C3"/>
    <w:rsid w:val="00920A9A"/>
    <w:rsid w:val="009214AB"/>
    <w:rsid w:val="009219A4"/>
    <w:rsid w:val="00926B5E"/>
    <w:rsid w:val="00927C2D"/>
    <w:rsid w:val="00930CBC"/>
    <w:rsid w:val="00936FA1"/>
    <w:rsid w:val="00937A29"/>
    <w:rsid w:val="00942B02"/>
    <w:rsid w:val="00944AA2"/>
    <w:rsid w:val="00945E81"/>
    <w:rsid w:val="009460C9"/>
    <w:rsid w:val="00946545"/>
    <w:rsid w:val="00950612"/>
    <w:rsid w:val="00953FEB"/>
    <w:rsid w:val="009569E6"/>
    <w:rsid w:val="009630E4"/>
    <w:rsid w:val="009637EE"/>
    <w:rsid w:val="00963C62"/>
    <w:rsid w:val="0096666C"/>
    <w:rsid w:val="00972306"/>
    <w:rsid w:val="00974A37"/>
    <w:rsid w:val="00974D91"/>
    <w:rsid w:val="00976D76"/>
    <w:rsid w:val="00980E80"/>
    <w:rsid w:val="00981D67"/>
    <w:rsid w:val="00982279"/>
    <w:rsid w:val="00982C71"/>
    <w:rsid w:val="00982EB3"/>
    <w:rsid w:val="00983A8F"/>
    <w:rsid w:val="00984A1A"/>
    <w:rsid w:val="009900D4"/>
    <w:rsid w:val="009909F1"/>
    <w:rsid w:val="009932EC"/>
    <w:rsid w:val="00993852"/>
    <w:rsid w:val="00995FDD"/>
    <w:rsid w:val="009A2AF5"/>
    <w:rsid w:val="009A6A80"/>
    <w:rsid w:val="009A6E55"/>
    <w:rsid w:val="009B1369"/>
    <w:rsid w:val="009B1839"/>
    <w:rsid w:val="009B44C3"/>
    <w:rsid w:val="009B4609"/>
    <w:rsid w:val="009B4DDC"/>
    <w:rsid w:val="009B5F35"/>
    <w:rsid w:val="009B6D44"/>
    <w:rsid w:val="009C496B"/>
    <w:rsid w:val="009C68C3"/>
    <w:rsid w:val="009C71E8"/>
    <w:rsid w:val="009D15ED"/>
    <w:rsid w:val="009D1FC3"/>
    <w:rsid w:val="009D3C05"/>
    <w:rsid w:val="009E0799"/>
    <w:rsid w:val="009E0D2A"/>
    <w:rsid w:val="009E1553"/>
    <w:rsid w:val="009E2BC9"/>
    <w:rsid w:val="009E6008"/>
    <w:rsid w:val="009E7D49"/>
    <w:rsid w:val="009F1162"/>
    <w:rsid w:val="009F2011"/>
    <w:rsid w:val="009F4471"/>
    <w:rsid w:val="009F5ECF"/>
    <w:rsid w:val="009F6216"/>
    <w:rsid w:val="00A00BA4"/>
    <w:rsid w:val="00A0669B"/>
    <w:rsid w:val="00A06809"/>
    <w:rsid w:val="00A07C9B"/>
    <w:rsid w:val="00A11554"/>
    <w:rsid w:val="00A12C3D"/>
    <w:rsid w:val="00A1792D"/>
    <w:rsid w:val="00A22461"/>
    <w:rsid w:val="00A27700"/>
    <w:rsid w:val="00A32516"/>
    <w:rsid w:val="00A325E8"/>
    <w:rsid w:val="00A35602"/>
    <w:rsid w:val="00A35B16"/>
    <w:rsid w:val="00A362D1"/>
    <w:rsid w:val="00A4122D"/>
    <w:rsid w:val="00A41317"/>
    <w:rsid w:val="00A41D0D"/>
    <w:rsid w:val="00A4256B"/>
    <w:rsid w:val="00A4341F"/>
    <w:rsid w:val="00A43D9B"/>
    <w:rsid w:val="00A449CB"/>
    <w:rsid w:val="00A45F1B"/>
    <w:rsid w:val="00A46640"/>
    <w:rsid w:val="00A545FB"/>
    <w:rsid w:val="00A61CF7"/>
    <w:rsid w:val="00A6282D"/>
    <w:rsid w:val="00A63F43"/>
    <w:rsid w:val="00A64FCF"/>
    <w:rsid w:val="00A71CD9"/>
    <w:rsid w:val="00A72C71"/>
    <w:rsid w:val="00A76D1D"/>
    <w:rsid w:val="00A77D5E"/>
    <w:rsid w:val="00A77F43"/>
    <w:rsid w:val="00A85951"/>
    <w:rsid w:val="00A85C1C"/>
    <w:rsid w:val="00A86004"/>
    <w:rsid w:val="00A86173"/>
    <w:rsid w:val="00A90AF7"/>
    <w:rsid w:val="00A93E31"/>
    <w:rsid w:val="00A945E6"/>
    <w:rsid w:val="00A96600"/>
    <w:rsid w:val="00AA0C06"/>
    <w:rsid w:val="00AA56AC"/>
    <w:rsid w:val="00AA5D5B"/>
    <w:rsid w:val="00AA648D"/>
    <w:rsid w:val="00AB1895"/>
    <w:rsid w:val="00AB62F9"/>
    <w:rsid w:val="00AB63B4"/>
    <w:rsid w:val="00AB6437"/>
    <w:rsid w:val="00AB71F7"/>
    <w:rsid w:val="00AB782A"/>
    <w:rsid w:val="00AC1995"/>
    <w:rsid w:val="00AC5204"/>
    <w:rsid w:val="00AC535D"/>
    <w:rsid w:val="00AD390C"/>
    <w:rsid w:val="00AD5C3E"/>
    <w:rsid w:val="00AD687B"/>
    <w:rsid w:val="00AE1A0E"/>
    <w:rsid w:val="00AE2C09"/>
    <w:rsid w:val="00AE2C46"/>
    <w:rsid w:val="00AE3212"/>
    <w:rsid w:val="00AE5447"/>
    <w:rsid w:val="00B02934"/>
    <w:rsid w:val="00B05B9E"/>
    <w:rsid w:val="00B05DC6"/>
    <w:rsid w:val="00B139F1"/>
    <w:rsid w:val="00B159D3"/>
    <w:rsid w:val="00B15AA8"/>
    <w:rsid w:val="00B24332"/>
    <w:rsid w:val="00B2607C"/>
    <w:rsid w:val="00B26559"/>
    <w:rsid w:val="00B27A24"/>
    <w:rsid w:val="00B31C6E"/>
    <w:rsid w:val="00B343E4"/>
    <w:rsid w:val="00B36FA8"/>
    <w:rsid w:val="00B44044"/>
    <w:rsid w:val="00B50A9C"/>
    <w:rsid w:val="00B563C4"/>
    <w:rsid w:val="00B61967"/>
    <w:rsid w:val="00B625C1"/>
    <w:rsid w:val="00B63021"/>
    <w:rsid w:val="00B6397E"/>
    <w:rsid w:val="00B671D1"/>
    <w:rsid w:val="00B72417"/>
    <w:rsid w:val="00B73099"/>
    <w:rsid w:val="00B7548C"/>
    <w:rsid w:val="00B7784A"/>
    <w:rsid w:val="00B77C8D"/>
    <w:rsid w:val="00B8400E"/>
    <w:rsid w:val="00B85EFA"/>
    <w:rsid w:val="00B86C98"/>
    <w:rsid w:val="00B93328"/>
    <w:rsid w:val="00B94719"/>
    <w:rsid w:val="00B94DD9"/>
    <w:rsid w:val="00B9542C"/>
    <w:rsid w:val="00B95B42"/>
    <w:rsid w:val="00BA0AC8"/>
    <w:rsid w:val="00BA438C"/>
    <w:rsid w:val="00BA625F"/>
    <w:rsid w:val="00BB181D"/>
    <w:rsid w:val="00BB5F30"/>
    <w:rsid w:val="00BC223E"/>
    <w:rsid w:val="00BC41E7"/>
    <w:rsid w:val="00BC597D"/>
    <w:rsid w:val="00BC6BB2"/>
    <w:rsid w:val="00BC7208"/>
    <w:rsid w:val="00BC7C4D"/>
    <w:rsid w:val="00BD1D12"/>
    <w:rsid w:val="00BD1F91"/>
    <w:rsid w:val="00BD7B0A"/>
    <w:rsid w:val="00BE1F97"/>
    <w:rsid w:val="00BE57DD"/>
    <w:rsid w:val="00BE5D88"/>
    <w:rsid w:val="00BE6238"/>
    <w:rsid w:val="00BE6DAA"/>
    <w:rsid w:val="00BE7EFC"/>
    <w:rsid w:val="00BF3ED1"/>
    <w:rsid w:val="00BF669E"/>
    <w:rsid w:val="00BF66B7"/>
    <w:rsid w:val="00BF6A28"/>
    <w:rsid w:val="00C00B57"/>
    <w:rsid w:val="00C02EEF"/>
    <w:rsid w:val="00C03842"/>
    <w:rsid w:val="00C04141"/>
    <w:rsid w:val="00C04A64"/>
    <w:rsid w:val="00C13731"/>
    <w:rsid w:val="00C14E3F"/>
    <w:rsid w:val="00C177E7"/>
    <w:rsid w:val="00C2065A"/>
    <w:rsid w:val="00C22B9F"/>
    <w:rsid w:val="00C244EB"/>
    <w:rsid w:val="00C2654A"/>
    <w:rsid w:val="00C26D02"/>
    <w:rsid w:val="00C26D55"/>
    <w:rsid w:val="00C32193"/>
    <w:rsid w:val="00C33BAF"/>
    <w:rsid w:val="00C33D38"/>
    <w:rsid w:val="00C42021"/>
    <w:rsid w:val="00C421A2"/>
    <w:rsid w:val="00C42F8D"/>
    <w:rsid w:val="00C46A9B"/>
    <w:rsid w:val="00C50CAA"/>
    <w:rsid w:val="00C51A88"/>
    <w:rsid w:val="00C52027"/>
    <w:rsid w:val="00C528FF"/>
    <w:rsid w:val="00C56B2D"/>
    <w:rsid w:val="00C57A89"/>
    <w:rsid w:val="00C60E72"/>
    <w:rsid w:val="00C61701"/>
    <w:rsid w:val="00C632DC"/>
    <w:rsid w:val="00C64441"/>
    <w:rsid w:val="00C66721"/>
    <w:rsid w:val="00C668E9"/>
    <w:rsid w:val="00C7188A"/>
    <w:rsid w:val="00C77B7E"/>
    <w:rsid w:val="00C8005C"/>
    <w:rsid w:val="00C8030E"/>
    <w:rsid w:val="00C82AD2"/>
    <w:rsid w:val="00C82B77"/>
    <w:rsid w:val="00C86264"/>
    <w:rsid w:val="00C87813"/>
    <w:rsid w:val="00C907F2"/>
    <w:rsid w:val="00C917C1"/>
    <w:rsid w:val="00CA0F53"/>
    <w:rsid w:val="00CA35EF"/>
    <w:rsid w:val="00CB0528"/>
    <w:rsid w:val="00CB0F1E"/>
    <w:rsid w:val="00CB1DF4"/>
    <w:rsid w:val="00CB213E"/>
    <w:rsid w:val="00CB2AE1"/>
    <w:rsid w:val="00CB2BB6"/>
    <w:rsid w:val="00CB4295"/>
    <w:rsid w:val="00CB6F09"/>
    <w:rsid w:val="00CB7AAE"/>
    <w:rsid w:val="00CB7EBC"/>
    <w:rsid w:val="00CC327D"/>
    <w:rsid w:val="00CC3DD3"/>
    <w:rsid w:val="00CC5D9C"/>
    <w:rsid w:val="00CD19FE"/>
    <w:rsid w:val="00CD4F2A"/>
    <w:rsid w:val="00CE1735"/>
    <w:rsid w:val="00CE45E0"/>
    <w:rsid w:val="00CE5C70"/>
    <w:rsid w:val="00CE6F8B"/>
    <w:rsid w:val="00CF06DB"/>
    <w:rsid w:val="00CF4DB7"/>
    <w:rsid w:val="00CF5CEE"/>
    <w:rsid w:val="00CF62D1"/>
    <w:rsid w:val="00CF7701"/>
    <w:rsid w:val="00CF79C2"/>
    <w:rsid w:val="00D028D1"/>
    <w:rsid w:val="00D035EE"/>
    <w:rsid w:val="00D044FD"/>
    <w:rsid w:val="00D06299"/>
    <w:rsid w:val="00D11272"/>
    <w:rsid w:val="00D11AA6"/>
    <w:rsid w:val="00D13210"/>
    <w:rsid w:val="00D20DD2"/>
    <w:rsid w:val="00D237E6"/>
    <w:rsid w:val="00D24201"/>
    <w:rsid w:val="00D24FE2"/>
    <w:rsid w:val="00D27BB2"/>
    <w:rsid w:val="00D3084A"/>
    <w:rsid w:val="00D324D3"/>
    <w:rsid w:val="00D32FF5"/>
    <w:rsid w:val="00D516AC"/>
    <w:rsid w:val="00D53ACE"/>
    <w:rsid w:val="00D55300"/>
    <w:rsid w:val="00D565FB"/>
    <w:rsid w:val="00D571F0"/>
    <w:rsid w:val="00D57F86"/>
    <w:rsid w:val="00D60F83"/>
    <w:rsid w:val="00D702E9"/>
    <w:rsid w:val="00D70FF7"/>
    <w:rsid w:val="00D71EF5"/>
    <w:rsid w:val="00D72665"/>
    <w:rsid w:val="00D72C08"/>
    <w:rsid w:val="00D73B30"/>
    <w:rsid w:val="00D74BBC"/>
    <w:rsid w:val="00D80864"/>
    <w:rsid w:val="00D81301"/>
    <w:rsid w:val="00D82845"/>
    <w:rsid w:val="00D86B80"/>
    <w:rsid w:val="00D90141"/>
    <w:rsid w:val="00D92D24"/>
    <w:rsid w:val="00D944CB"/>
    <w:rsid w:val="00D952C6"/>
    <w:rsid w:val="00D95405"/>
    <w:rsid w:val="00D96225"/>
    <w:rsid w:val="00DA09D4"/>
    <w:rsid w:val="00DA3097"/>
    <w:rsid w:val="00DA59D3"/>
    <w:rsid w:val="00DA66DC"/>
    <w:rsid w:val="00DA76EA"/>
    <w:rsid w:val="00DB287B"/>
    <w:rsid w:val="00DB41DE"/>
    <w:rsid w:val="00DB4A5A"/>
    <w:rsid w:val="00DC036E"/>
    <w:rsid w:val="00DC0586"/>
    <w:rsid w:val="00DC2CFF"/>
    <w:rsid w:val="00DC4C7F"/>
    <w:rsid w:val="00DC5A7B"/>
    <w:rsid w:val="00DD1114"/>
    <w:rsid w:val="00DD2E20"/>
    <w:rsid w:val="00DD458A"/>
    <w:rsid w:val="00DE649D"/>
    <w:rsid w:val="00DE7E2F"/>
    <w:rsid w:val="00DF03FD"/>
    <w:rsid w:val="00DF0B69"/>
    <w:rsid w:val="00DF3827"/>
    <w:rsid w:val="00DF628F"/>
    <w:rsid w:val="00DF781B"/>
    <w:rsid w:val="00E010C0"/>
    <w:rsid w:val="00E05793"/>
    <w:rsid w:val="00E1051D"/>
    <w:rsid w:val="00E15489"/>
    <w:rsid w:val="00E20447"/>
    <w:rsid w:val="00E234D2"/>
    <w:rsid w:val="00E25589"/>
    <w:rsid w:val="00E26BA4"/>
    <w:rsid w:val="00E27039"/>
    <w:rsid w:val="00E3432E"/>
    <w:rsid w:val="00E34649"/>
    <w:rsid w:val="00E35118"/>
    <w:rsid w:val="00E400DB"/>
    <w:rsid w:val="00E427ED"/>
    <w:rsid w:val="00E438EB"/>
    <w:rsid w:val="00E459C0"/>
    <w:rsid w:val="00E4655B"/>
    <w:rsid w:val="00E51ED8"/>
    <w:rsid w:val="00E527B7"/>
    <w:rsid w:val="00E53DE4"/>
    <w:rsid w:val="00E5470A"/>
    <w:rsid w:val="00E5506E"/>
    <w:rsid w:val="00E5530A"/>
    <w:rsid w:val="00E56BB3"/>
    <w:rsid w:val="00E57B7C"/>
    <w:rsid w:val="00E6084B"/>
    <w:rsid w:val="00E63276"/>
    <w:rsid w:val="00E65CA9"/>
    <w:rsid w:val="00E66ACE"/>
    <w:rsid w:val="00E670D3"/>
    <w:rsid w:val="00E72722"/>
    <w:rsid w:val="00E74783"/>
    <w:rsid w:val="00E76E6C"/>
    <w:rsid w:val="00E83C68"/>
    <w:rsid w:val="00E85DFB"/>
    <w:rsid w:val="00E91CE5"/>
    <w:rsid w:val="00E92A46"/>
    <w:rsid w:val="00E93D08"/>
    <w:rsid w:val="00E94588"/>
    <w:rsid w:val="00E962E7"/>
    <w:rsid w:val="00E964C1"/>
    <w:rsid w:val="00EA01BD"/>
    <w:rsid w:val="00EA0699"/>
    <w:rsid w:val="00EA2C80"/>
    <w:rsid w:val="00EA541B"/>
    <w:rsid w:val="00EA5EE5"/>
    <w:rsid w:val="00EA6F0E"/>
    <w:rsid w:val="00EA75D2"/>
    <w:rsid w:val="00EA7704"/>
    <w:rsid w:val="00EB0A6C"/>
    <w:rsid w:val="00EB0D1B"/>
    <w:rsid w:val="00EB71F5"/>
    <w:rsid w:val="00EC0522"/>
    <w:rsid w:val="00EC0F6B"/>
    <w:rsid w:val="00ED3585"/>
    <w:rsid w:val="00ED3BF7"/>
    <w:rsid w:val="00ED42B6"/>
    <w:rsid w:val="00ED5C8E"/>
    <w:rsid w:val="00EE0BD0"/>
    <w:rsid w:val="00EE11D5"/>
    <w:rsid w:val="00EE1EB6"/>
    <w:rsid w:val="00EE5F0F"/>
    <w:rsid w:val="00EE6155"/>
    <w:rsid w:val="00EE686F"/>
    <w:rsid w:val="00EE710A"/>
    <w:rsid w:val="00EF2BCA"/>
    <w:rsid w:val="00EF6DBC"/>
    <w:rsid w:val="00EF6F4D"/>
    <w:rsid w:val="00F034AC"/>
    <w:rsid w:val="00F040F8"/>
    <w:rsid w:val="00F061CE"/>
    <w:rsid w:val="00F065A0"/>
    <w:rsid w:val="00F10090"/>
    <w:rsid w:val="00F101D4"/>
    <w:rsid w:val="00F10B4C"/>
    <w:rsid w:val="00F11665"/>
    <w:rsid w:val="00F13CC0"/>
    <w:rsid w:val="00F16A5A"/>
    <w:rsid w:val="00F20A32"/>
    <w:rsid w:val="00F2323D"/>
    <w:rsid w:val="00F30844"/>
    <w:rsid w:val="00F34250"/>
    <w:rsid w:val="00F3438F"/>
    <w:rsid w:val="00F36D0C"/>
    <w:rsid w:val="00F40198"/>
    <w:rsid w:val="00F4455E"/>
    <w:rsid w:val="00F51451"/>
    <w:rsid w:val="00F539EE"/>
    <w:rsid w:val="00F607B6"/>
    <w:rsid w:val="00F6298B"/>
    <w:rsid w:val="00F64BD0"/>
    <w:rsid w:val="00F67554"/>
    <w:rsid w:val="00F74AE5"/>
    <w:rsid w:val="00F76A1E"/>
    <w:rsid w:val="00F80574"/>
    <w:rsid w:val="00F805E6"/>
    <w:rsid w:val="00F809C2"/>
    <w:rsid w:val="00F80CF7"/>
    <w:rsid w:val="00F80CFB"/>
    <w:rsid w:val="00F80D63"/>
    <w:rsid w:val="00F84957"/>
    <w:rsid w:val="00F860BB"/>
    <w:rsid w:val="00F86C9E"/>
    <w:rsid w:val="00F9376E"/>
    <w:rsid w:val="00F940C1"/>
    <w:rsid w:val="00F9493D"/>
    <w:rsid w:val="00F97AEA"/>
    <w:rsid w:val="00FA1A55"/>
    <w:rsid w:val="00FA23BA"/>
    <w:rsid w:val="00FA3334"/>
    <w:rsid w:val="00FA4076"/>
    <w:rsid w:val="00FB0180"/>
    <w:rsid w:val="00FB1255"/>
    <w:rsid w:val="00FB2130"/>
    <w:rsid w:val="00FB7BEF"/>
    <w:rsid w:val="00FC59F1"/>
    <w:rsid w:val="00FE0899"/>
    <w:rsid w:val="00FE5E24"/>
    <w:rsid w:val="00FF16FF"/>
    <w:rsid w:val="00FF27C8"/>
    <w:rsid w:val="00FF2DAF"/>
    <w:rsid w:val="0523E8C3"/>
    <w:rsid w:val="0D4EF116"/>
    <w:rsid w:val="0D72C2A7"/>
    <w:rsid w:val="1E882652"/>
    <w:rsid w:val="2281F784"/>
    <w:rsid w:val="275F7A62"/>
    <w:rsid w:val="2775DBB8"/>
    <w:rsid w:val="29C4654C"/>
    <w:rsid w:val="3EFB96A6"/>
    <w:rsid w:val="4BB6F3FC"/>
    <w:rsid w:val="4EF832C8"/>
    <w:rsid w:val="5105BFB0"/>
    <w:rsid w:val="636D0BA4"/>
    <w:rsid w:val="63D82DCB"/>
    <w:rsid w:val="6A48D110"/>
    <w:rsid w:val="716E3A39"/>
    <w:rsid w:val="7AB01AA5"/>
    <w:rsid w:val="7CEDC244"/>
    <w:rsid w:val="7D31F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8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FA"/>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basedOn w:val="DefaultParagraphFont"/>
    <w:link w:val="Header"/>
    <w:rsid w:val="00FF16FF"/>
    <w:rPr>
      <w:rFonts w:asciiTheme="minorHAnsi" w:hAnsiTheme="minorHAnsi"/>
      <w:sz w:val="16"/>
      <w:szCs w:val="24"/>
      <w:lang w:eastAsia="en-US"/>
    </w:rPr>
  </w:style>
  <w:style w:type="paragraph" w:styleId="Footer">
    <w:name w:val="footer"/>
    <w:basedOn w:val="Normal"/>
    <w:link w:val="FooterChar"/>
    <w:rsid w:val="00FF16FF"/>
    <w:pPr>
      <w:spacing w:before="0" w:after="0" w:line="240" w:lineRule="auto"/>
    </w:pPr>
    <w:rPr>
      <w:sz w:val="16"/>
    </w:rPr>
  </w:style>
  <w:style w:type="character" w:customStyle="1" w:styleId="FooterChar">
    <w:name w:val="Footer Char"/>
    <w:basedOn w:val="DefaultParagraphFont"/>
    <w:link w:val="Footer"/>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70FF7"/>
    <w:pPr>
      <w:numPr>
        <w:ilvl w:val="2"/>
      </w:numPr>
      <w:tabs>
        <w:tab w:val="left" w:pos="1134"/>
      </w:tabs>
      <w:spacing w:before="120" w:after="120" w:line="276" w:lineRule="auto"/>
    </w:pPr>
    <w:rPr>
      <w:b w:val="0"/>
      <w:sz w:val="20"/>
    </w:rPr>
  </w:style>
  <w:style w:type="paragraph" w:customStyle="1" w:styleId="aBullet">
    <w:name w:val="#.#.# (a) Bullet"/>
    <w:basedOn w:val="Bullet1"/>
    <w:qFormat/>
    <w:rsid w:val="009D15ED"/>
    <w:pPr>
      <w:numPr>
        <w:ilvl w:val="3"/>
      </w:numPr>
      <w:tabs>
        <w:tab w:val="left" w:pos="1134"/>
        <w:tab w:val="num" w:pos="1162"/>
      </w:tabs>
      <w:ind w:left="1162"/>
    </w:pPr>
  </w:style>
  <w:style w:type="paragraph" w:customStyle="1" w:styleId="aiBullet">
    <w:name w:val="#.#.# (a) (i) Bullet"/>
    <w:basedOn w:val="aBullet"/>
    <w:qFormat/>
    <w:rsid w:val="009D15ED"/>
    <w:pPr>
      <w:numPr>
        <w:ilvl w:val="4"/>
      </w:numPr>
    </w:pPr>
  </w:style>
  <w:style w:type="paragraph" w:customStyle="1" w:styleId="Bullet0">
    <w:name w:val="#.# Bullet"/>
    <w:basedOn w:val="Bullet"/>
    <w:qFormat/>
    <w:rsid w:val="009D15ED"/>
    <w:pPr>
      <w:numPr>
        <w:ilvl w:val="1"/>
      </w:numPr>
      <w:spacing w:before="280" w:after="200"/>
    </w:pPr>
    <w:rPr>
      <w:sz w:val="28"/>
      <w:szCs w:val="24"/>
    </w:rPr>
  </w:style>
  <w:style w:type="paragraph" w:customStyle="1" w:styleId="Bullet">
    <w:name w:val="# Bullet"/>
    <w:qFormat/>
    <w:rsid w:val="009D15ED"/>
    <w:pPr>
      <w:numPr>
        <w:numId w:val="1"/>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A76D1D"/>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794D6F"/>
    <w:pPr>
      <w:numPr>
        <w:numId w:val="4"/>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uiPriority w:val="99"/>
    <w:rsid w:val="009D15ED"/>
    <w:pPr>
      <w:numPr>
        <w:numId w:val="10"/>
      </w:numPr>
    </w:pPr>
  </w:style>
  <w:style w:type="paragraph" w:customStyle="1" w:styleId="RoundBulletL1">
    <w:name w:val="Round Bullet L1"/>
    <w:basedOn w:val="Normal"/>
    <w:qFormat/>
    <w:rsid w:val="00794D6F"/>
    <w:pPr>
      <w:numPr>
        <w:numId w:val="7"/>
      </w:numPr>
    </w:pPr>
  </w:style>
  <w:style w:type="paragraph" w:customStyle="1" w:styleId="RoundBulletL2">
    <w:name w:val="Round Bullet L2"/>
    <w:basedOn w:val="Normal"/>
    <w:qFormat/>
    <w:rsid w:val="00794D6F"/>
    <w:pPr>
      <w:numPr>
        <w:ilvl w:val="1"/>
        <w:numId w:val="7"/>
      </w:numPr>
    </w:pPr>
  </w:style>
  <w:style w:type="paragraph" w:customStyle="1" w:styleId="RoundBulletL3">
    <w:name w:val="Round Bullet L3"/>
    <w:basedOn w:val="Normal"/>
    <w:qFormat/>
    <w:rsid w:val="00794D6F"/>
    <w:pPr>
      <w:numPr>
        <w:ilvl w:val="2"/>
        <w:numId w:val="7"/>
      </w:numPr>
    </w:pPr>
  </w:style>
  <w:style w:type="paragraph" w:customStyle="1" w:styleId="RoundBulletL4">
    <w:name w:val="Round Bullet L4"/>
    <w:basedOn w:val="Normal"/>
    <w:qFormat/>
    <w:rsid w:val="00794D6F"/>
    <w:pPr>
      <w:numPr>
        <w:ilvl w:val="3"/>
        <w:numId w:val="7"/>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794D6F"/>
    <w:pPr>
      <w:numPr>
        <w:numId w:val="3"/>
      </w:numPr>
    </w:pPr>
  </w:style>
  <w:style w:type="paragraph" w:customStyle="1" w:styleId="TableBulletL1">
    <w:name w:val="Table Bullet L1"/>
    <w:basedOn w:val="Normal"/>
    <w:qFormat/>
    <w:rsid w:val="00794D6F"/>
    <w:pPr>
      <w:numPr>
        <w:numId w:val="8"/>
      </w:numPr>
      <w:spacing w:before="60" w:after="60" w:line="240" w:lineRule="auto"/>
      <w:ind w:right="85"/>
    </w:pPr>
  </w:style>
  <w:style w:type="paragraph" w:customStyle="1" w:styleId="TableBulletL2">
    <w:name w:val="Table Bullet L2"/>
    <w:basedOn w:val="Normal"/>
    <w:qFormat/>
    <w:rsid w:val="00794D6F"/>
    <w:pPr>
      <w:numPr>
        <w:ilvl w:val="1"/>
        <w:numId w:val="8"/>
      </w:numPr>
      <w:spacing w:before="60" w:after="60" w:line="240" w:lineRule="auto"/>
      <w:ind w:right="85"/>
    </w:pPr>
  </w:style>
  <w:style w:type="paragraph" w:customStyle="1" w:styleId="TableBulletL3">
    <w:name w:val="Table Bullet L3"/>
    <w:basedOn w:val="Normal"/>
    <w:qFormat/>
    <w:rsid w:val="00794D6F"/>
    <w:pPr>
      <w:numPr>
        <w:ilvl w:val="2"/>
        <w:numId w:val="8"/>
      </w:numPr>
      <w:spacing w:before="60" w:after="60" w:line="240" w:lineRule="auto"/>
      <w:ind w:right="85"/>
    </w:pPr>
  </w:style>
  <w:style w:type="paragraph" w:customStyle="1" w:styleId="AlphaBulletL1">
    <w:name w:val="Alpha Bullet L1"/>
    <w:basedOn w:val="Normal"/>
    <w:qFormat/>
    <w:rsid w:val="005B75CA"/>
    <w:pPr>
      <w:numPr>
        <w:numId w:val="5"/>
      </w:numPr>
    </w:pPr>
  </w:style>
  <w:style w:type="paragraph" w:customStyle="1" w:styleId="AlphaBulletL2">
    <w:name w:val="Alpha Bullet L2"/>
    <w:basedOn w:val="Normal"/>
    <w:qFormat/>
    <w:rsid w:val="005B75CA"/>
    <w:pPr>
      <w:numPr>
        <w:ilvl w:val="1"/>
        <w:numId w:val="5"/>
      </w:numPr>
    </w:pPr>
  </w:style>
  <w:style w:type="paragraph" w:customStyle="1" w:styleId="AlphaBulletL3">
    <w:name w:val="Alpha Bullet L3"/>
    <w:basedOn w:val="Normal"/>
    <w:qFormat/>
    <w:rsid w:val="005B75CA"/>
    <w:pPr>
      <w:numPr>
        <w:ilvl w:val="2"/>
        <w:numId w:val="5"/>
      </w:numPr>
    </w:pPr>
  </w:style>
  <w:style w:type="paragraph" w:customStyle="1" w:styleId="AlphaBulletL4">
    <w:name w:val="Alpha Bullet L4"/>
    <w:basedOn w:val="Normal"/>
    <w:qFormat/>
    <w:rsid w:val="005B75CA"/>
    <w:pPr>
      <w:numPr>
        <w:ilvl w:val="3"/>
        <w:numId w:val="5"/>
      </w:numPr>
    </w:pPr>
  </w:style>
  <w:style w:type="numbering" w:customStyle="1" w:styleId="EAAlphaBullets">
    <w:name w:val="EA Alpha Bullets"/>
    <w:uiPriority w:val="99"/>
    <w:rsid w:val="005B75CA"/>
    <w:pPr>
      <w:numPr>
        <w:numId w:val="9"/>
      </w:numPr>
    </w:pPr>
  </w:style>
  <w:style w:type="paragraph" w:customStyle="1" w:styleId="RomanBulletL1">
    <w:name w:val="Roman Bullet L1"/>
    <w:basedOn w:val="Normal"/>
    <w:qFormat/>
    <w:rsid w:val="00B563C4"/>
    <w:pPr>
      <w:numPr>
        <w:numId w:val="6"/>
      </w:numPr>
    </w:pPr>
  </w:style>
  <w:style w:type="paragraph" w:customStyle="1" w:styleId="RomanBulletL2">
    <w:name w:val="Roman Bullet L2"/>
    <w:basedOn w:val="Normal"/>
    <w:qFormat/>
    <w:rsid w:val="00B563C4"/>
    <w:pPr>
      <w:numPr>
        <w:ilvl w:val="1"/>
        <w:numId w:val="6"/>
      </w:numPr>
    </w:pPr>
  </w:style>
  <w:style w:type="paragraph" w:customStyle="1" w:styleId="RomanBulletL3">
    <w:name w:val="Roman Bullet L3"/>
    <w:basedOn w:val="Normal"/>
    <w:qFormat/>
    <w:rsid w:val="00B563C4"/>
    <w:pPr>
      <w:numPr>
        <w:ilvl w:val="2"/>
        <w:numId w:val="6"/>
      </w:numPr>
    </w:pPr>
  </w:style>
  <w:style w:type="paragraph" w:customStyle="1" w:styleId="RomanBulletL4">
    <w:name w:val="Roman Bullet L4"/>
    <w:basedOn w:val="Normal"/>
    <w:qFormat/>
    <w:rsid w:val="00B563C4"/>
    <w:pPr>
      <w:numPr>
        <w:ilvl w:val="3"/>
        <w:numId w:val="6"/>
      </w:numPr>
    </w:pPr>
  </w:style>
  <w:style w:type="numbering" w:customStyle="1" w:styleId="EARomanBullets">
    <w:name w:val="EA Roman Bullets"/>
    <w:uiPriority w:val="99"/>
    <w:rsid w:val="00B563C4"/>
    <w:pPr>
      <w:numPr>
        <w:numId w:val="6"/>
      </w:numPr>
    </w:pPr>
  </w:style>
  <w:style w:type="paragraph" w:customStyle="1" w:styleId="Heading1NotIndexed">
    <w:name w:val="Heading 1 (Not Indexed)"/>
    <w:basedOn w:val="Normal"/>
    <w:qFormat/>
    <w:rsid w:val="00490297"/>
    <w:pPr>
      <w:spacing w:before="0" w:after="400" w:line="240" w:lineRule="auto"/>
    </w:pPr>
    <w:rPr>
      <w:b/>
      <w:sz w:val="36"/>
    </w:rPr>
  </w:style>
  <w:style w:type="character" w:customStyle="1" w:styleId="BlueBold">
    <w:name w:val="Blue (Bold)"/>
    <w:basedOn w:val="DefaultParagraphFont"/>
    <w:uiPriority w:val="1"/>
    <w:qFormat/>
    <w:rsid w:val="00E527B7"/>
    <w:rPr>
      <w:b/>
      <w:color w:val="0000FF" w:themeColor="accent3"/>
    </w:rPr>
  </w:style>
  <w:style w:type="character" w:customStyle="1" w:styleId="PinkBold">
    <w:name w:val="Pink (Bold)"/>
    <w:basedOn w:val="DefaultParagraphFont"/>
    <w:uiPriority w:val="1"/>
    <w:qFormat/>
    <w:rsid w:val="00E527B7"/>
    <w:rPr>
      <w:b/>
      <w:color w:val="FF00FF" w:themeColor="accent2"/>
    </w:rPr>
  </w:style>
  <w:style w:type="character" w:customStyle="1" w:styleId="RedBold">
    <w:name w:val="Red (Bold)"/>
    <w:basedOn w:val="DefaultParagraphFont"/>
    <w:uiPriority w:val="1"/>
    <w:qFormat/>
    <w:rsid w:val="00E527B7"/>
    <w:rPr>
      <w:b/>
      <w:color w:val="FF0000" w:themeColor="accent1"/>
    </w:rPr>
  </w:style>
  <w:style w:type="paragraph" w:styleId="Subtitle">
    <w:name w:val="Subtitle"/>
    <w:basedOn w:val="Normal"/>
    <w:next w:val="Normal"/>
    <w:link w:val="SubtitleChar"/>
    <w:qFormat/>
    <w:locked/>
    <w:rsid w:val="00E527B7"/>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E527B7"/>
    <w:rPr>
      <w:rFonts w:asciiTheme="majorHAnsi" w:eastAsiaTheme="majorEastAsia" w:hAnsiTheme="majorHAnsi" w:cstheme="majorBidi"/>
      <w:b/>
      <w:iCs/>
      <w:sz w:val="28"/>
      <w:szCs w:val="24"/>
      <w:lang w:eastAsia="en-US"/>
    </w:rPr>
  </w:style>
  <w:style w:type="paragraph" w:styleId="Title">
    <w:name w:val="Title"/>
    <w:basedOn w:val="Normal"/>
    <w:next w:val="Normal"/>
    <w:link w:val="TitleChar"/>
    <w:qFormat/>
    <w:rsid w:val="00E527B7"/>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E527B7"/>
    <w:rPr>
      <w:rFonts w:asciiTheme="majorHAnsi" w:eastAsiaTheme="majorEastAsia" w:hAnsiTheme="majorHAnsi" w:cstheme="majorBidi"/>
      <w:b/>
      <w:color w:val="1C1C1C" w:themeColor="text2" w:themeShade="BF"/>
      <w:spacing w:val="5"/>
      <w:kern w:val="28"/>
      <w:sz w:val="48"/>
      <w:szCs w:val="52"/>
      <w:lang w:eastAsia="en-US"/>
    </w:rPr>
  </w:style>
  <w:style w:type="paragraph" w:styleId="NoSpacing">
    <w:name w:val="No Spacing"/>
    <w:uiPriority w:val="1"/>
    <w:qFormat/>
    <w:rsid w:val="00794D6F"/>
    <w:pPr>
      <w:spacing w:line="276" w:lineRule="auto"/>
    </w:pPr>
    <w:rPr>
      <w:rFonts w:asciiTheme="minorHAnsi" w:hAnsiTheme="minorHAnsi"/>
      <w:szCs w:val="24"/>
      <w:lang w:eastAsia="en-US"/>
    </w:rPr>
  </w:style>
  <w:style w:type="character" w:styleId="CommentReference">
    <w:name w:val="annotation reference"/>
    <w:basedOn w:val="DefaultParagraphFont"/>
    <w:uiPriority w:val="99"/>
    <w:rsid w:val="00C33BAF"/>
    <w:rPr>
      <w:sz w:val="16"/>
      <w:szCs w:val="16"/>
    </w:rPr>
  </w:style>
  <w:style w:type="paragraph" w:styleId="CommentText">
    <w:name w:val="annotation text"/>
    <w:basedOn w:val="Normal"/>
    <w:link w:val="CommentTextChar"/>
    <w:rsid w:val="00C33BAF"/>
    <w:pPr>
      <w:spacing w:line="240" w:lineRule="auto"/>
    </w:pPr>
    <w:rPr>
      <w:szCs w:val="20"/>
    </w:rPr>
  </w:style>
  <w:style w:type="character" w:customStyle="1" w:styleId="CommentTextChar">
    <w:name w:val="Comment Text Char"/>
    <w:basedOn w:val="DefaultParagraphFont"/>
    <w:link w:val="CommentText"/>
    <w:rsid w:val="00C33BAF"/>
    <w:rPr>
      <w:rFonts w:asciiTheme="minorHAnsi" w:hAnsiTheme="minorHAnsi"/>
      <w:lang w:eastAsia="en-US"/>
    </w:rPr>
  </w:style>
  <w:style w:type="paragraph" w:styleId="CommentSubject">
    <w:name w:val="annotation subject"/>
    <w:basedOn w:val="CommentText"/>
    <w:next w:val="CommentText"/>
    <w:link w:val="CommentSubjectChar"/>
    <w:rsid w:val="00C33BAF"/>
    <w:rPr>
      <w:b/>
      <w:bCs/>
    </w:rPr>
  </w:style>
  <w:style w:type="character" w:customStyle="1" w:styleId="CommentSubjectChar">
    <w:name w:val="Comment Subject Char"/>
    <w:basedOn w:val="CommentTextChar"/>
    <w:link w:val="CommentSubject"/>
    <w:rsid w:val="00C33BAF"/>
    <w:rPr>
      <w:rFonts w:asciiTheme="minorHAnsi" w:hAnsiTheme="minorHAnsi"/>
      <w:b/>
      <w:bCs/>
      <w:lang w:eastAsia="en-US"/>
    </w:rPr>
  </w:style>
  <w:style w:type="paragraph" w:customStyle="1" w:styleId="Bullettext1">
    <w:name w:val="Bullet text 1"/>
    <w:basedOn w:val="Normal"/>
    <w:link w:val="Bullettext1Char"/>
    <w:qFormat/>
    <w:rsid w:val="004D3ADB"/>
    <w:pPr>
      <w:numPr>
        <w:numId w:val="11"/>
      </w:numPr>
      <w:spacing w:before="60" w:after="60" w:line="240" w:lineRule="auto"/>
      <w:ind w:left="357" w:hanging="357"/>
    </w:pPr>
    <w:rPr>
      <w:rFonts w:ascii="Arial" w:eastAsia="Arial" w:hAnsi="Arial" w:cs="Calibri"/>
      <w:sz w:val="22"/>
      <w:szCs w:val="22"/>
      <w:lang w:eastAsia="en-GB"/>
    </w:rPr>
  </w:style>
  <w:style w:type="character" w:customStyle="1" w:styleId="Bullettext1Char">
    <w:name w:val="Bullet text 1 Char"/>
    <w:basedOn w:val="DefaultParagraphFont"/>
    <w:link w:val="Bullettext1"/>
    <w:rsid w:val="004D3ADB"/>
    <w:rPr>
      <w:rFonts w:ascii="Arial" w:eastAsia="Arial" w:hAnsi="Arial" w:cs="Calibri"/>
      <w:sz w:val="22"/>
      <w:szCs w:val="22"/>
    </w:rPr>
  </w:style>
  <w:style w:type="paragraph" w:customStyle="1" w:styleId="Default">
    <w:name w:val="Default"/>
    <w:rsid w:val="00515C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5487"/>
    <w:rPr>
      <w:rFonts w:asciiTheme="minorHAnsi" w:hAnsi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671065">
      <w:bodyDiv w:val="1"/>
      <w:marLeft w:val="0"/>
      <w:marRight w:val="0"/>
      <w:marTop w:val="0"/>
      <w:marBottom w:val="0"/>
      <w:divBdr>
        <w:top w:val="none" w:sz="0" w:space="0" w:color="auto"/>
        <w:left w:val="none" w:sz="0" w:space="0" w:color="auto"/>
        <w:bottom w:val="none" w:sz="0" w:space="0" w:color="auto"/>
        <w:right w:val="none" w:sz="0" w:space="0" w:color="auto"/>
      </w:divBdr>
    </w:div>
    <w:div w:id="1450469457">
      <w:bodyDiv w:val="1"/>
      <w:marLeft w:val="0"/>
      <w:marRight w:val="0"/>
      <w:marTop w:val="0"/>
      <w:marBottom w:val="0"/>
      <w:divBdr>
        <w:top w:val="none" w:sz="0" w:space="0" w:color="auto"/>
        <w:left w:val="none" w:sz="0" w:space="0" w:color="auto"/>
        <w:bottom w:val="none" w:sz="0" w:space="0" w:color="auto"/>
        <w:right w:val="none" w:sz="0" w:space="0" w:color="auto"/>
      </w:divBdr>
    </w:div>
    <w:div w:id="1592617436">
      <w:bodyDiv w:val="1"/>
      <w:marLeft w:val="0"/>
      <w:marRight w:val="0"/>
      <w:marTop w:val="0"/>
      <w:marBottom w:val="0"/>
      <w:divBdr>
        <w:top w:val="none" w:sz="0" w:space="0" w:color="auto"/>
        <w:left w:val="none" w:sz="0" w:space="0" w:color="auto"/>
        <w:bottom w:val="none" w:sz="0" w:space="0" w:color="auto"/>
        <w:right w:val="none" w:sz="0" w:space="0" w:color="auto"/>
      </w:divBdr>
    </w:div>
    <w:div w:id="1840271852">
      <w:bodyDiv w:val="1"/>
      <w:marLeft w:val="0"/>
      <w:marRight w:val="0"/>
      <w:marTop w:val="0"/>
      <w:marBottom w:val="0"/>
      <w:divBdr>
        <w:top w:val="none" w:sz="0" w:space="0" w:color="auto"/>
        <w:left w:val="none" w:sz="0" w:space="0" w:color="auto"/>
        <w:bottom w:val="none" w:sz="0" w:space="0" w:color="auto"/>
        <w:right w:val="none" w:sz="0" w:space="0" w:color="auto"/>
      </w:divBdr>
      <w:divsChild>
        <w:div w:id="1092093238">
          <w:marLeft w:val="0"/>
          <w:marRight w:val="0"/>
          <w:marTop w:val="0"/>
          <w:marBottom w:val="0"/>
          <w:divBdr>
            <w:top w:val="none" w:sz="0" w:space="0" w:color="auto"/>
            <w:left w:val="none" w:sz="0" w:space="0" w:color="auto"/>
            <w:bottom w:val="none" w:sz="0" w:space="0" w:color="auto"/>
            <w:right w:val="none" w:sz="0" w:space="0" w:color="auto"/>
          </w:divBdr>
          <w:divsChild>
            <w:div w:id="1281493044">
              <w:marLeft w:val="0"/>
              <w:marRight w:val="0"/>
              <w:marTop w:val="0"/>
              <w:marBottom w:val="0"/>
              <w:divBdr>
                <w:top w:val="none" w:sz="0" w:space="0" w:color="auto"/>
                <w:left w:val="none" w:sz="0" w:space="0" w:color="auto"/>
                <w:bottom w:val="none" w:sz="0" w:space="0" w:color="auto"/>
                <w:right w:val="none" w:sz="0" w:space="0" w:color="auto"/>
              </w:divBdr>
              <w:divsChild>
                <w:div w:id="642806841">
                  <w:marLeft w:val="0"/>
                  <w:marRight w:val="0"/>
                  <w:marTop w:val="0"/>
                  <w:marBottom w:val="0"/>
                  <w:divBdr>
                    <w:top w:val="none" w:sz="0" w:space="0" w:color="auto"/>
                    <w:left w:val="none" w:sz="0" w:space="0" w:color="auto"/>
                    <w:bottom w:val="none" w:sz="0" w:space="0" w:color="auto"/>
                    <w:right w:val="none" w:sz="0" w:space="0" w:color="auto"/>
                  </w:divBdr>
                </w:div>
                <w:div w:id="147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SharedWithUsers xmlns="41b1b97e-58d0-4f82-aacc-4a7d6fa43521">
      <UserInfo>
        <DisplayName>Loveday, Tim</DisplayName>
        <AccountId>6699</AccountId>
        <AccountType/>
      </UserInfo>
      <UserInfo>
        <DisplayName>Moses Arthurs (Admin)</DisplayName>
        <AccountId>6700</AccountId>
        <AccountType/>
      </UserInfo>
    </SharedWithUsers>
    <TaxCatchAll xmlns="662745e8-e224-48e8-a2e3-254862b8c2f5">
      <Value>6</Value>
      <Value>21</Value>
      <Value>20</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B6CEB-ACFB-497D-B0AC-0BEB7EBAB20B}">
  <ds:schemaRefs>
    <ds:schemaRef ds:uri="http://schemas.microsoft.com/office/2006/metadata/properties"/>
    <ds:schemaRef ds:uri="http://purl.org/dc/elements/1.1/"/>
    <ds:schemaRef ds:uri="http://schemas.microsoft.com/office/2006/documentManagement/types"/>
    <ds:schemaRef ds:uri="662745e8-e224-48e8-a2e3-254862b8c2f5"/>
    <ds:schemaRef ds:uri="http://purl.org/dc/terms/"/>
    <ds:schemaRef ds:uri="http://www.w3.org/XML/1998/namespace"/>
    <ds:schemaRef ds:uri="http://schemas.microsoft.com/office/infopath/2007/PartnerControls"/>
    <ds:schemaRef ds:uri="http://purl.org/dc/dcmitype/"/>
    <ds:schemaRef ds:uri="http://schemas.openxmlformats.org/package/2006/metadata/core-properties"/>
    <ds:schemaRef ds:uri="41b1b97e-58d0-4f82-aacc-4a7d6fa43521"/>
    <ds:schemaRef ds:uri="9736588e-7ce2-4f75-a7db-01c547a5d6d2"/>
  </ds:schemaRefs>
</ds:datastoreItem>
</file>

<file path=customXml/itemProps2.xml><?xml version="1.0" encoding="utf-8"?>
<ds:datastoreItem xmlns:ds="http://schemas.openxmlformats.org/officeDocument/2006/customXml" ds:itemID="{902E9158-C4CA-460C-BA74-E3B8C1F353B5}">
  <ds:schemaRefs>
    <ds:schemaRef ds:uri="http://schemas.microsoft.com/sharepoint/v3/contenttype/forms"/>
  </ds:schemaRefs>
</ds:datastoreItem>
</file>

<file path=customXml/itemProps3.xml><?xml version="1.0" encoding="utf-8"?>
<ds:datastoreItem xmlns:ds="http://schemas.openxmlformats.org/officeDocument/2006/customXml" ds:itemID="{2281C3FB-31B4-4DF5-AFF1-91109BB6B4B8}">
  <ds:schemaRefs>
    <ds:schemaRef ds:uri="Microsoft.SharePoint.Taxonomy.ContentTypeSync"/>
  </ds:schemaRefs>
</ds:datastoreItem>
</file>

<file path=customXml/itemProps4.xml><?xml version="1.0" encoding="utf-8"?>
<ds:datastoreItem xmlns:ds="http://schemas.openxmlformats.org/officeDocument/2006/customXml" ds:itemID="{73E6DF3E-4AAE-42C1-A3B3-29BBE52AC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E10838-C885-4C16-9A8A-42E05032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2525</Words>
  <Characters>13023</Characters>
  <Application>Microsoft Office Word</Application>
  <DocSecurity>0</DocSecurity>
  <Lines>108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2025-03-20T11:37:00Z</dcterms:created>
  <dcterms:modified xsi:type="dcterms:W3CDTF">2025-03-24T09:09:00Z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348600</vt:r8>
  </property>
  <property fmtid="{D5CDD505-2E9C-101B-9397-08002B2CF9AE}" pid="4" name="Distribution">
    <vt:lpwstr>20;#Internal EA|b77da37e-7166-4741-8c12-4679faab22d9</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21;#Community|144ac7d7-0b9a-42f9-9385-2935294b6de3</vt:lpwstr>
  </property>
  <property fmtid="{D5CDD505-2E9C-101B-9397-08002B2CF9AE}" pid="15" name="TriggerFlowInfo">
    <vt:lpwstr/>
  </property>
</Properties>
</file>