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7ED2D" w14:textId="0D59DDA2" w:rsidR="006D0F67" w:rsidRDefault="00441D0A" w:rsidP="004036E7">
      <w:pPr>
        <w:pStyle w:val="Title"/>
        <w:rPr>
          <w:color w:val="FF0000"/>
          <w:sz w:val="40"/>
          <w:szCs w:val="44"/>
        </w:rPr>
      </w:pPr>
      <w:r>
        <w:rPr>
          <w:color w:val="FF0000"/>
          <w:sz w:val="40"/>
          <w:szCs w:val="44"/>
        </w:rPr>
        <w:t>D</w:t>
      </w:r>
      <w:r w:rsidR="00FB4577" w:rsidRPr="006D0F67">
        <w:rPr>
          <w:color w:val="FF0000"/>
          <w:sz w:val="40"/>
          <w:szCs w:val="44"/>
        </w:rPr>
        <w:t>RAFT</w:t>
      </w:r>
    </w:p>
    <w:p w14:paraId="6A1231EE" w14:textId="03D6033A" w:rsidR="006D0F67" w:rsidRPr="006D0F67" w:rsidRDefault="006D0F67" w:rsidP="006D0F67">
      <w:pPr>
        <w:rPr>
          <w:sz w:val="32"/>
          <w:szCs w:val="40"/>
        </w:rPr>
      </w:pPr>
      <w:r w:rsidRPr="006D0F67">
        <w:rPr>
          <w:sz w:val="32"/>
          <w:szCs w:val="40"/>
        </w:rPr>
        <w:t>Statutory Guidance</w:t>
      </w:r>
    </w:p>
    <w:p w14:paraId="5C7C76B8" w14:textId="4239C4DB" w:rsidR="000848DA" w:rsidRPr="001C65C6" w:rsidRDefault="00B966B0" w:rsidP="006D0F67">
      <w:pPr>
        <w:pStyle w:val="Heading1"/>
        <w:rPr>
          <w:rStyle w:val="Red"/>
          <w:color w:val="auto"/>
        </w:rPr>
      </w:pPr>
      <w:r>
        <w:t>SR</w:t>
      </w:r>
      <w:r w:rsidR="00E960A0">
        <w:t>20</w:t>
      </w:r>
      <w:r w:rsidR="00D20A1D" w:rsidRPr="5AFD2E8F">
        <w:rPr>
          <w:rStyle w:val="Red"/>
          <w:color w:val="auto"/>
        </w:rPr>
        <w:t>24</w:t>
      </w:r>
      <w:r>
        <w:t xml:space="preserve"> No</w:t>
      </w:r>
      <w:r w:rsidR="00955EEB">
        <w:t xml:space="preserve"> </w:t>
      </w:r>
      <w:r w:rsidR="5CBD6CD2">
        <w:t>2</w:t>
      </w:r>
      <w:r w:rsidR="006D0F67" w:rsidRPr="5AFD2E8F">
        <w:rPr>
          <w:rStyle w:val="Red"/>
          <w:color w:val="auto"/>
        </w:rPr>
        <w:t xml:space="preserve">: </w:t>
      </w:r>
      <w:bookmarkStart w:id="0" w:name="_Hlk165537299"/>
      <w:r w:rsidR="006D0F67" w:rsidRPr="5AFD2E8F">
        <w:rPr>
          <w:rStyle w:val="Red"/>
          <w:color w:val="auto"/>
        </w:rPr>
        <w:t xml:space="preserve">Using unbound incinerator bottom ash aggregate (IBAA) in construction as a deposit for recovery operation </w:t>
      </w:r>
      <w:bookmarkEnd w:id="0"/>
    </w:p>
    <w:p w14:paraId="2DE354CD" w14:textId="39978EAC" w:rsidR="00E960A0" w:rsidRPr="001C65C6" w:rsidRDefault="00895766" w:rsidP="00E960A0">
      <w:pPr>
        <w:pStyle w:val="Subtitle"/>
      </w:pPr>
      <w:r w:rsidRPr="001C65C6">
        <w:t>T</w:t>
      </w:r>
      <w:r w:rsidR="00E960A0" w:rsidRPr="001C65C6">
        <w:t>he Environmental Permitting (England &amp; Wales) Regulations 201</w:t>
      </w:r>
      <w:r w:rsidR="00935229" w:rsidRPr="001C65C6">
        <w:t>6</w:t>
      </w:r>
    </w:p>
    <w:p w14:paraId="0B2921DB" w14:textId="63989D64" w:rsidR="008258B9" w:rsidRPr="006D0F67" w:rsidRDefault="008258B9" w:rsidP="006D157E">
      <w:pPr>
        <w:pStyle w:val="Heading1"/>
        <w:rPr>
          <w:rStyle w:val="Red"/>
          <w:color w:val="auto"/>
          <w:sz w:val="28"/>
          <w:szCs w:val="24"/>
        </w:rPr>
      </w:pPr>
      <w:r w:rsidRPr="006D0F67">
        <w:rPr>
          <w:rStyle w:val="Red"/>
          <w:color w:val="auto"/>
          <w:sz w:val="28"/>
          <w:szCs w:val="24"/>
        </w:rPr>
        <w:t>Maximum</w:t>
      </w:r>
      <w:r w:rsidR="006A3699">
        <w:rPr>
          <w:rStyle w:val="Red"/>
          <w:color w:val="auto"/>
          <w:sz w:val="28"/>
          <w:szCs w:val="24"/>
        </w:rPr>
        <w:t xml:space="preserve"> </w:t>
      </w:r>
      <w:r w:rsidR="00C77434">
        <w:rPr>
          <w:rStyle w:val="Red"/>
          <w:color w:val="auto"/>
          <w:sz w:val="28"/>
          <w:szCs w:val="24"/>
        </w:rPr>
        <w:t xml:space="preserve">capacity </w:t>
      </w:r>
      <w:r w:rsidRPr="006D0F67">
        <w:rPr>
          <w:rStyle w:val="Red"/>
          <w:color w:val="auto"/>
          <w:sz w:val="28"/>
          <w:szCs w:val="24"/>
        </w:rPr>
        <w:t xml:space="preserve">of recovery operation </w:t>
      </w:r>
      <w:r w:rsidR="00055D73">
        <w:rPr>
          <w:rStyle w:val="Red"/>
          <w:color w:val="auto"/>
          <w:sz w:val="28"/>
          <w:szCs w:val="24"/>
        </w:rPr>
        <w:t>68</w:t>
      </w:r>
      <w:r w:rsidR="00837CE6">
        <w:rPr>
          <w:rStyle w:val="Red"/>
          <w:color w:val="auto"/>
          <w:sz w:val="28"/>
          <w:szCs w:val="24"/>
        </w:rPr>
        <w:t xml:space="preserve">,000 </w:t>
      </w:r>
      <w:r w:rsidR="006136DB">
        <w:rPr>
          <w:rStyle w:val="Red"/>
          <w:color w:val="auto"/>
          <w:sz w:val="28"/>
          <w:szCs w:val="24"/>
        </w:rPr>
        <w:t>tonnes</w:t>
      </w:r>
    </w:p>
    <w:p w14:paraId="4D71B464" w14:textId="77777777" w:rsidR="000072D6" w:rsidRPr="001C65C6" w:rsidRDefault="000072D6" w:rsidP="000072D6">
      <w:pPr>
        <w:pStyle w:val="Heading2"/>
      </w:pPr>
      <w:r w:rsidRPr="001C65C6">
        <w:t>Introductory note</w:t>
      </w:r>
    </w:p>
    <w:p w14:paraId="1E224376" w14:textId="77777777" w:rsidR="00D23F2C" w:rsidRPr="00E85CFF" w:rsidRDefault="000072D6" w:rsidP="000848DA">
      <w:pPr>
        <w:rPr>
          <w:sz w:val="24"/>
        </w:rPr>
      </w:pPr>
      <w:r w:rsidRPr="00E85CFF">
        <w:rPr>
          <w:rFonts w:eastAsiaTheme="majorEastAsia"/>
          <w:sz w:val="24"/>
        </w:rPr>
        <w:t>This introductory note does not form a part of the</w:t>
      </w:r>
      <w:r w:rsidRPr="00E85CFF">
        <w:rPr>
          <w:sz w:val="24"/>
        </w:rPr>
        <w:t>se</w:t>
      </w:r>
      <w:r w:rsidRPr="00E85CFF">
        <w:rPr>
          <w:rFonts w:eastAsiaTheme="majorEastAsia"/>
          <w:sz w:val="24"/>
        </w:rPr>
        <w:t xml:space="preserve"> </w:t>
      </w:r>
      <w:r w:rsidRPr="00E85CFF">
        <w:rPr>
          <w:sz w:val="24"/>
        </w:rPr>
        <w:t>standard rules.</w:t>
      </w:r>
    </w:p>
    <w:p w14:paraId="40799085" w14:textId="1D797E0D" w:rsidR="0028748D" w:rsidRDefault="00E80261" w:rsidP="00E80261">
      <w:pPr>
        <w:spacing w:before="0" w:after="0" w:line="240" w:lineRule="auto"/>
        <w:rPr>
          <w:rStyle w:val="Pink"/>
          <w:color w:val="auto"/>
          <w:sz w:val="24"/>
        </w:rPr>
      </w:pPr>
      <w:r w:rsidRPr="00E80261">
        <w:rPr>
          <w:rStyle w:val="Pink"/>
          <w:color w:val="auto"/>
          <w:sz w:val="24"/>
        </w:rPr>
        <w:t xml:space="preserve">When referred to in an environmental permit, these standard rules will allow the operator to store and subsequently use </w:t>
      </w:r>
      <w:bookmarkStart w:id="1" w:name="_Hlk162938531"/>
      <w:r w:rsidR="008D101F" w:rsidRPr="008D101F">
        <w:rPr>
          <w:rStyle w:val="Pink"/>
          <w:color w:val="auto"/>
          <w:sz w:val="24"/>
        </w:rPr>
        <w:t xml:space="preserve">unbound incinerator bottom ash aggregate (IBAA) </w:t>
      </w:r>
      <w:bookmarkEnd w:id="1"/>
      <w:r w:rsidR="008D101F">
        <w:rPr>
          <w:rStyle w:val="Pink"/>
          <w:color w:val="auto"/>
          <w:sz w:val="24"/>
        </w:rPr>
        <w:t>for</w:t>
      </w:r>
      <w:r w:rsidRPr="00E80261">
        <w:rPr>
          <w:rStyle w:val="Pink"/>
          <w:color w:val="auto"/>
          <w:sz w:val="24"/>
        </w:rPr>
        <w:t xml:space="preserve"> the purposes of a recovery activity involving the deposit of waste in </w:t>
      </w:r>
      <w:r w:rsidR="0028748D">
        <w:rPr>
          <w:rStyle w:val="Pink"/>
          <w:color w:val="auto"/>
          <w:sz w:val="24"/>
        </w:rPr>
        <w:t xml:space="preserve">the following </w:t>
      </w:r>
      <w:r w:rsidRPr="00E80261">
        <w:rPr>
          <w:rStyle w:val="Pink"/>
          <w:color w:val="auto"/>
          <w:sz w:val="24"/>
        </w:rPr>
        <w:t>construction</w:t>
      </w:r>
      <w:r w:rsidR="0028748D">
        <w:rPr>
          <w:rStyle w:val="Pink"/>
          <w:color w:val="auto"/>
          <w:sz w:val="24"/>
        </w:rPr>
        <w:t xml:space="preserve"> activities:</w:t>
      </w:r>
    </w:p>
    <w:p w14:paraId="226208B9" w14:textId="77777777" w:rsidR="0028748D" w:rsidRDefault="0028748D" w:rsidP="00E80261">
      <w:pPr>
        <w:spacing w:before="0" w:after="0" w:line="240" w:lineRule="auto"/>
        <w:rPr>
          <w:rStyle w:val="Pink"/>
          <w:color w:val="auto"/>
          <w:sz w:val="24"/>
        </w:rPr>
      </w:pPr>
    </w:p>
    <w:p w14:paraId="7D9B3592" w14:textId="77777777" w:rsidR="0028748D" w:rsidRPr="0028748D" w:rsidRDefault="0028748D" w:rsidP="0028748D">
      <w:pPr>
        <w:numPr>
          <w:ilvl w:val="0"/>
          <w:numId w:val="39"/>
        </w:numPr>
        <w:shd w:val="clear" w:color="auto" w:fill="FFFFFF"/>
        <w:spacing w:before="0" w:after="75" w:line="240" w:lineRule="auto"/>
        <w:ind w:left="1020"/>
        <w:rPr>
          <w:rFonts w:ascii="Arial" w:hAnsi="Arial" w:cs="Arial"/>
          <w:color w:val="0B0C0C"/>
          <w:sz w:val="24"/>
          <w:szCs w:val="32"/>
          <w:lang w:eastAsia="en-GB"/>
        </w:rPr>
      </w:pPr>
      <w:bookmarkStart w:id="2" w:name="_Hlk165540850"/>
      <w:r w:rsidRPr="0028748D">
        <w:rPr>
          <w:rFonts w:ascii="Arial" w:hAnsi="Arial" w:cs="Arial"/>
          <w:color w:val="0B0C0C"/>
          <w:sz w:val="24"/>
          <w:szCs w:val="32"/>
          <w:lang w:eastAsia="en-GB"/>
        </w:rPr>
        <w:t>building a road sub-base</w:t>
      </w:r>
    </w:p>
    <w:p w14:paraId="4663150E" w14:textId="69EAB3CD" w:rsidR="0028748D" w:rsidRPr="0028748D" w:rsidRDefault="0028748D" w:rsidP="0028748D">
      <w:pPr>
        <w:numPr>
          <w:ilvl w:val="0"/>
          <w:numId w:val="39"/>
        </w:numPr>
        <w:shd w:val="clear" w:color="auto" w:fill="FFFFFF"/>
        <w:spacing w:before="0" w:after="75" w:line="240" w:lineRule="auto"/>
        <w:ind w:left="1020"/>
        <w:rPr>
          <w:rFonts w:ascii="Arial" w:hAnsi="Arial" w:cs="Arial"/>
          <w:color w:val="0B0C0C"/>
          <w:sz w:val="24"/>
          <w:szCs w:val="32"/>
          <w:lang w:eastAsia="en-GB"/>
        </w:rPr>
      </w:pPr>
      <w:r w:rsidRPr="0028748D">
        <w:rPr>
          <w:rFonts w:ascii="Arial" w:hAnsi="Arial" w:cs="Arial"/>
          <w:color w:val="0B0C0C"/>
          <w:sz w:val="24"/>
          <w:szCs w:val="32"/>
          <w:lang w:eastAsia="en-GB"/>
        </w:rPr>
        <w:t>building a structural platform</w:t>
      </w:r>
    </w:p>
    <w:p w14:paraId="5225B392" w14:textId="6E81FE2C" w:rsidR="0028748D" w:rsidRPr="0028748D" w:rsidRDefault="0028748D" w:rsidP="0028748D">
      <w:pPr>
        <w:numPr>
          <w:ilvl w:val="0"/>
          <w:numId w:val="39"/>
        </w:numPr>
        <w:shd w:val="clear" w:color="auto" w:fill="FFFFFF"/>
        <w:spacing w:before="0" w:after="75" w:line="240" w:lineRule="auto"/>
        <w:ind w:left="1020"/>
        <w:rPr>
          <w:rFonts w:ascii="Arial" w:hAnsi="Arial" w:cs="Arial"/>
          <w:color w:val="0B0C0C"/>
          <w:sz w:val="24"/>
          <w:szCs w:val="32"/>
          <w:lang w:eastAsia="en-GB"/>
        </w:rPr>
      </w:pPr>
      <w:r w:rsidRPr="0028748D">
        <w:rPr>
          <w:rFonts w:ascii="Arial" w:hAnsi="Arial" w:cs="Arial"/>
          <w:color w:val="0B0C0C"/>
          <w:sz w:val="24"/>
          <w:szCs w:val="32"/>
          <w:lang w:eastAsia="en-GB"/>
        </w:rPr>
        <w:t>pipe bedding</w:t>
      </w:r>
    </w:p>
    <w:bookmarkEnd w:id="2"/>
    <w:p w14:paraId="69A09B23" w14:textId="77777777" w:rsidR="0028748D" w:rsidRDefault="0028748D" w:rsidP="00E80261">
      <w:pPr>
        <w:spacing w:before="0" w:after="0" w:line="240" w:lineRule="auto"/>
        <w:rPr>
          <w:rStyle w:val="Pink"/>
          <w:color w:val="auto"/>
          <w:sz w:val="24"/>
        </w:rPr>
      </w:pPr>
    </w:p>
    <w:p w14:paraId="1005768E" w14:textId="67CE1FA3" w:rsidR="00363306" w:rsidRDefault="00E80261" w:rsidP="00E80261">
      <w:pPr>
        <w:spacing w:before="0" w:after="0" w:line="240" w:lineRule="auto"/>
        <w:rPr>
          <w:rStyle w:val="Pink"/>
          <w:color w:val="auto"/>
          <w:sz w:val="24"/>
        </w:rPr>
      </w:pPr>
      <w:r w:rsidRPr="00E80261">
        <w:rPr>
          <w:rStyle w:val="Pink"/>
          <w:color w:val="auto"/>
          <w:sz w:val="24"/>
        </w:rPr>
        <w:t>These standard rules are for the recovery of waste only and do not apply to any activities involving disposal.</w:t>
      </w:r>
    </w:p>
    <w:p w14:paraId="671C464E" w14:textId="77777777" w:rsidR="000A4DFF" w:rsidRDefault="000A4DFF" w:rsidP="00E80261">
      <w:pPr>
        <w:spacing w:before="0" w:after="0" w:line="240" w:lineRule="auto"/>
        <w:rPr>
          <w:rStyle w:val="Pink"/>
          <w:color w:val="auto"/>
          <w:sz w:val="24"/>
        </w:rPr>
      </w:pPr>
    </w:p>
    <w:p w14:paraId="17C6D0EA" w14:textId="7410DB7A" w:rsidR="000A4DFF" w:rsidRDefault="000A4DFF" w:rsidP="003C10AB">
      <w:pPr>
        <w:spacing w:before="0" w:after="0" w:line="240" w:lineRule="auto"/>
        <w:rPr>
          <w:rStyle w:val="Pink"/>
          <w:color w:val="auto"/>
          <w:sz w:val="24"/>
        </w:rPr>
      </w:pPr>
      <w:r w:rsidRPr="000A4DFF">
        <w:rPr>
          <w:rStyle w:val="Pink"/>
          <w:color w:val="auto"/>
          <w:sz w:val="24"/>
        </w:rPr>
        <w:t>You must submit a waste recovery plan with your application for these standard rules. The plan must demonstrate that your proposals will meet the definition of recovery in the Waste Framework Directive 2008 as explained in relevant regulatory guidance.</w:t>
      </w:r>
      <w:r>
        <w:rPr>
          <w:rStyle w:val="Pink"/>
          <w:color w:val="auto"/>
          <w:sz w:val="24"/>
        </w:rPr>
        <w:t xml:space="preserve"> </w:t>
      </w:r>
    </w:p>
    <w:p w14:paraId="59C1F25C" w14:textId="77777777" w:rsidR="000A4DFF" w:rsidRPr="000A4DFF" w:rsidRDefault="000A4DFF" w:rsidP="000A4DFF">
      <w:pPr>
        <w:spacing w:before="0" w:after="0" w:line="240" w:lineRule="auto"/>
        <w:rPr>
          <w:rStyle w:val="Pink"/>
          <w:color w:val="auto"/>
          <w:sz w:val="24"/>
        </w:rPr>
      </w:pPr>
    </w:p>
    <w:p w14:paraId="65F2865C" w14:textId="77777777" w:rsidR="00C144CE" w:rsidRDefault="00E80261" w:rsidP="000A4DFF">
      <w:pPr>
        <w:spacing w:before="0" w:after="0" w:line="240" w:lineRule="auto"/>
        <w:rPr>
          <w:rStyle w:val="Pink"/>
          <w:color w:val="auto"/>
          <w:sz w:val="24"/>
        </w:rPr>
      </w:pPr>
      <w:r w:rsidRPr="00E80261">
        <w:rPr>
          <w:rStyle w:val="Pink"/>
          <w:color w:val="auto"/>
          <w:sz w:val="24"/>
        </w:rPr>
        <w:t>Permitted waste</w:t>
      </w:r>
      <w:r w:rsidR="000A4DFF">
        <w:rPr>
          <w:rStyle w:val="Pink"/>
          <w:color w:val="auto"/>
          <w:sz w:val="24"/>
        </w:rPr>
        <w:t>s are</w:t>
      </w:r>
      <w:r w:rsidRPr="00E80261">
        <w:rPr>
          <w:rStyle w:val="Pink"/>
          <w:color w:val="auto"/>
          <w:sz w:val="24"/>
        </w:rPr>
        <w:t xml:space="preserve"> limited to </w:t>
      </w:r>
      <w:r w:rsidR="00C144CE">
        <w:rPr>
          <w:rStyle w:val="Pink"/>
          <w:color w:val="auto"/>
          <w:sz w:val="24"/>
        </w:rPr>
        <w:t xml:space="preserve">unbound IBAA </w:t>
      </w:r>
      <w:r w:rsidR="00C144CE" w:rsidRPr="00C144CE">
        <w:rPr>
          <w:rStyle w:val="Pink"/>
          <w:color w:val="auto"/>
          <w:sz w:val="24"/>
        </w:rPr>
        <w:t>derived from processed municipal waste incinerator bottom</w:t>
      </w:r>
      <w:r w:rsidR="00C144CE">
        <w:rPr>
          <w:rStyle w:val="Pink"/>
          <w:color w:val="auto"/>
          <w:sz w:val="24"/>
        </w:rPr>
        <w:t xml:space="preserve"> ash and specifically:</w:t>
      </w:r>
    </w:p>
    <w:p w14:paraId="7ECD1547" w14:textId="77777777" w:rsidR="00C144CE" w:rsidRDefault="00C144CE" w:rsidP="000A4DFF">
      <w:pPr>
        <w:spacing w:before="0" w:after="0" w:line="240" w:lineRule="auto"/>
        <w:rPr>
          <w:rStyle w:val="Pink"/>
          <w:color w:val="auto"/>
          <w:sz w:val="24"/>
        </w:rPr>
      </w:pPr>
    </w:p>
    <w:p w14:paraId="179E7B18" w14:textId="683D4FBD" w:rsidR="00C144CE" w:rsidRPr="00C144CE" w:rsidRDefault="00C144CE" w:rsidP="00C144CE">
      <w:pPr>
        <w:numPr>
          <w:ilvl w:val="0"/>
          <w:numId w:val="39"/>
        </w:numPr>
        <w:shd w:val="clear" w:color="auto" w:fill="FFFFFF"/>
        <w:spacing w:before="0" w:after="75" w:line="240" w:lineRule="auto"/>
        <w:ind w:left="1020"/>
        <w:rPr>
          <w:rFonts w:ascii="Arial" w:hAnsi="Arial" w:cs="Arial"/>
          <w:color w:val="0B0C0C"/>
          <w:sz w:val="24"/>
          <w:szCs w:val="40"/>
          <w:lang w:eastAsia="en-GB"/>
        </w:rPr>
      </w:pPr>
      <w:r w:rsidRPr="00C144CE">
        <w:rPr>
          <w:rFonts w:ascii="Arial" w:hAnsi="Arial" w:cs="Arial"/>
          <w:color w:val="0B0C0C"/>
          <w:sz w:val="24"/>
          <w:szCs w:val="40"/>
          <w:lang w:eastAsia="en-GB"/>
        </w:rPr>
        <w:t xml:space="preserve">unbound non-hazardous IBAA </w:t>
      </w:r>
    </w:p>
    <w:p w14:paraId="33D9F5C6" w14:textId="77777777" w:rsidR="00C144CE" w:rsidRPr="00C144CE" w:rsidRDefault="00FB4577" w:rsidP="00C144CE">
      <w:pPr>
        <w:numPr>
          <w:ilvl w:val="0"/>
          <w:numId w:val="39"/>
        </w:numPr>
        <w:shd w:val="clear" w:color="auto" w:fill="FFFFFF"/>
        <w:spacing w:before="0" w:after="75" w:line="240" w:lineRule="auto"/>
        <w:ind w:left="1020"/>
        <w:rPr>
          <w:rFonts w:ascii="Arial" w:hAnsi="Arial" w:cs="Arial"/>
          <w:color w:val="0B0C0C"/>
          <w:sz w:val="24"/>
          <w:szCs w:val="40"/>
          <w:lang w:eastAsia="en-GB"/>
        </w:rPr>
      </w:pPr>
      <w:r w:rsidRPr="00C144CE">
        <w:rPr>
          <w:rFonts w:ascii="Arial" w:hAnsi="Arial" w:cs="Arial"/>
          <w:color w:val="0B0C0C"/>
          <w:sz w:val="24"/>
          <w:szCs w:val="40"/>
          <w:lang w:eastAsia="en-GB"/>
        </w:rPr>
        <w:t xml:space="preserve">IBAA which complies with BS EN 13242 (or any revision of that standard) </w:t>
      </w:r>
    </w:p>
    <w:p w14:paraId="355FB99A" w14:textId="08B2949E" w:rsidR="00C144CE" w:rsidRPr="00C144CE" w:rsidRDefault="00FB4577" w:rsidP="0A749420">
      <w:pPr>
        <w:numPr>
          <w:ilvl w:val="0"/>
          <w:numId w:val="39"/>
        </w:numPr>
        <w:shd w:val="clear" w:color="auto" w:fill="FFFFFF" w:themeFill="background1"/>
        <w:spacing w:before="0" w:after="75" w:line="240" w:lineRule="auto"/>
        <w:ind w:left="1020"/>
        <w:rPr>
          <w:rFonts w:ascii="Arial" w:hAnsi="Arial" w:cs="Arial"/>
          <w:color w:val="0B0C0C"/>
          <w:sz w:val="24"/>
          <w:lang w:eastAsia="en-GB"/>
        </w:rPr>
      </w:pPr>
      <w:r w:rsidRPr="0A749420">
        <w:rPr>
          <w:rFonts w:ascii="Arial" w:hAnsi="Arial" w:cs="Arial"/>
          <w:color w:val="0B0C0C"/>
          <w:sz w:val="24"/>
          <w:lang w:eastAsia="en-GB"/>
        </w:rPr>
        <w:t xml:space="preserve">IBAA that is blended with </w:t>
      </w:r>
      <w:r w:rsidR="7DD006B9" w:rsidRPr="0A749420">
        <w:rPr>
          <w:rFonts w:ascii="Arial" w:hAnsi="Arial" w:cs="Arial"/>
          <w:color w:val="0B0C0C"/>
          <w:sz w:val="24"/>
          <w:lang w:eastAsia="en-GB"/>
        </w:rPr>
        <w:t>non-waste</w:t>
      </w:r>
      <w:r w:rsidRPr="0A749420">
        <w:rPr>
          <w:rFonts w:ascii="Arial" w:hAnsi="Arial" w:cs="Arial"/>
          <w:color w:val="0B0C0C"/>
          <w:sz w:val="24"/>
          <w:lang w:eastAsia="en-GB"/>
        </w:rPr>
        <w:t xml:space="preserve"> aggregate</w:t>
      </w:r>
      <w:r w:rsidR="00FE0C2A" w:rsidRPr="0A749420">
        <w:rPr>
          <w:rFonts w:ascii="Arial" w:hAnsi="Arial" w:cs="Arial"/>
          <w:color w:val="0B0C0C"/>
          <w:sz w:val="24"/>
          <w:lang w:eastAsia="en-GB"/>
        </w:rPr>
        <w:t xml:space="preserve"> </w:t>
      </w:r>
    </w:p>
    <w:p w14:paraId="633AF7B2" w14:textId="77777777" w:rsidR="00C144CE" w:rsidRDefault="00C144CE" w:rsidP="000A4DFF">
      <w:pPr>
        <w:spacing w:before="0" w:after="0" w:line="240" w:lineRule="auto"/>
        <w:rPr>
          <w:rStyle w:val="Pink"/>
          <w:color w:val="auto"/>
          <w:sz w:val="24"/>
        </w:rPr>
      </w:pPr>
    </w:p>
    <w:p w14:paraId="26DEEF18" w14:textId="796090B0" w:rsidR="00707745" w:rsidRDefault="00707745" w:rsidP="000A4DFF">
      <w:pPr>
        <w:spacing w:before="0" w:after="0" w:line="240" w:lineRule="auto"/>
        <w:rPr>
          <w:rStyle w:val="Pink"/>
          <w:color w:val="auto"/>
          <w:sz w:val="24"/>
        </w:rPr>
      </w:pPr>
      <w:r w:rsidRPr="00707745">
        <w:rPr>
          <w:rStyle w:val="Pink"/>
          <w:color w:val="auto"/>
          <w:sz w:val="24"/>
        </w:rPr>
        <w:t>Unbound IBAA includes IBAA in hydraulically bound mixtures, where IBAA is mixed with water and a binder such as cement.</w:t>
      </w:r>
    </w:p>
    <w:p w14:paraId="59287695" w14:textId="77777777" w:rsidR="00707745" w:rsidRDefault="00707745" w:rsidP="000A4DFF">
      <w:pPr>
        <w:spacing w:before="0" w:after="0" w:line="240" w:lineRule="auto"/>
        <w:rPr>
          <w:rStyle w:val="Pink"/>
          <w:color w:val="auto"/>
          <w:sz w:val="24"/>
        </w:rPr>
      </w:pPr>
    </w:p>
    <w:p w14:paraId="75F8C0BD" w14:textId="040AF446" w:rsidR="0028748D" w:rsidRDefault="00C67300" w:rsidP="000A4DFF">
      <w:pPr>
        <w:spacing w:before="0" w:after="0" w:line="240" w:lineRule="auto"/>
        <w:rPr>
          <w:rStyle w:val="Pink"/>
          <w:color w:val="auto"/>
          <w:sz w:val="24"/>
        </w:rPr>
      </w:pPr>
      <w:r>
        <w:rPr>
          <w:rStyle w:val="Pink"/>
          <w:color w:val="auto"/>
          <w:sz w:val="24"/>
        </w:rPr>
        <w:t>These Standard Rules do not include activities to treat the IBAA.</w:t>
      </w:r>
      <w:r w:rsidR="00FB4577">
        <w:rPr>
          <w:rStyle w:val="Pink"/>
          <w:color w:val="auto"/>
          <w:sz w:val="24"/>
        </w:rPr>
        <w:t xml:space="preserve"> </w:t>
      </w:r>
    </w:p>
    <w:p w14:paraId="1E777BF9" w14:textId="77777777" w:rsidR="0028748D" w:rsidRDefault="0028748D" w:rsidP="000A4DFF">
      <w:pPr>
        <w:spacing w:before="0" w:after="0" w:line="240" w:lineRule="auto"/>
        <w:rPr>
          <w:rStyle w:val="Pink"/>
          <w:color w:val="auto"/>
          <w:sz w:val="24"/>
        </w:rPr>
      </w:pPr>
    </w:p>
    <w:p w14:paraId="67316DFF" w14:textId="374F3B5B" w:rsidR="00E80261" w:rsidRPr="00E85CFF" w:rsidRDefault="00E80261" w:rsidP="000A4DFF">
      <w:pPr>
        <w:spacing w:before="0" w:after="0" w:line="240" w:lineRule="auto"/>
        <w:rPr>
          <w:rStyle w:val="Pink"/>
          <w:color w:val="auto"/>
          <w:sz w:val="24"/>
        </w:rPr>
      </w:pPr>
      <w:r w:rsidRPr="00E80261">
        <w:rPr>
          <w:rStyle w:val="Pink"/>
          <w:color w:val="auto"/>
          <w:sz w:val="24"/>
        </w:rPr>
        <w:lastRenderedPageBreak/>
        <w:t xml:space="preserve">The maximum quantity of waste that can be stored and subsequently used at the site under these standard rules is </w:t>
      </w:r>
      <w:r w:rsidR="00F62594">
        <w:rPr>
          <w:rStyle w:val="Pink"/>
          <w:color w:val="auto"/>
          <w:sz w:val="24"/>
        </w:rPr>
        <w:t>68</w:t>
      </w:r>
      <w:r w:rsidR="005429C7">
        <w:rPr>
          <w:rStyle w:val="Pink"/>
          <w:color w:val="auto"/>
          <w:sz w:val="24"/>
        </w:rPr>
        <w:t>,000 tonnes.</w:t>
      </w:r>
      <w:r w:rsidR="00837CE6">
        <w:rPr>
          <w:rStyle w:val="Pink"/>
          <w:color w:val="auto"/>
          <w:sz w:val="24"/>
        </w:rPr>
        <w:t xml:space="preserve"> </w:t>
      </w:r>
      <w:r w:rsidR="00390055">
        <w:rPr>
          <w:rStyle w:val="Pink"/>
          <w:color w:val="auto"/>
          <w:sz w:val="24"/>
        </w:rPr>
        <w:t xml:space="preserve"> </w:t>
      </w:r>
      <w:r w:rsidR="00BB3B3B">
        <w:rPr>
          <w:rStyle w:val="Pink"/>
          <w:color w:val="auto"/>
          <w:sz w:val="24"/>
        </w:rPr>
        <w:t>Y</w:t>
      </w:r>
      <w:r w:rsidR="00BB3B3B" w:rsidRPr="00BB3B3B">
        <w:rPr>
          <w:rStyle w:val="Pink"/>
          <w:color w:val="auto"/>
          <w:sz w:val="24"/>
        </w:rPr>
        <w:t>ou must only use the amount of IBAA required for the construction project</w:t>
      </w:r>
      <w:r w:rsidR="00BB3B3B">
        <w:rPr>
          <w:rStyle w:val="Pink"/>
          <w:color w:val="auto"/>
          <w:sz w:val="24"/>
        </w:rPr>
        <w:t>.</w:t>
      </w:r>
      <w:r w:rsidR="00BB3B3B" w:rsidRPr="00BB3B3B">
        <w:rPr>
          <w:rStyle w:val="Pink"/>
          <w:color w:val="auto"/>
          <w:sz w:val="24"/>
        </w:rPr>
        <w:t xml:space="preserve"> </w:t>
      </w:r>
      <w:r w:rsidR="00BB3B3B">
        <w:rPr>
          <w:rStyle w:val="Pink"/>
          <w:color w:val="auto"/>
          <w:sz w:val="24"/>
        </w:rPr>
        <w:t>A</w:t>
      </w:r>
      <w:r w:rsidR="000A4DFF" w:rsidRPr="000A4DFF">
        <w:rPr>
          <w:rStyle w:val="Pink"/>
          <w:color w:val="auto"/>
          <w:sz w:val="24"/>
        </w:rPr>
        <w:t xml:space="preserve"> recovery operation </w:t>
      </w:r>
      <w:r w:rsidR="00BB3B3B">
        <w:rPr>
          <w:rStyle w:val="Pink"/>
          <w:color w:val="auto"/>
          <w:sz w:val="24"/>
        </w:rPr>
        <w:t>must use</w:t>
      </w:r>
      <w:r w:rsidR="000A4DFF" w:rsidRPr="000A4DFF">
        <w:rPr>
          <w:rStyle w:val="Pink"/>
          <w:color w:val="auto"/>
          <w:sz w:val="24"/>
        </w:rPr>
        <w:t xml:space="preserve"> the minimum amount of waste that is needed and therefore, where we have approved a plan proposing to use less waste, this becomes the permitted maximum</w:t>
      </w:r>
      <w:r w:rsidR="000A4DFF">
        <w:rPr>
          <w:rStyle w:val="Pink"/>
          <w:color w:val="auto"/>
          <w:sz w:val="24"/>
        </w:rPr>
        <w:t>.</w:t>
      </w:r>
    </w:p>
    <w:p w14:paraId="2C70018E" w14:textId="77777777" w:rsidR="007F166F" w:rsidRDefault="007F166F" w:rsidP="00363306">
      <w:pPr>
        <w:tabs>
          <w:tab w:val="left" w:pos="2820"/>
        </w:tabs>
        <w:spacing w:before="0" w:after="0" w:line="240" w:lineRule="auto"/>
        <w:rPr>
          <w:rStyle w:val="Pink"/>
          <w:color w:val="auto"/>
          <w:sz w:val="24"/>
        </w:rPr>
      </w:pPr>
    </w:p>
    <w:p w14:paraId="71504101" w14:textId="27AA61C4" w:rsidR="007F166F" w:rsidRDefault="007F166F" w:rsidP="0A749420">
      <w:pPr>
        <w:tabs>
          <w:tab w:val="left" w:pos="2820"/>
        </w:tabs>
        <w:spacing w:before="0" w:after="0" w:line="240" w:lineRule="auto"/>
        <w:rPr>
          <w:rStyle w:val="Pink"/>
          <w:color w:val="auto"/>
          <w:sz w:val="24"/>
        </w:rPr>
      </w:pPr>
      <w:r w:rsidRPr="0A749420">
        <w:rPr>
          <w:rStyle w:val="Pink"/>
          <w:color w:val="auto"/>
          <w:sz w:val="24"/>
        </w:rPr>
        <w:t xml:space="preserve">The </w:t>
      </w:r>
      <w:r w:rsidR="002160EF" w:rsidRPr="0A749420">
        <w:rPr>
          <w:rStyle w:val="Pink"/>
          <w:color w:val="auto"/>
          <w:sz w:val="24"/>
        </w:rPr>
        <w:t xml:space="preserve">total </w:t>
      </w:r>
      <w:r w:rsidR="00DD68DD" w:rsidRPr="0A749420">
        <w:rPr>
          <w:rStyle w:val="Pink"/>
          <w:color w:val="auto"/>
          <w:sz w:val="24"/>
        </w:rPr>
        <w:t xml:space="preserve">quantity </w:t>
      </w:r>
      <w:r w:rsidRPr="0A749420">
        <w:rPr>
          <w:rStyle w:val="Pink"/>
          <w:color w:val="auto"/>
          <w:sz w:val="24"/>
        </w:rPr>
        <w:t xml:space="preserve">of IBAA used </w:t>
      </w:r>
      <w:r w:rsidR="003C10AB" w:rsidRPr="0A749420">
        <w:rPr>
          <w:rStyle w:val="Pink"/>
          <w:color w:val="auto"/>
          <w:sz w:val="24"/>
        </w:rPr>
        <w:t>applies to either</w:t>
      </w:r>
      <w:r w:rsidR="001F4673" w:rsidRPr="0A749420">
        <w:rPr>
          <w:rStyle w:val="Pink"/>
          <w:color w:val="auto"/>
          <w:sz w:val="24"/>
        </w:rPr>
        <w:t xml:space="preserve"> IBAA or </w:t>
      </w:r>
      <w:r w:rsidR="001F6CC0" w:rsidRPr="0A749420">
        <w:rPr>
          <w:rStyle w:val="Pink"/>
          <w:color w:val="auto"/>
          <w:sz w:val="24"/>
        </w:rPr>
        <w:t xml:space="preserve">IBAA mixed with </w:t>
      </w:r>
      <w:r w:rsidR="6D2155AB" w:rsidRPr="0A749420">
        <w:rPr>
          <w:rStyle w:val="Pink"/>
          <w:color w:val="auto"/>
          <w:sz w:val="24"/>
        </w:rPr>
        <w:t>non-waste</w:t>
      </w:r>
      <w:r w:rsidR="001F6CC0" w:rsidRPr="0A749420">
        <w:rPr>
          <w:rStyle w:val="Pink"/>
          <w:color w:val="auto"/>
          <w:sz w:val="24"/>
        </w:rPr>
        <w:t xml:space="preserve"> aggregate.</w:t>
      </w:r>
    </w:p>
    <w:p w14:paraId="18A62DB8" w14:textId="5E16D180" w:rsidR="00363306" w:rsidRPr="00E85CFF" w:rsidRDefault="00363306" w:rsidP="00363306">
      <w:pPr>
        <w:tabs>
          <w:tab w:val="left" w:pos="2820"/>
        </w:tabs>
        <w:spacing w:before="0" w:after="0" w:line="240" w:lineRule="auto"/>
        <w:rPr>
          <w:rStyle w:val="Pink"/>
          <w:color w:val="auto"/>
          <w:sz w:val="24"/>
        </w:rPr>
      </w:pPr>
      <w:r w:rsidRPr="00E85CFF">
        <w:rPr>
          <w:rStyle w:val="Pink"/>
          <w:color w:val="auto"/>
          <w:sz w:val="24"/>
        </w:rPr>
        <w:tab/>
      </w:r>
    </w:p>
    <w:p w14:paraId="5402E8E5" w14:textId="017C3189" w:rsidR="00363306" w:rsidRPr="00880266" w:rsidRDefault="00390055" w:rsidP="00363306">
      <w:pPr>
        <w:spacing w:before="0" w:after="0" w:line="240" w:lineRule="auto"/>
        <w:rPr>
          <w:rStyle w:val="Pink"/>
          <w:color w:val="auto"/>
          <w:sz w:val="24"/>
        </w:rPr>
      </w:pPr>
      <w:r>
        <w:rPr>
          <w:rStyle w:val="Pink"/>
          <w:color w:val="auto"/>
          <w:sz w:val="24"/>
        </w:rPr>
        <w:t xml:space="preserve">These standard rules do not allow any tipping into a water body or sub-water table. </w:t>
      </w:r>
    </w:p>
    <w:p w14:paraId="569FA0DA" w14:textId="77777777" w:rsidR="00363306" w:rsidRPr="00880266" w:rsidRDefault="00363306" w:rsidP="00363306">
      <w:pPr>
        <w:spacing w:before="0" w:after="0" w:line="240" w:lineRule="auto"/>
        <w:rPr>
          <w:rStyle w:val="Pink"/>
          <w:color w:val="auto"/>
          <w:sz w:val="24"/>
        </w:rPr>
      </w:pPr>
    </w:p>
    <w:p w14:paraId="44EAB119" w14:textId="7518DC31" w:rsidR="00363306" w:rsidRPr="00880266" w:rsidRDefault="00363306" w:rsidP="00363306">
      <w:pPr>
        <w:spacing w:before="0" w:after="0" w:line="240" w:lineRule="auto"/>
        <w:rPr>
          <w:rStyle w:val="Pink"/>
          <w:color w:val="auto"/>
          <w:sz w:val="24"/>
        </w:rPr>
      </w:pPr>
      <w:r w:rsidRPr="00880266">
        <w:rPr>
          <w:rStyle w:val="Pink"/>
          <w:color w:val="auto"/>
          <w:sz w:val="24"/>
        </w:rPr>
        <w:t>These standard rules do not allow any point source emissions into surface waters or groundwater.</w:t>
      </w:r>
    </w:p>
    <w:p w14:paraId="35860441" w14:textId="5E258BD3" w:rsidR="00B619BF" w:rsidRPr="00B619BF" w:rsidRDefault="00B619BF" w:rsidP="00B619BF">
      <w:pPr>
        <w:shd w:val="clear" w:color="auto" w:fill="FFFFFF"/>
        <w:spacing w:before="300" w:after="300" w:line="240" w:lineRule="auto"/>
        <w:rPr>
          <w:rFonts w:ascii="Arial" w:hAnsi="Arial" w:cs="Arial"/>
          <w:color w:val="0B0C0C"/>
          <w:sz w:val="24"/>
          <w:lang w:eastAsia="en-GB"/>
        </w:rPr>
      </w:pPr>
      <w:r w:rsidRPr="00B619BF">
        <w:rPr>
          <w:rFonts w:ascii="Arial" w:hAnsi="Arial" w:cs="Arial"/>
          <w:color w:val="0B0C0C"/>
          <w:sz w:val="24"/>
          <w:lang w:eastAsia="en-GB"/>
        </w:rPr>
        <w:t xml:space="preserve">The </w:t>
      </w:r>
      <w:r>
        <w:rPr>
          <w:rFonts w:ascii="Arial" w:hAnsi="Arial" w:cs="Arial"/>
          <w:color w:val="0B0C0C"/>
          <w:sz w:val="24"/>
          <w:lang w:eastAsia="en-GB"/>
        </w:rPr>
        <w:t>activities shall not be carried out</w:t>
      </w:r>
      <w:r w:rsidRPr="00B619BF">
        <w:rPr>
          <w:rFonts w:ascii="Arial" w:hAnsi="Arial" w:cs="Arial"/>
          <w:color w:val="0B0C0C"/>
          <w:sz w:val="24"/>
          <w:lang w:eastAsia="en-GB"/>
        </w:rPr>
        <w:t>:</w:t>
      </w:r>
    </w:p>
    <w:p w14:paraId="09658352" w14:textId="77777777" w:rsidR="000A33FF" w:rsidRPr="000A33FF" w:rsidRDefault="000A33FF" w:rsidP="000A33FF">
      <w:pPr>
        <w:numPr>
          <w:ilvl w:val="0"/>
          <w:numId w:val="39"/>
        </w:numPr>
        <w:shd w:val="clear" w:color="auto" w:fill="FFFFFF"/>
        <w:spacing w:before="0" w:after="75" w:line="240" w:lineRule="auto"/>
        <w:ind w:left="1020"/>
        <w:rPr>
          <w:rFonts w:ascii="Arial" w:hAnsi="Arial" w:cs="Arial"/>
          <w:color w:val="0B0C0C"/>
          <w:sz w:val="24"/>
          <w:szCs w:val="40"/>
          <w:lang w:eastAsia="en-GB"/>
        </w:rPr>
      </w:pPr>
      <w:bookmarkStart w:id="3" w:name="_Hlk165548624"/>
      <w:r w:rsidRPr="000A33FF">
        <w:rPr>
          <w:rFonts w:ascii="Arial" w:hAnsi="Arial" w:cs="Arial"/>
          <w:color w:val="0B0C0C"/>
          <w:sz w:val="24"/>
          <w:szCs w:val="40"/>
          <w:lang w:eastAsia="en-GB"/>
        </w:rPr>
        <w:t>within 500 metres of a European site, Ramsar, Site of Special Scientific Interest or Marine Conservation Zone</w:t>
      </w:r>
    </w:p>
    <w:p w14:paraId="166BA281" w14:textId="77777777" w:rsidR="000A33FF" w:rsidRPr="000A33FF" w:rsidRDefault="000A33FF" w:rsidP="000A33FF">
      <w:pPr>
        <w:numPr>
          <w:ilvl w:val="0"/>
          <w:numId w:val="39"/>
        </w:numPr>
        <w:shd w:val="clear" w:color="auto" w:fill="FFFFFF"/>
        <w:spacing w:before="0" w:after="75" w:line="240" w:lineRule="auto"/>
        <w:ind w:left="1020"/>
        <w:rPr>
          <w:rFonts w:ascii="Arial" w:hAnsi="Arial" w:cs="Arial"/>
          <w:color w:val="0B0C0C"/>
          <w:sz w:val="24"/>
          <w:szCs w:val="40"/>
          <w:lang w:eastAsia="en-GB"/>
        </w:rPr>
      </w:pPr>
      <w:r w:rsidRPr="000A33FF">
        <w:rPr>
          <w:rFonts w:ascii="Arial" w:hAnsi="Arial" w:cs="Arial"/>
          <w:color w:val="0B0C0C"/>
          <w:sz w:val="24"/>
          <w:szCs w:val="40"/>
          <w:lang w:eastAsia="en-GB"/>
        </w:rPr>
        <w:t>within 250 metres of the presence of Great Crested Newts where the site is linked by good habitat to the breeding ponds of the newts</w:t>
      </w:r>
    </w:p>
    <w:p w14:paraId="3A45EDCE" w14:textId="77777777" w:rsidR="000A33FF" w:rsidRPr="000A33FF" w:rsidRDefault="000A33FF" w:rsidP="000A33FF">
      <w:pPr>
        <w:numPr>
          <w:ilvl w:val="0"/>
          <w:numId w:val="39"/>
        </w:numPr>
        <w:shd w:val="clear" w:color="auto" w:fill="FFFFFF"/>
        <w:spacing w:before="0" w:after="75" w:line="240" w:lineRule="auto"/>
        <w:ind w:left="1020"/>
        <w:rPr>
          <w:rFonts w:ascii="Arial" w:hAnsi="Arial" w:cs="Arial"/>
          <w:color w:val="0B0C0C"/>
          <w:sz w:val="24"/>
          <w:szCs w:val="40"/>
          <w:lang w:eastAsia="en-GB"/>
        </w:rPr>
      </w:pPr>
      <w:r w:rsidRPr="000A33FF">
        <w:rPr>
          <w:rFonts w:ascii="Arial" w:hAnsi="Arial" w:cs="Arial"/>
          <w:color w:val="0B0C0C"/>
          <w:sz w:val="24"/>
          <w:szCs w:val="40"/>
          <w:lang w:eastAsia="en-GB"/>
        </w:rPr>
        <w:t>within 50 metres of a National Nature Reserve, Local Nature Reserve, Local Wildlife Site, Ancient Woodland or Scheduled Ancient Monument</w:t>
      </w:r>
    </w:p>
    <w:p w14:paraId="27C0C17E" w14:textId="77777777" w:rsidR="000A33FF" w:rsidRPr="000A33FF" w:rsidRDefault="000A33FF" w:rsidP="000A33FF">
      <w:pPr>
        <w:numPr>
          <w:ilvl w:val="0"/>
          <w:numId w:val="39"/>
        </w:numPr>
        <w:shd w:val="clear" w:color="auto" w:fill="FFFFFF"/>
        <w:spacing w:before="0" w:after="75" w:line="240" w:lineRule="auto"/>
        <w:ind w:left="1020"/>
        <w:rPr>
          <w:rFonts w:ascii="Arial" w:hAnsi="Arial" w:cs="Arial"/>
          <w:color w:val="0B0C0C"/>
          <w:sz w:val="24"/>
          <w:szCs w:val="40"/>
          <w:lang w:eastAsia="en-GB"/>
        </w:rPr>
      </w:pPr>
      <w:r w:rsidRPr="000A33FF">
        <w:rPr>
          <w:rFonts w:ascii="Arial" w:hAnsi="Arial" w:cs="Arial"/>
          <w:color w:val="0B0C0C"/>
          <w:sz w:val="24"/>
          <w:szCs w:val="40"/>
          <w:lang w:eastAsia="en-GB"/>
        </w:rPr>
        <w:t>within 50 metres of a site that has species or habitats protected under the Biodiversity Action Plan that the Environment Agency considers at risk from this activity</w:t>
      </w:r>
    </w:p>
    <w:p w14:paraId="28CBC775" w14:textId="5249C0AD" w:rsidR="000A33FF" w:rsidRPr="000A33FF" w:rsidRDefault="000A33FF" w:rsidP="000A33FF">
      <w:pPr>
        <w:numPr>
          <w:ilvl w:val="0"/>
          <w:numId w:val="39"/>
        </w:numPr>
        <w:shd w:val="clear" w:color="auto" w:fill="FFFFFF"/>
        <w:spacing w:before="0" w:after="75" w:line="240" w:lineRule="auto"/>
        <w:ind w:left="1020"/>
        <w:rPr>
          <w:rFonts w:ascii="Arial" w:hAnsi="Arial" w:cs="Arial"/>
          <w:color w:val="0B0C0C"/>
          <w:sz w:val="24"/>
          <w:szCs w:val="40"/>
          <w:lang w:eastAsia="en-GB"/>
        </w:rPr>
      </w:pPr>
      <w:r w:rsidRPr="000A33FF">
        <w:rPr>
          <w:rFonts w:ascii="Arial" w:hAnsi="Arial" w:cs="Arial"/>
          <w:color w:val="0B0C0C"/>
          <w:sz w:val="24"/>
          <w:szCs w:val="40"/>
          <w:lang w:eastAsia="en-GB"/>
        </w:rPr>
        <w:t xml:space="preserve">within </w:t>
      </w:r>
      <w:r w:rsidR="001F7318" w:rsidRPr="000A33FF">
        <w:rPr>
          <w:rFonts w:ascii="Arial" w:hAnsi="Arial" w:cs="Arial"/>
          <w:color w:val="0B0C0C"/>
          <w:sz w:val="24"/>
          <w:szCs w:val="40"/>
          <w:lang w:eastAsia="en-GB"/>
        </w:rPr>
        <w:t>2</w:t>
      </w:r>
      <w:r w:rsidR="00CB0406">
        <w:rPr>
          <w:rFonts w:ascii="Arial" w:hAnsi="Arial" w:cs="Arial"/>
          <w:color w:val="0B0C0C"/>
          <w:sz w:val="24"/>
          <w:szCs w:val="40"/>
          <w:lang w:eastAsia="en-GB"/>
        </w:rPr>
        <w:t>5</w:t>
      </w:r>
      <w:r w:rsidR="001F7318" w:rsidRPr="000A33FF">
        <w:rPr>
          <w:rFonts w:ascii="Arial" w:hAnsi="Arial" w:cs="Arial"/>
          <w:color w:val="0B0C0C"/>
          <w:sz w:val="24"/>
          <w:szCs w:val="40"/>
          <w:lang w:eastAsia="en-GB"/>
        </w:rPr>
        <w:t xml:space="preserve"> </w:t>
      </w:r>
      <w:r w:rsidRPr="000A33FF">
        <w:rPr>
          <w:rFonts w:ascii="Arial" w:hAnsi="Arial" w:cs="Arial"/>
          <w:color w:val="0B0C0C"/>
          <w:sz w:val="24"/>
          <w:szCs w:val="40"/>
          <w:lang w:eastAsia="en-GB"/>
        </w:rPr>
        <w:t>metres of a watercourse</w:t>
      </w:r>
    </w:p>
    <w:p w14:paraId="2CAF8E53" w14:textId="77777777" w:rsidR="000A33FF" w:rsidRPr="000A33FF" w:rsidRDefault="000A33FF" w:rsidP="000A33FF">
      <w:pPr>
        <w:numPr>
          <w:ilvl w:val="0"/>
          <w:numId w:val="39"/>
        </w:numPr>
        <w:shd w:val="clear" w:color="auto" w:fill="FFFFFF"/>
        <w:spacing w:before="0" w:after="75" w:line="240" w:lineRule="auto"/>
        <w:ind w:left="1020"/>
        <w:rPr>
          <w:rFonts w:ascii="Arial" w:hAnsi="Arial" w:cs="Arial"/>
          <w:color w:val="0B0C0C"/>
          <w:sz w:val="24"/>
          <w:szCs w:val="40"/>
          <w:lang w:eastAsia="en-GB"/>
        </w:rPr>
      </w:pPr>
      <w:r w:rsidRPr="000A33FF">
        <w:rPr>
          <w:rFonts w:ascii="Arial" w:hAnsi="Arial" w:cs="Arial"/>
          <w:color w:val="0B0C0C"/>
          <w:sz w:val="24"/>
          <w:szCs w:val="40"/>
          <w:lang w:eastAsia="en-GB"/>
        </w:rPr>
        <w:t>within a groundwater source protection zone 1 and 2, or where a source protection zone has not been defined, then not within 250 metres of any well, spring or borehole used for the supply of water for human consumption (including private water supplies)</w:t>
      </w:r>
    </w:p>
    <w:p w14:paraId="65F3D02E" w14:textId="77777777" w:rsidR="000A33FF" w:rsidRPr="000A33FF" w:rsidRDefault="000A33FF" w:rsidP="000A33FF">
      <w:pPr>
        <w:numPr>
          <w:ilvl w:val="0"/>
          <w:numId w:val="39"/>
        </w:numPr>
        <w:shd w:val="clear" w:color="auto" w:fill="FFFFFF"/>
        <w:spacing w:before="0" w:after="75" w:line="240" w:lineRule="auto"/>
        <w:ind w:left="1020"/>
        <w:rPr>
          <w:rFonts w:ascii="Arial" w:hAnsi="Arial" w:cs="Arial"/>
          <w:color w:val="0B0C0C"/>
          <w:sz w:val="24"/>
          <w:szCs w:val="40"/>
          <w:lang w:eastAsia="en-GB"/>
        </w:rPr>
      </w:pPr>
      <w:r w:rsidRPr="000A33FF">
        <w:rPr>
          <w:rFonts w:ascii="Arial" w:hAnsi="Arial" w:cs="Arial"/>
          <w:color w:val="0B0C0C"/>
          <w:sz w:val="24"/>
          <w:szCs w:val="40"/>
          <w:lang w:eastAsia="en-GB"/>
        </w:rPr>
        <w:t>on any landfill whether historical, closed, or operational</w:t>
      </w:r>
    </w:p>
    <w:p w14:paraId="5586603B" w14:textId="77777777" w:rsidR="000A33FF" w:rsidRPr="000A33FF" w:rsidRDefault="000A33FF" w:rsidP="000A33FF">
      <w:pPr>
        <w:numPr>
          <w:ilvl w:val="0"/>
          <w:numId w:val="39"/>
        </w:numPr>
        <w:shd w:val="clear" w:color="auto" w:fill="FFFFFF"/>
        <w:spacing w:before="0" w:after="75" w:line="240" w:lineRule="auto"/>
        <w:ind w:left="1020"/>
        <w:rPr>
          <w:rFonts w:ascii="Arial" w:hAnsi="Arial" w:cs="Arial"/>
          <w:color w:val="0B0C0C"/>
          <w:sz w:val="24"/>
          <w:szCs w:val="40"/>
          <w:lang w:eastAsia="en-GB"/>
        </w:rPr>
      </w:pPr>
      <w:r w:rsidRPr="000A33FF">
        <w:rPr>
          <w:rFonts w:ascii="Arial" w:hAnsi="Arial" w:cs="Arial"/>
          <w:color w:val="0B0C0C"/>
          <w:sz w:val="24"/>
          <w:szCs w:val="40"/>
          <w:lang w:eastAsia="en-GB"/>
        </w:rPr>
        <w:t>within a specified Air Quality Management Area for particulate matter less than 10 microns (PM10)</w:t>
      </w:r>
    </w:p>
    <w:bookmarkEnd w:id="3"/>
    <w:p w14:paraId="1AEAD436" w14:textId="77777777" w:rsidR="00B619BF" w:rsidRPr="00880266" w:rsidRDefault="00B619BF" w:rsidP="00AF24AC">
      <w:pPr>
        <w:spacing w:before="0" w:after="0" w:line="240" w:lineRule="auto"/>
        <w:rPr>
          <w:rStyle w:val="Pink"/>
          <w:color w:val="auto"/>
          <w:sz w:val="24"/>
        </w:rPr>
      </w:pPr>
    </w:p>
    <w:p w14:paraId="71549F33" w14:textId="77777777" w:rsidR="00C31365" w:rsidRPr="001C65C6" w:rsidRDefault="00C31365" w:rsidP="00C31365">
      <w:pPr>
        <w:spacing w:before="0" w:after="0" w:line="240" w:lineRule="auto"/>
        <w:rPr>
          <w:rStyle w:val="Pink"/>
          <w:color w:val="auto"/>
        </w:rPr>
      </w:pPr>
    </w:p>
    <w:p w14:paraId="56F7D725" w14:textId="77777777" w:rsidR="00231701" w:rsidRPr="00BA027B" w:rsidRDefault="00231701" w:rsidP="00231701">
      <w:pPr>
        <w:rPr>
          <w:rStyle w:val="Bold"/>
          <w:sz w:val="24"/>
        </w:rPr>
      </w:pPr>
      <w:r w:rsidRPr="00BA027B">
        <w:rPr>
          <w:rStyle w:val="Bold"/>
          <w:sz w:val="24"/>
        </w:rPr>
        <w:t>End of introductory note</w:t>
      </w:r>
    </w:p>
    <w:p w14:paraId="23223128" w14:textId="790340A3" w:rsidR="00127242" w:rsidRDefault="00363306" w:rsidP="002A2373">
      <w:pPr>
        <w:rPr>
          <w:rStyle w:val="Bold"/>
          <w:b w:val="0"/>
          <w:sz w:val="24"/>
        </w:rPr>
      </w:pPr>
      <w:r>
        <w:rPr>
          <w:rStyle w:val="Pink"/>
          <w:color w:val="auto"/>
          <w:sz w:val="24"/>
          <w:vertAlign w:val="superscript"/>
        </w:rPr>
        <w:t xml:space="preserve"> </w:t>
      </w:r>
    </w:p>
    <w:p w14:paraId="1EB6FEF0" w14:textId="77777777" w:rsidR="00BC12E7" w:rsidRPr="00BA027B" w:rsidRDefault="00BC12E7" w:rsidP="00BC12E7">
      <w:pPr>
        <w:rPr>
          <w:rStyle w:val="Bold"/>
          <w:b w:val="0"/>
          <w:sz w:val="24"/>
        </w:rPr>
      </w:pPr>
      <w:r w:rsidRPr="00BA027B">
        <w:rPr>
          <w:rStyle w:val="Bold"/>
          <w:b w:val="0"/>
          <w:sz w:val="24"/>
        </w:rPr>
        <w:t>Record of changes</w:t>
      </w:r>
    </w:p>
    <w:tbl>
      <w:tblPr>
        <w:tblStyle w:val="TableGrid"/>
        <w:tblW w:w="0" w:type="auto"/>
        <w:tblLook w:val="04A0" w:firstRow="1" w:lastRow="0" w:firstColumn="1" w:lastColumn="0" w:noHBand="0" w:noVBand="1"/>
      </w:tblPr>
      <w:tblGrid>
        <w:gridCol w:w="994"/>
        <w:gridCol w:w="1121"/>
        <w:gridCol w:w="7087"/>
      </w:tblGrid>
      <w:tr w:rsidR="00BC12E7" w:rsidRPr="00BA027B" w14:paraId="092CD209" w14:textId="77777777" w:rsidTr="00233C4E">
        <w:trPr>
          <w:cnfStyle w:val="100000000000" w:firstRow="1" w:lastRow="0" w:firstColumn="0" w:lastColumn="0" w:oddVBand="0" w:evenVBand="0" w:oddHBand="0" w:evenHBand="0" w:firstRowFirstColumn="0" w:firstRowLastColumn="0" w:lastRowFirstColumn="0" w:lastRowLastColumn="0"/>
        </w:trPr>
        <w:tc>
          <w:tcPr>
            <w:tcW w:w="859" w:type="dxa"/>
          </w:tcPr>
          <w:p w14:paraId="383FEC10" w14:textId="77777777" w:rsidR="00BC12E7" w:rsidRPr="00BA027B" w:rsidRDefault="00BC12E7" w:rsidP="00233C4E">
            <w:pPr>
              <w:rPr>
                <w:rStyle w:val="Bold"/>
                <w:sz w:val="24"/>
              </w:rPr>
            </w:pPr>
            <w:r w:rsidRPr="00BA027B">
              <w:rPr>
                <w:rStyle w:val="Bold"/>
                <w:sz w:val="24"/>
              </w:rPr>
              <w:t>Version</w:t>
            </w:r>
          </w:p>
        </w:tc>
        <w:tc>
          <w:tcPr>
            <w:tcW w:w="1121" w:type="dxa"/>
          </w:tcPr>
          <w:p w14:paraId="07500698" w14:textId="77777777" w:rsidR="00BC12E7" w:rsidRPr="00BA027B" w:rsidRDefault="00BC12E7" w:rsidP="00233C4E">
            <w:pPr>
              <w:rPr>
                <w:rStyle w:val="Bold"/>
                <w:sz w:val="24"/>
              </w:rPr>
            </w:pPr>
            <w:r w:rsidRPr="00BA027B">
              <w:rPr>
                <w:rStyle w:val="Bold"/>
                <w:sz w:val="24"/>
              </w:rPr>
              <w:t>Date</w:t>
            </w:r>
          </w:p>
        </w:tc>
        <w:tc>
          <w:tcPr>
            <w:tcW w:w="7087" w:type="dxa"/>
          </w:tcPr>
          <w:p w14:paraId="2419B476" w14:textId="77777777" w:rsidR="00BC12E7" w:rsidRPr="00BA027B" w:rsidRDefault="00BC12E7" w:rsidP="00233C4E">
            <w:pPr>
              <w:rPr>
                <w:rStyle w:val="Bold"/>
                <w:sz w:val="24"/>
              </w:rPr>
            </w:pPr>
            <w:r w:rsidRPr="00BA027B">
              <w:rPr>
                <w:rStyle w:val="Bold"/>
                <w:sz w:val="24"/>
              </w:rPr>
              <w:t>Change</w:t>
            </w:r>
          </w:p>
        </w:tc>
      </w:tr>
      <w:tr w:rsidR="00BC12E7" w:rsidRPr="00BA027B" w14:paraId="62B2E21A" w14:textId="77777777" w:rsidTr="00233C4E">
        <w:tc>
          <w:tcPr>
            <w:tcW w:w="859" w:type="dxa"/>
          </w:tcPr>
          <w:p w14:paraId="17825B78" w14:textId="77777777" w:rsidR="00BC12E7" w:rsidRPr="00BA027B" w:rsidRDefault="00BC12E7" w:rsidP="00233C4E">
            <w:pPr>
              <w:rPr>
                <w:rStyle w:val="Blue"/>
                <w:color w:val="auto"/>
                <w:sz w:val="24"/>
              </w:rPr>
            </w:pPr>
            <w:r w:rsidRPr="00BA027B">
              <w:rPr>
                <w:rStyle w:val="Blue"/>
                <w:color w:val="auto"/>
                <w:sz w:val="24"/>
              </w:rPr>
              <w:t>1.0</w:t>
            </w:r>
          </w:p>
        </w:tc>
        <w:tc>
          <w:tcPr>
            <w:tcW w:w="1121" w:type="dxa"/>
          </w:tcPr>
          <w:p w14:paraId="7EFBC6E8" w14:textId="77777777" w:rsidR="00BC12E7" w:rsidRPr="00BA027B" w:rsidRDefault="00BC12E7" w:rsidP="00233C4E">
            <w:pPr>
              <w:rPr>
                <w:rStyle w:val="Blue"/>
                <w:color w:val="auto"/>
                <w:sz w:val="24"/>
              </w:rPr>
            </w:pPr>
            <w:r w:rsidRPr="00BA027B">
              <w:rPr>
                <w:rStyle w:val="Blue"/>
                <w:color w:val="auto"/>
                <w:sz w:val="24"/>
              </w:rPr>
              <w:t>DATE</w:t>
            </w:r>
          </w:p>
        </w:tc>
        <w:tc>
          <w:tcPr>
            <w:tcW w:w="7087" w:type="dxa"/>
          </w:tcPr>
          <w:p w14:paraId="1C0ABAF4" w14:textId="77777777" w:rsidR="00BC12E7" w:rsidRPr="00BA027B" w:rsidRDefault="00BC12E7" w:rsidP="00233C4E">
            <w:pPr>
              <w:rPr>
                <w:rStyle w:val="Blue"/>
                <w:color w:val="auto"/>
                <w:sz w:val="24"/>
              </w:rPr>
            </w:pPr>
            <w:r w:rsidRPr="00BA027B">
              <w:rPr>
                <w:rStyle w:val="Blue"/>
                <w:color w:val="auto"/>
                <w:sz w:val="24"/>
              </w:rPr>
              <w:t xml:space="preserve">Published </w:t>
            </w:r>
          </w:p>
        </w:tc>
      </w:tr>
    </w:tbl>
    <w:p w14:paraId="7D059375" w14:textId="77777777" w:rsidR="00231701" w:rsidRDefault="00231701" w:rsidP="000F4F5F">
      <w:pPr>
        <w:rPr>
          <w:rStyle w:val="BlueBold"/>
          <w:color w:val="auto"/>
        </w:rPr>
      </w:pPr>
    </w:p>
    <w:p w14:paraId="750AE677" w14:textId="77777777" w:rsidR="003C10AB" w:rsidRPr="001C65C6" w:rsidRDefault="003C10AB" w:rsidP="000F4F5F">
      <w:pPr>
        <w:rPr>
          <w:rStyle w:val="BlueBold"/>
          <w:color w:val="auto"/>
        </w:rPr>
      </w:pPr>
    </w:p>
    <w:p w14:paraId="2FAE7A58" w14:textId="77777777" w:rsidR="000848DA" w:rsidRPr="001C65C6" w:rsidRDefault="007A53E5" w:rsidP="00FF16FF">
      <w:pPr>
        <w:pStyle w:val="Heading1"/>
      </w:pPr>
      <w:r w:rsidRPr="001C65C6">
        <w:lastRenderedPageBreak/>
        <w:t>Rules</w:t>
      </w:r>
    </w:p>
    <w:p w14:paraId="53985D88" w14:textId="77777777" w:rsidR="000848DA" w:rsidRPr="0028302E" w:rsidRDefault="000848DA" w:rsidP="00A77D5E">
      <w:pPr>
        <w:pStyle w:val="Bullet"/>
      </w:pPr>
      <w:r w:rsidRPr="0028302E">
        <w:t xml:space="preserve">Management </w:t>
      </w:r>
    </w:p>
    <w:p w14:paraId="174902E6" w14:textId="77777777" w:rsidR="00071EE3" w:rsidRPr="001C65C6" w:rsidRDefault="000848DA" w:rsidP="009D7D2F">
      <w:pPr>
        <w:pStyle w:val="Bullet0"/>
      </w:pPr>
      <w:r w:rsidRPr="001C65C6">
        <w:t xml:space="preserve">General management </w:t>
      </w:r>
      <w:bookmarkStart w:id="4" w:name="_Ref373938749"/>
    </w:p>
    <w:p w14:paraId="6700F8E2" w14:textId="77777777" w:rsidR="000848DA" w:rsidRPr="00F16D5B" w:rsidRDefault="000848DA" w:rsidP="00261EE0">
      <w:pPr>
        <w:pStyle w:val="Bullet1"/>
        <w:rPr>
          <w:sz w:val="24"/>
        </w:rPr>
      </w:pPr>
      <w:bookmarkStart w:id="5" w:name="_Ref373938830"/>
      <w:r w:rsidRPr="00F16D5B">
        <w:rPr>
          <w:sz w:val="24"/>
        </w:rPr>
        <w:t>The operator shall manage and operate the activities:</w:t>
      </w:r>
      <w:bookmarkEnd w:id="4"/>
      <w:bookmarkEnd w:id="5"/>
    </w:p>
    <w:p w14:paraId="2B58F34F" w14:textId="1B460B26" w:rsidR="000848DA" w:rsidRPr="00F16D5B" w:rsidRDefault="000848DA" w:rsidP="009D15ED">
      <w:pPr>
        <w:pStyle w:val="aBullet"/>
        <w:rPr>
          <w:sz w:val="24"/>
        </w:rPr>
      </w:pPr>
      <w:r w:rsidRPr="00F16D5B">
        <w:rPr>
          <w:sz w:val="24"/>
        </w:rPr>
        <w:t>in accordance with a written management system that identifies and minimises risks of pollution,</w:t>
      </w:r>
      <w:r w:rsidR="002A2373" w:rsidRPr="00F16D5B">
        <w:rPr>
          <w:sz w:val="24"/>
        </w:rPr>
        <w:t xml:space="preserve"> so far as is reasonably practicable,</w:t>
      </w:r>
      <w:r w:rsidRPr="00F16D5B">
        <w:rPr>
          <w:sz w:val="24"/>
        </w:rPr>
        <w:t xml:space="preserve"> including those</w:t>
      </w:r>
      <w:r w:rsidR="002A2373" w:rsidRPr="00F16D5B">
        <w:rPr>
          <w:sz w:val="24"/>
        </w:rPr>
        <w:t xml:space="preserve"> risks</w:t>
      </w:r>
      <w:r w:rsidRPr="00F16D5B">
        <w:rPr>
          <w:sz w:val="24"/>
        </w:rPr>
        <w:t xml:space="preserve"> arising from operations, maintenance, accidents, incidents, non-conformances</w:t>
      </w:r>
      <w:r w:rsidRPr="00F16D5B">
        <w:rPr>
          <w:rStyle w:val="Red"/>
          <w:color w:val="auto"/>
          <w:sz w:val="24"/>
        </w:rPr>
        <w:t>, closure</w:t>
      </w:r>
      <w:r w:rsidRPr="00F16D5B">
        <w:rPr>
          <w:sz w:val="24"/>
        </w:rPr>
        <w:t xml:space="preserve"> and those drawn to the attention of the operator </w:t>
      </w:r>
      <w:proofErr w:type="gramStart"/>
      <w:r w:rsidRPr="00F16D5B">
        <w:rPr>
          <w:sz w:val="24"/>
        </w:rPr>
        <w:t>as a result of</w:t>
      </w:r>
      <w:proofErr w:type="gramEnd"/>
      <w:r w:rsidRPr="00F16D5B">
        <w:rPr>
          <w:sz w:val="24"/>
        </w:rPr>
        <w:t xml:space="preserve"> complaints; and</w:t>
      </w:r>
    </w:p>
    <w:p w14:paraId="0E7AE52F" w14:textId="77777777" w:rsidR="000848DA" w:rsidRPr="00F16D5B" w:rsidRDefault="000848DA" w:rsidP="009D15ED">
      <w:pPr>
        <w:pStyle w:val="aBullet"/>
        <w:rPr>
          <w:sz w:val="24"/>
        </w:rPr>
      </w:pPr>
      <w:r w:rsidRPr="00F16D5B">
        <w:rPr>
          <w:sz w:val="24"/>
        </w:rPr>
        <w:t>using sufficient competent persons and resources.</w:t>
      </w:r>
    </w:p>
    <w:p w14:paraId="1BB6FA7E" w14:textId="007432A3" w:rsidR="000848DA" w:rsidRPr="00F16D5B" w:rsidRDefault="000848DA" w:rsidP="001C6A0B">
      <w:pPr>
        <w:pStyle w:val="Bullet1"/>
        <w:rPr>
          <w:sz w:val="24"/>
        </w:rPr>
      </w:pPr>
      <w:r w:rsidRPr="00F16D5B">
        <w:rPr>
          <w:sz w:val="24"/>
        </w:rPr>
        <w:t xml:space="preserve">Records demonstrating compliance with </w:t>
      </w:r>
      <w:r w:rsidR="000B0576" w:rsidRPr="00F16D5B">
        <w:rPr>
          <w:sz w:val="24"/>
        </w:rPr>
        <w:t>rule</w:t>
      </w:r>
      <w:r w:rsidRPr="00F16D5B">
        <w:rPr>
          <w:sz w:val="24"/>
        </w:rPr>
        <w:t xml:space="preserve"> </w:t>
      </w:r>
      <w:r w:rsidR="005D7DE8" w:rsidRPr="00F16D5B">
        <w:rPr>
          <w:sz w:val="24"/>
        </w:rPr>
        <w:t>1.1.1</w:t>
      </w:r>
      <w:r w:rsidRPr="00F16D5B">
        <w:rPr>
          <w:sz w:val="24"/>
        </w:rPr>
        <w:t xml:space="preserve"> shall be maintained. </w:t>
      </w:r>
    </w:p>
    <w:p w14:paraId="55B47303" w14:textId="6ED67F76" w:rsidR="000848DA" w:rsidRPr="00F16D5B" w:rsidRDefault="000848DA" w:rsidP="001C6A0B">
      <w:pPr>
        <w:pStyle w:val="Bullet1"/>
        <w:rPr>
          <w:sz w:val="24"/>
        </w:rPr>
      </w:pPr>
      <w:r w:rsidRPr="00F16D5B">
        <w:rPr>
          <w:sz w:val="24"/>
        </w:rPr>
        <w:t>Any person having duties that are or may be affecte</w:t>
      </w:r>
      <w:r w:rsidR="00292C0D" w:rsidRPr="00F16D5B">
        <w:rPr>
          <w:sz w:val="24"/>
        </w:rPr>
        <w:t>d by the matters set out in these</w:t>
      </w:r>
      <w:r w:rsidRPr="00F16D5B">
        <w:rPr>
          <w:sz w:val="24"/>
        </w:rPr>
        <w:t xml:space="preserve"> </w:t>
      </w:r>
      <w:r w:rsidR="00292C0D" w:rsidRPr="00F16D5B">
        <w:rPr>
          <w:sz w:val="24"/>
        </w:rPr>
        <w:t xml:space="preserve">standard rules </w:t>
      </w:r>
      <w:r w:rsidRPr="00F16D5B">
        <w:rPr>
          <w:sz w:val="24"/>
        </w:rPr>
        <w:t xml:space="preserve">shall have convenient access to a copy of </w:t>
      </w:r>
      <w:r w:rsidR="002A2373" w:rsidRPr="00F16D5B">
        <w:rPr>
          <w:sz w:val="24"/>
        </w:rPr>
        <w:t>the permit.</w:t>
      </w:r>
      <w:r w:rsidR="000B0576" w:rsidRPr="00F16D5B">
        <w:rPr>
          <w:rStyle w:val="CommentReference"/>
          <w:rFonts w:asciiTheme="minorHAnsi" w:eastAsia="Times New Roman" w:hAnsiTheme="minorHAnsi" w:cs="Times New Roman"/>
          <w:bCs w:val="0"/>
          <w:sz w:val="24"/>
          <w:szCs w:val="24"/>
        </w:rPr>
        <w:t xml:space="preserve"> </w:t>
      </w:r>
    </w:p>
    <w:p w14:paraId="3AA2CEF5" w14:textId="05A574DA" w:rsidR="00EA3D89" w:rsidRPr="00F16D5B" w:rsidRDefault="00EA3D89" w:rsidP="00F16D5B">
      <w:pPr>
        <w:pStyle w:val="Bullet1"/>
        <w:rPr>
          <w:rStyle w:val="Red"/>
          <w:color w:val="auto"/>
          <w:sz w:val="24"/>
        </w:rPr>
      </w:pPr>
      <w:r w:rsidRPr="00F16D5B">
        <w:rPr>
          <w:sz w:val="24"/>
        </w:rPr>
        <w:t>The operator shall comply with the requirements of an approved competence scheme</w:t>
      </w:r>
      <w:r w:rsidRPr="00F16D5B">
        <w:rPr>
          <w:rStyle w:val="Red"/>
          <w:color w:val="auto"/>
          <w:sz w:val="24"/>
        </w:rPr>
        <w:t>.</w:t>
      </w:r>
    </w:p>
    <w:p w14:paraId="46CB6EE1" w14:textId="1763019B" w:rsidR="007A53E5" w:rsidRPr="001C65C6" w:rsidRDefault="00441EA0" w:rsidP="00441EA0">
      <w:pPr>
        <w:pStyle w:val="Bullet0"/>
        <w:numPr>
          <w:ilvl w:val="0"/>
          <w:numId w:val="0"/>
        </w:numPr>
        <w:ind w:left="680" w:hanging="680"/>
      </w:pPr>
      <w:r>
        <w:t xml:space="preserve">1.2 </w:t>
      </w:r>
      <w:r w:rsidR="006D0F67">
        <w:t xml:space="preserve">  </w:t>
      </w:r>
      <w:r w:rsidR="007A53E5" w:rsidRPr="001C65C6">
        <w:t xml:space="preserve">Avoidance, recovery and disposal of wastes produced by the </w:t>
      </w:r>
      <w:r w:rsidR="006D0F67" w:rsidRPr="001C65C6">
        <w:t>activities</w:t>
      </w:r>
    </w:p>
    <w:p w14:paraId="05699392" w14:textId="721F4963" w:rsidR="007A53E5" w:rsidRPr="00316742" w:rsidRDefault="00EA2269" w:rsidP="00441EA0">
      <w:pPr>
        <w:pStyle w:val="Bullet1"/>
        <w:numPr>
          <w:ilvl w:val="0"/>
          <w:numId w:val="0"/>
        </w:numPr>
        <w:ind w:left="680" w:hanging="680"/>
        <w:rPr>
          <w:sz w:val="24"/>
        </w:rPr>
      </w:pPr>
      <w:r>
        <w:rPr>
          <w:sz w:val="24"/>
        </w:rPr>
        <w:t>1.2.1</w:t>
      </w:r>
      <w:r>
        <w:rPr>
          <w:sz w:val="24"/>
        </w:rPr>
        <w:tab/>
      </w:r>
      <w:r w:rsidR="007A53E5" w:rsidRPr="00316742">
        <w:rPr>
          <w:sz w:val="24"/>
        </w:rPr>
        <w:t>The operator shall take appropriate measures to ensure that:</w:t>
      </w:r>
    </w:p>
    <w:p w14:paraId="3E4EF5BF" w14:textId="48CBE803" w:rsidR="007A53E5" w:rsidRPr="00316742" w:rsidRDefault="007A53E5" w:rsidP="002777F0">
      <w:pPr>
        <w:pStyle w:val="aBullet"/>
        <w:numPr>
          <w:ilvl w:val="3"/>
          <w:numId w:val="10"/>
        </w:numPr>
        <w:rPr>
          <w:sz w:val="24"/>
        </w:rPr>
      </w:pPr>
      <w:r w:rsidRPr="00316742">
        <w:rPr>
          <w:sz w:val="24"/>
        </w:rPr>
        <w:t>the waste hierarchy referred to in Article 4 of the Waste Framework Directive i</w:t>
      </w:r>
      <w:r w:rsidR="00B70A9D" w:rsidRPr="00316742">
        <w:rPr>
          <w:sz w:val="24"/>
        </w:rPr>
        <w:t xml:space="preserve">s applied to the generation of </w:t>
      </w:r>
      <w:r w:rsidRPr="00316742">
        <w:rPr>
          <w:sz w:val="24"/>
        </w:rPr>
        <w:t>waste by the activities; and</w:t>
      </w:r>
    </w:p>
    <w:p w14:paraId="76367294" w14:textId="77777777" w:rsidR="007A53E5" w:rsidRPr="00316742" w:rsidRDefault="007A53E5" w:rsidP="002777F0">
      <w:pPr>
        <w:pStyle w:val="aBullet"/>
        <w:numPr>
          <w:ilvl w:val="3"/>
          <w:numId w:val="10"/>
        </w:numPr>
        <w:rPr>
          <w:sz w:val="24"/>
        </w:rPr>
      </w:pPr>
      <w:r w:rsidRPr="00316742">
        <w:rPr>
          <w:sz w:val="24"/>
        </w:rPr>
        <w:t>any waste generated by the activities is treated in accordance with the waste hierarchy referred to in Article 4 of the Waste Framework Directive; and</w:t>
      </w:r>
    </w:p>
    <w:p w14:paraId="21D6A1F0" w14:textId="77777777" w:rsidR="007A53E5" w:rsidRPr="00316742" w:rsidRDefault="007A53E5" w:rsidP="002777F0">
      <w:pPr>
        <w:pStyle w:val="aBullet"/>
        <w:numPr>
          <w:ilvl w:val="3"/>
          <w:numId w:val="10"/>
        </w:numPr>
        <w:rPr>
          <w:sz w:val="24"/>
        </w:rPr>
      </w:pPr>
      <w:r w:rsidRPr="00316742">
        <w:rPr>
          <w:sz w:val="24"/>
        </w:rPr>
        <w:t>where disposal is necessary, this is undertaken in a manner which minimises its impact on the environment.</w:t>
      </w:r>
    </w:p>
    <w:p w14:paraId="420F2591" w14:textId="54C99D99" w:rsidR="007A53E5" w:rsidRPr="00316742" w:rsidRDefault="00EA2269" w:rsidP="00441EA0">
      <w:pPr>
        <w:pStyle w:val="Bullet1"/>
        <w:numPr>
          <w:ilvl w:val="0"/>
          <w:numId w:val="0"/>
        </w:numPr>
        <w:ind w:left="680" w:hanging="680"/>
        <w:rPr>
          <w:sz w:val="24"/>
        </w:rPr>
      </w:pPr>
      <w:r>
        <w:rPr>
          <w:sz w:val="24"/>
        </w:rPr>
        <w:t>1.2.2</w:t>
      </w:r>
      <w:r>
        <w:rPr>
          <w:sz w:val="24"/>
        </w:rPr>
        <w:tab/>
      </w:r>
      <w:r w:rsidR="007A53E5" w:rsidRPr="00316742">
        <w:rPr>
          <w:sz w:val="24"/>
        </w:rPr>
        <w:t xml:space="preserve">The operator shall review and record at least every </w:t>
      </w:r>
      <w:r w:rsidR="00121E46" w:rsidRPr="00316742">
        <w:rPr>
          <w:sz w:val="24"/>
        </w:rPr>
        <w:t>four</w:t>
      </w:r>
      <w:r w:rsidR="007A53E5" w:rsidRPr="00316742">
        <w:rPr>
          <w:sz w:val="24"/>
        </w:rPr>
        <w:t xml:space="preserve"> years whether changes to those measures should be made and take any further appropriate measures identified by a review.</w:t>
      </w:r>
    </w:p>
    <w:p w14:paraId="5A20FA0D" w14:textId="77777777" w:rsidR="000848DA" w:rsidRPr="001C65C6" w:rsidRDefault="000848DA" w:rsidP="00F56258">
      <w:pPr>
        <w:pStyle w:val="Bullet"/>
        <w:keepNext/>
      </w:pPr>
      <w:r w:rsidRPr="001C65C6">
        <w:t>Operations</w:t>
      </w:r>
    </w:p>
    <w:p w14:paraId="3E259E6A" w14:textId="77777777" w:rsidR="000848DA" w:rsidRPr="001C65C6" w:rsidRDefault="000848DA" w:rsidP="00F56258">
      <w:pPr>
        <w:pStyle w:val="Bullet0"/>
        <w:keepNext/>
      </w:pPr>
      <w:r w:rsidRPr="001C65C6">
        <w:t>Permitted activities</w:t>
      </w:r>
    </w:p>
    <w:p w14:paraId="443B0C3E" w14:textId="3A3B7FE2" w:rsidR="000848DA" w:rsidRPr="00316742" w:rsidRDefault="006D0F67" w:rsidP="00316742">
      <w:pPr>
        <w:pStyle w:val="Bullet1"/>
        <w:rPr>
          <w:sz w:val="24"/>
        </w:rPr>
      </w:pPr>
      <w:r w:rsidRPr="006D0F67">
        <w:rPr>
          <w:sz w:val="24"/>
        </w:rPr>
        <w:t>The operator is only authorised to carry out the activities in rule 2.1.</w:t>
      </w:r>
    </w:p>
    <w:p w14:paraId="35E4F1B2" w14:textId="7E64BE5D" w:rsidR="00B619BF" w:rsidRDefault="00B619BF" w:rsidP="0B23DE20">
      <w:pPr>
        <w:pStyle w:val="NormalWeb"/>
        <w:shd w:val="clear" w:color="auto" w:fill="FFFFFF" w:themeFill="background1"/>
        <w:spacing w:before="300" w:beforeAutospacing="0" w:after="300" w:afterAutospacing="0"/>
        <w:ind w:left="680"/>
        <w:rPr>
          <w:rFonts w:ascii="Arial" w:hAnsi="Arial" w:cs="Arial"/>
          <w:color w:val="0B0C0C"/>
        </w:rPr>
      </w:pPr>
      <w:r w:rsidRPr="0B23DE20">
        <w:rPr>
          <w:rFonts w:ascii="Arial" w:hAnsi="Arial" w:cs="Arial"/>
          <w:color w:val="0B0C0C"/>
        </w:rPr>
        <w:t>R</w:t>
      </w:r>
      <w:r w:rsidR="0028748D" w:rsidRPr="0B23DE20">
        <w:rPr>
          <w:rFonts w:ascii="Arial" w:hAnsi="Arial" w:cs="Arial"/>
          <w:color w:val="0B0C0C"/>
        </w:rPr>
        <w:t>5</w:t>
      </w:r>
      <w:r w:rsidRPr="0B23DE20">
        <w:rPr>
          <w:rFonts w:ascii="Arial" w:hAnsi="Arial" w:cs="Arial"/>
          <w:color w:val="0B0C0C"/>
        </w:rPr>
        <w:t>: Recycling</w:t>
      </w:r>
      <w:r w:rsidR="008102E2" w:rsidRPr="0B23DE20">
        <w:rPr>
          <w:rFonts w:ascii="Arial" w:hAnsi="Arial" w:cs="Arial"/>
          <w:color w:val="0B0C0C"/>
        </w:rPr>
        <w:t xml:space="preserve"> or </w:t>
      </w:r>
      <w:r w:rsidRPr="0B23DE20">
        <w:rPr>
          <w:rFonts w:ascii="Arial" w:hAnsi="Arial" w:cs="Arial"/>
          <w:color w:val="0B0C0C"/>
        </w:rPr>
        <w:t xml:space="preserve">reclamation of </w:t>
      </w:r>
      <w:r w:rsidR="0028748D" w:rsidRPr="0B23DE20">
        <w:rPr>
          <w:rFonts w:ascii="Arial" w:hAnsi="Arial" w:cs="Arial"/>
          <w:color w:val="0B0C0C"/>
        </w:rPr>
        <w:t>other inorganic materials</w:t>
      </w:r>
    </w:p>
    <w:p w14:paraId="2B18FD1A" w14:textId="77777777" w:rsidR="00B619BF" w:rsidRDefault="00B619BF" w:rsidP="0048528A">
      <w:pPr>
        <w:pStyle w:val="NormalWeb"/>
        <w:shd w:val="clear" w:color="auto" w:fill="FFFFFF"/>
        <w:spacing w:before="300" w:beforeAutospacing="0" w:after="300" w:afterAutospacing="0"/>
        <w:ind w:left="680"/>
        <w:rPr>
          <w:rFonts w:ascii="Arial" w:hAnsi="Arial" w:cs="Arial"/>
          <w:color w:val="0B0C0C"/>
        </w:rPr>
      </w:pPr>
      <w:r>
        <w:rPr>
          <w:rFonts w:ascii="Arial" w:hAnsi="Arial" w:cs="Arial"/>
          <w:color w:val="0B0C0C"/>
        </w:rPr>
        <w:t>R13: Storage of wastes pending any of the operations numbered R1 to R12 (excluding temporary storage, pending collection, on the site where it is produced)</w:t>
      </w:r>
    </w:p>
    <w:p w14:paraId="0A18B8A5" w14:textId="59AA5E34" w:rsidR="00B619BF" w:rsidRDefault="00B619BF" w:rsidP="00B619BF">
      <w:pPr>
        <w:pStyle w:val="NormalWeb"/>
        <w:shd w:val="clear" w:color="auto" w:fill="FFFFFF"/>
        <w:spacing w:before="300" w:beforeAutospacing="0" w:after="300" w:afterAutospacing="0"/>
        <w:rPr>
          <w:rFonts w:ascii="Arial" w:hAnsi="Arial" w:cs="Arial"/>
          <w:color w:val="0B0C0C"/>
        </w:rPr>
      </w:pPr>
      <w:proofErr w:type="gramStart"/>
      <w:r>
        <w:rPr>
          <w:rFonts w:ascii="Arial" w:hAnsi="Arial" w:cs="Arial"/>
          <w:color w:val="0B0C0C"/>
        </w:rPr>
        <w:lastRenderedPageBreak/>
        <w:t>2.1.</w:t>
      </w:r>
      <w:r w:rsidR="0028748D">
        <w:rPr>
          <w:rFonts w:ascii="Arial" w:hAnsi="Arial" w:cs="Arial"/>
          <w:color w:val="0B0C0C"/>
        </w:rPr>
        <w:t>2</w:t>
      </w:r>
      <w:r>
        <w:rPr>
          <w:rFonts w:ascii="Arial" w:hAnsi="Arial" w:cs="Arial"/>
          <w:color w:val="0B0C0C"/>
        </w:rPr>
        <w:t xml:space="preserve"> </w:t>
      </w:r>
      <w:r w:rsidR="00C60FAB">
        <w:rPr>
          <w:rFonts w:ascii="Arial" w:hAnsi="Arial" w:cs="Arial"/>
          <w:color w:val="0B0C0C"/>
        </w:rPr>
        <w:t xml:space="preserve"> </w:t>
      </w:r>
      <w:r>
        <w:rPr>
          <w:rFonts w:ascii="Arial" w:hAnsi="Arial" w:cs="Arial"/>
          <w:color w:val="0B0C0C"/>
        </w:rPr>
        <w:t>The</w:t>
      </w:r>
      <w:proofErr w:type="gramEnd"/>
      <w:r>
        <w:rPr>
          <w:rFonts w:ascii="Arial" w:hAnsi="Arial" w:cs="Arial"/>
          <w:color w:val="0B0C0C"/>
        </w:rPr>
        <w:t xml:space="preserve"> activities are limited as follows:</w:t>
      </w:r>
    </w:p>
    <w:p w14:paraId="71705680" w14:textId="3417A276" w:rsidR="00B619BF" w:rsidRDefault="00B619BF" w:rsidP="0A749420">
      <w:pPr>
        <w:pStyle w:val="NormalWeb"/>
        <w:shd w:val="clear" w:color="auto" w:fill="FFFFFF" w:themeFill="background1"/>
        <w:spacing w:before="300" w:beforeAutospacing="0" w:after="300" w:afterAutospacing="0"/>
        <w:ind w:left="720"/>
        <w:rPr>
          <w:rFonts w:ascii="Arial" w:hAnsi="Arial" w:cs="Arial"/>
          <w:color w:val="0B0C0C"/>
        </w:rPr>
      </w:pPr>
      <w:r w:rsidRPr="0A749420">
        <w:rPr>
          <w:rFonts w:ascii="Arial" w:hAnsi="Arial" w:cs="Arial"/>
          <w:color w:val="0B0C0C"/>
        </w:rPr>
        <w:t xml:space="preserve">(a) </w:t>
      </w:r>
      <w:r w:rsidR="001A03BE" w:rsidRPr="0A749420">
        <w:rPr>
          <w:rFonts w:ascii="Arial" w:hAnsi="Arial" w:cs="Arial"/>
          <w:color w:val="0B0C0C"/>
        </w:rPr>
        <w:t>t</w:t>
      </w:r>
      <w:r w:rsidR="0028748D" w:rsidRPr="0A749420">
        <w:rPr>
          <w:rFonts w:ascii="Arial" w:hAnsi="Arial" w:cs="Arial"/>
          <w:color w:val="0B0C0C"/>
        </w:rPr>
        <w:t xml:space="preserve">he use and associated secure storage of a maximum of </w:t>
      </w:r>
      <w:r w:rsidR="005B3111" w:rsidRPr="0A749420">
        <w:rPr>
          <w:rFonts w:ascii="Arial" w:hAnsi="Arial" w:cs="Arial"/>
          <w:color w:val="0B0C0C"/>
        </w:rPr>
        <w:t>68</w:t>
      </w:r>
      <w:r w:rsidR="00837CE6" w:rsidRPr="0A749420">
        <w:rPr>
          <w:rFonts w:ascii="Arial" w:hAnsi="Arial" w:cs="Arial"/>
          <w:color w:val="0B0C0C"/>
        </w:rPr>
        <w:t xml:space="preserve">,000 </w:t>
      </w:r>
      <w:r w:rsidR="00627ACD" w:rsidRPr="0A749420">
        <w:rPr>
          <w:rFonts w:ascii="Arial" w:hAnsi="Arial" w:cs="Arial"/>
          <w:color w:val="0B0C0C"/>
        </w:rPr>
        <w:t>tonnes</w:t>
      </w:r>
      <w:r w:rsidR="0028748D" w:rsidRPr="0A749420">
        <w:rPr>
          <w:rFonts w:ascii="Arial" w:hAnsi="Arial" w:cs="Arial"/>
          <w:color w:val="0B0C0C"/>
        </w:rPr>
        <w:t xml:space="preserve"> of wastes listed in </w:t>
      </w:r>
      <w:r w:rsidR="00033059" w:rsidRPr="0A749420">
        <w:rPr>
          <w:rFonts w:ascii="Arial" w:hAnsi="Arial" w:cs="Arial"/>
          <w:color w:val="0B0C0C"/>
        </w:rPr>
        <w:t>rule 2.3.3</w:t>
      </w:r>
      <w:r w:rsidR="0028748D" w:rsidRPr="0A749420">
        <w:rPr>
          <w:rFonts w:ascii="Arial" w:hAnsi="Arial" w:cs="Arial"/>
          <w:color w:val="0B0C0C"/>
        </w:rPr>
        <w:t xml:space="preserve"> for the purposes of the construction work</w:t>
      </w:r>
      <w:r w:rsidR="00EA6F1E" w:rsidRPr="0A749420">
        <w:rPr>
          <w:rFonts w:ascii="Arial" w:hAnsi="Arial" w:cs="Arial"/>
          <w:color w:val="0B0C0C"/>
        </w:rPr>
        <w:t>.</w:t>
      </w:r>
      <w:r w:rsidR="009630A4">
        <w:t xml:space="preserve"> </w:t>
      </w:r>
      <w:r w:rsidR="009630A4" w:rsidRPr="0A749420">
        <w:rPr>
          <w:rFonts w:ascii="Arial" w:hAnsi="Arial" w:cs="Arial"/>
          <w:color w:val="0B0C0C"/>
        </w:rPr>
        <w:t xml:space="preserve">The total quantity of IBAA used is IBAA or IBAA mixed with </w:t>
      </w:r>
      <w:r w:rsidR="16E72F1C" w:rsidRPr="0A749420">
        <w:rPr>
          <w:rFonts w:ascii="Arial" w:hAnsi="Arial" w:cs="Arial"/>
          <w:color w:val="0B0C0C"/>
        </w:rPr>
        <w:t>non-waste</w:t>
      </w:r>
      <w:r w:rsidR="009630A4" w:rsidRPr="0A749420">
        <w:rPr>
          <w:rFonts w:ascii="Arial" w:hAnsi="Arial" w:cs="Arial"/>
          <w:color w:val="0B0C0C"/>
        </w:rPr>
        <w:t xml:space="preserve"> aggregate.</w:t>
      </w:r>
      <w:r w:rsidR="0028748D" w:rsidRPr="0A749420">
        <w:rPr>
          <w:rFonts w:ascii="Arial" w:hAnsi="Arial" w:cs="Arial"/>
          <w:color w:val="0B0C0C"/>
        </w:rPr>
        <w:t xml:space="preserve"> </w:t>
      </w:r>
    </w:p>
    <w:p w14:paraId="04945E15" w14:textId="1B942D67" w:rsidR="0028748D" w:rsidRDefault="00B619BF" w:rsidP="0048528A">
      <w:pPr>
        <w:pStyle w:val="NormalWeb"/>
        <w:shd w:val="clear" w:color="auto" w:fill="FFFFFF"/>
        <w:spacing w:before="300" w:beforeAutospacing="0" w:after="300" w:afterAutospacing="0"/>
        <w:ind w:left="720"/>
        <w:rPr>
          <w:rFonts w:ascii="Arial" w:hAnsi="Arial" w:cs="Arial"/>
          <w:color w:val="0B0C0C"/>
        </w:rPr>
      </w:pPr>
      <w:r>
        <w:rPr>
          <w:rFonts w:ascii="Arial" w:hAnsi="Arial" w:cs="Arial"/>
          <w:color w:val="0B0C0C"/>
        </w:rPr>
        <w:t xml:space="preserve">(b) </w:t>
      </w:r>
      <w:r w:rsidR="001A03BE">
        <w:rPr>
          <w:rFonts w:ascii="Arial" w:hAnsi="Arial" w:cs="Arial"/>
          <w:color w:val="0B0C0C"/>
        </w:rPr>
        <w:t>t</w:t>
      </w:r>
      <w:r w:rsidR="0028748D">
        <w:rPr>
          <w:rFonts w:ascii="Arial" w:hAnsi="Arial" w:cs="Arial"/>
          <w:color w:val="0B0C0C"/>
        </w:rPr>
        <w:t>he construction work carried out under the Standard Rules will be limited to:</w:t>
      </w:r>
    </w:p>
    <w:p w14:paraId="1299B95F" w14:textId="6CFC5FE5" w:rsidR="0072349C" w:rsidRPr="0072349C" w:rsidRDefault="0072349C" w:rsidP="0048528A">
      <w:pPr>
        <w:numPr>
          <w:ilvl w:val="0"/>
          <w:numId w:val="39"/>
        </w:numPr>
        <w:shd w:val="clear" w:color="auto" w:fill="FFFFFF"/>
        <w:tabs>
          <w:tab w:val="clear" w:pos="720"/>
          <w:tab w:val="num" w:pos="1440"/>
        </w:tabs>
        <w:spacing w:before="0" w:after="75" w:line="240" w:lineRule="auto"/>
        <w:ind w:left="1740"/>
        <w:rPr>
          <w:rFonts w:ascii="Arial" w:hAnsi="Arial" w:cs="Arial"/>
          <w:color w:val="0B0C0C"/>
          <w:sz w:val="24"/>
          <w:szCs w:val="32"/>
          <w:lang w:eastAsia="en-GB"/>
        </w:rPr>
      </w:pPr>
      <w:r w:rsidRPr="0072349C">
        <w:rPr>
          <w:rFonts w:ascii="Arial" w:hAnsi="Arial" w:cs="Arial"/>
          <w:color w:val="0B0C0C"/>
          <w:sz w:val="24"/>
          <w:szCs w:val="32"/>
          <w:lang w:eastAsia="en-GB"/>
        </w:rPr>
        <w:t xml:space="preserve">building a road sub-base </w:t>
      </w:r>
      <w:r>
        <w:rPr>
          <w:rFonts w:ascii="Arial" w:hAnsi="Arial" w:cs="Arial"/>
          <w:color w:val="0B0C0C"/>
          <w:sz w:val="24"/>
          <w:szCs w:val="32"/>
          <w:lang w:eastAsia="en-GB"/>
        </w:rPr>
        <w:t xml:space="preserve">with a </w:t>
      </w:r>
      <w:r w:rsidRPr="0072349C">
        <w:rPr>
          <w:rFonts w:ascii="Arial" w:hAnsi="Arial" w:cs="Arial"/>
          <w:color w:val="0B0C0C"/>
          <w:sz w:val="24"/>
          <w:szCs w:val="32"/>
          <w:lang w:eastAsia="en-GB"/>
        </w:rPr>
        <w:t xml:space="preserve">maximum width </w:t>
      </w:r>
      <w:r>
        <w:rPr>
          <w:rFonts w:ascii="Arial" w:hAnsi="Arial" w:cs="Arial"/>
          <w:color w:val="0B0C0C"/>
          <w:sz w:val="24"/>
          <w:szCs w:val="32"/>
          <w:lang w:eastAsia="en-GB"/>
        </w:rPr>
        <w:t xml:space="preserve">of </w:t>
      </w:r>
      <w:r w:rsidRPr="0072349C">
        <w:rPr>
          <w:rFonts w:ascii="Arial" w:hAnsi="Arial" w:cs="Arial"/>
          <w:color w:val="0B0C0C"/>
          <w:sz w:val="24"/>
          <w:szCs w:val="32"/>
          <w:lang w:eastAsia="en-GB"/>
        </w:rPr>
        <w:t>40</w:t>
      </w:r>
      <w:r>
        <w:rPr>
          <w:rFonts w:ascii="Arial" w:hAnsi="Arial" w:cs="Arial"/>
          <w:color w:val="0B0C0C"/>
          <w:sz w:val="24"/>
          <w:szCs w:val="32"/>
          <w:lang w:eastAsia="en-GB"/>
        </w:rPr>
        <w:t xml:space="preserve"> </w:t>
      </w:r>
      <w:r w:rsidRPr="0072349C">
        <w:rPr>
          <w:rFonts w:ascii="Arial" w:hAnsi="Arial" w:cs="Arial"/>
          <w:color w:val="0B0C0C"/>
          <w:sz w:val="24"/>
          <w:szCs w:val="32"/>
          <w:lang w:eastAsia="en-GB"/>
        </w:rPr>
        <w:t>m</w:t>
      </w:r>
      <w:r>
        <w:rPr>
          <w:rFonts w:ascii="Arial" w:hAnsi="Arial" w:cs="Arial"/>
          <w:color w:val="0B0C0C"/>
          <w:sz w:val="24"/>
          <w:szCs w:val="32"/>
          <w:lang w:eastAsia="en-GB"/>
        </w:rPr>
        <w:t>etres and a</w:t>
      </w:r>
      <w:r w:rsidRPr="0072349C">
        <w:rPr>
          <w:rFonts w:ascii="Arial" w:hAnsi="Arial" w:cs="Arial"/>
          <w:color w:val="0B0C0C"/>
          <w:sz w:val="24"/>
          <w:szCs w:val="32"/>
          <w:lang w:eastAsia="en-GB"/>
        </w:rPr>
        <w:t xml:space="preserve"> maximum depth</w:t>
      </w:r>
      <w:r>
        <w:rPr>
          <w:rFonts w:ascii="Arial" w:hAnsi="Arial" w:cs="Arial"/>
          <w:color w:val="0B0C0C"/>
          <w:sz w:val="24"/>
          <w:szCs w:val="32"/>
          <w:lang w:eastAsia="en-GB"/>
        </w:rPr>
        <w:t xml:space="preserve"> of</w:t>
      </w:r>
      <w:r w:rsidRPr="0072349C">
        <w:rPr>
          <w:rFonts w:ascii="Arial" w:hAnsi="Arial" w:cs="Arial"/>
          <w:color w:val="0B0C0C"/>
          <w:sz w:val="24"/>
          <w:szCs w:val="32"/>
          <w:lang w:eastAsia="en-GB"/>
        </w:rPr>
        <w:t xml:space="preserve"> 0.7</w:t>
      </w:r>
      <w:r>
        <w:rPr>
          <w:rFonts w:ascii="Arial" w:hAnsi="Arial" w:cs="Arial"/>
          <w:color w:val="0B0C0C"/>
          <w:sz w:val="24"/>
          <w:szCs w:val="32"/>
          <w:lang w:eastAsia="en-GB"/>
        </w:rPr>
        <w:t xml:space="preserve"> metres</w:t>
      </w:r>
    </w:p>
    <w:p w14:paraId="2E691ACC" w14:textId="3223E5E3" w:rsidR="0072349C" w:rsidRPr="0072349C" w:rsidRDefault="0072349C" w:rsidP="0048528A">
      <w:pPr>
        <w:numPr>
          <w:ilvl w:val="0"/>
          <w:numId w:val="39"/>
        </w:numPr>
        <w:shd w:val="clear" w:color="auto" w:fill="FFFFFF"/>
        <w:tabs>
          <w:tab w:val="clear" w:pos="720"/>
          <w:tab w:val="num" w:pos="1440"/>
        </w:tabs>
        <w:spacing w:before="0" w:after="75" w:line="240" w:lineRule="auto"/>
        <w:ind w:left="1740"/>
        <w:rPr>
          <w:rFonts w:ascii="Arial" w:hAnsi="Arial" w:cs="Arial"/>
          <w:color w:val="0B0C0C"/>
          <w:sz w:val="24"/>
          <w:szCs w:val="32"/>
          <w:lang w:eastAsia="en-GB"/>
        </w:rPr>
      </w:pPr>
      <w:r w:rsidRPr="0072349C">
        <w:rPr>
          <w:rFonts w:ascii="Arial" w:hAnsi="Arial" w:cs="Arial"/>
          <w:color w:val="0B0C0C"/>
          <w:sz w:val="24"/>
          <w:szCs w:val="32"/>
          <w:lang w:eastAsia="en-GB"/>
        </w:rPr>
        <w:t xml:space="preserve">building a construction or structural platform </w:t>
      </w:r>
      <w:r>
        <w:rPr>
          <w:rFonts w:ascii="Arial" w:hAnsi="Arial" w:cs="Arial"/>
          <w:color w:val="0B0C0C"/>
          <w:sz w:val="24"/>
          <w:szCs w:val="32"/>
          <w:lang w:eastAsia="en-GB"/>
        </w:rPr>
        <w:t xml:space="preserve">with a </w:t>
      </w:r>
      <w:r w:rsidRPr="0072349C">
        <w:rPr>
          <w:rFonts w:ascii="Arial" w:hAnsi="Arial" w:cs="Arial"/>
          <w:color w:val="0B0C0C"/>
          <w:sz w:val="24"/>
          <w:szCs w:val="32"/>
          <w:lang w:eastAsia="en-GB"/>
        </w:rPr>
        <w:t xml:space="preserve">maximum average thickness </w:t>
      </w:r>
      <w:r>
        <w:rPr>
          <w:rFonts w:ascii="Arial" w:hAnsi="Arial" w:cs="Arial"/>
          <w:color w:val="0B0C0C"/>
          <w:sz w:val="24"/>
          <w:szCs w:val="32"/>
          <w:lang w:eastAsia="en-GB"/>
        </w:rPr>
        <w:t xml:space="preserve">of </w:t>
      </w:r>
      <w:r w:rsidRPr="0072349C">
        <w:rPr>
          <w:rFonts w:ascii="Arial" w:hAnsi="Arial" w:cs="Arial"/>
          <w:color w:val="0B0C0C"/>
          <w:sz w:val="24"/>
          <w:szCs w:val="32"/>
          <w:lang w:eastAsia="en-GB"/>
        </w:rPr>
        <w:t>1</w:t>
      </w:r>
      <w:r>
        <w:rPr>
          <w:rFonts w:ascii="Arial" w:hAnsi="Arial" w:cs="Arial"/>
          <w:color w:val="0B0C0C"/>
          <w:sz w:val="24"/>
          <w:szCs w:val="32"/>
          <w:lang w:eastAsia="en-GB"/>
        </w:rPr>
        <w:t xml:space="preserve"> metre</w:t>
      </w:r>
    </w:p>
    <w:p w14:paraId="1135E12C" w14:textId="23F4E57A" w:rsidR="0072349C" w:rsidRPr="0072349C" w:rsidRDefault="0072349C" w:rsidP="0048528A">
      <w:pPr>
        <w:numPr>
          <w:ilvl w:val="0"/>
          <w:numId w:val="39"/>
        </w:numPr>
        <w:shd w:val="clear" w:color="auto" w:fill="FFFFFF"/>
        <w:tabs>
          <w:tab w:val="clear" w:pos="720"/>
          <w:tab w:val="num" w:pos="1440"/>
        </w:tabs>
        <w:spacing w:before="0" w:after="75" w:line="240" w:lineRule="auto"/>
        <w:ind w:left="1740"/>
        <w:rPr>
          <w:rFonts w:ascii="Arial" w:hAnsi="Arial" w:cs="Arial"/>
          <w:color w:val="0B0C0C"/>
          <w:sz w:val="24"/>
          <w:szCs w:val="32"/>
          <w:lang w:eastAsia="en-GB"/>
        </w:rPr>
      </w:pPr>
      <w:r w:rsidRPr="0072349C">
        <w:rPr>
          <w:rFonts w:ascii="Arial" w:hAnsi="Arial" w:cs="Arial"/>
          <w:color w:val="0B0C0C"/>
          <w:sz w:val="24"/>
          <w:szCs w:val="32"/>
          <w:lang w:eastAsia="en-GB"/>
        </w:rPr>
        <w:t xml:space="preserve">pipe bedding </w:t>
      </w:r>
      <w:r>
        <w:rPr>
          <w:rFonts w:ascii="Arial" w:hAnsi="Arial" w:cs="Arial"/>
          <w:color w:val="0B0C0C"/>
          <w:sz w:val="24"/>
          <w:szCs w:val="32"/>
          <w:lang w:eastAsia="en-GB"/>
        </w:rPr>
        <w:t xml:space="preserve">with a </w:t>
      </w:r>
      <w:r w:rsidRPr="0072349C">
        <w:rPr>
          <w:rFonts w:ascii="Arial" w:hAnsi="Arial" w:cs="Arial"/>
          <w:color w:val="0B0C0C"/>
          <w:sz w:val="24"/>
          <w:szCs w:val="32"/>
          <w:lang w:eastAsia="en-GB"/>
        </w:rPr>
        <w:t xml:space="preserve">maximum </w:t>
      </w:r>
      <w:r>
        <w:rPr>
          <w:rFonts w:ascii="Arial" w:hAnsi="Arial" w:cs="Arial"/>
          <w:color w:val="0B0C0C"/>
          <w:sz w:val="24"/>
          <w:szCs w:val="32"/>
          <w:lang w:eastAsia="en-GB"/>
        </w:rPr>
        <w:t xml:space="preserve">thickness of </w:t>
      </w:r>
      <w:r w:rsidRPr="0072349C">
        <w:rPr>
          <w:rFonts w:ascii="Arial" w:hAnsi="Arial" w:cs="Arial"/>
          <w:color w:val="0B0C0C"/>
          <w:sz w:val="24"/>
          <w:szCs w:val="32"/>
          <w:lang w:eastAsia="en-GB"/>
        </w:rPr>
        <w:t>0.3</w:t>
      </w:r>
      <w:r>
        <w:rPr>
          <w:rFonts w:ascii="Arial" w:hAnsi="Arial" w:cs="Arial"/>
          <w:color w:val="0B0C0C"/>
          <w:sz w:val="24"/>
          <w:szCs w:val="32"/>
          <w:lang w:eastAsia="en-GB"/>
        </w:rPr>
        <w:t xml:space="preserve"> </w:t>
      </w:r>
      <w:r w:rsidRPr="0072349C">
        <w:rPr>
          <w:rFonts w:ascii="Arial" w:hAnsi="Arial" w:cs="Arial"/>
          <w:color w:val="0B0C0C"/>
          <w:sz w:val="24"/>
          <w:szCs w:val="32"/>
          <w:lang w:eastAsia="en-GB"/>
        </w:rPr>
        <w:t>m</w:t>
      </w:r>
      <w:r>
        <w:rPr>
          <w:rFonts w:ascii="Arial" w:hAnsi="Arial" w:cs="Arial"/>
          <w:color w:val="0B0C0C"/>
          <w:sz w:val="24"/>
          <w:szCs w:val="32"/>
          <w:lang w:eastAsia="en-GB"/>
        </w:rPr>
        <w:t>etres</w:t>
      </w:r>
      <w:r w:rsidRPr="0072349C">
        <w:rPr>
          <w:rFonts w:ascii="Arial" w:hAnsi="Arial" w:cs="Arial"/>
          <w:color w:val="0B0C0C"/>
          <w:sz w:val="24"/>
          <w:szCs w:val="32"/>
          <w:lang w:eastAsia="en-GB"/>
        </w:rPr>
        <w:t xml:space="preserve"> thick in a </w:t>
      </w:r>
      <w:proofErr w:type="gramStart"/>
      <w:r w:rsidRPr="0072349C">
        <w:rPr>
          <w:rFonts w:ascii="Arial" w:hAnsi="Arial" w:cs="Arial"/>
          <w:color w:val="0B0C0C"/>
          <w:sz w:val="24"/>
          <w:szCs w:val="32"/>
          <w:lang w:eastAsia="en-GB"/>
        </w:rPr>
        <w:t>2</w:t>
      </w:r>
      <w:r>
        <w:rPr>
          <w:rFonts w:ascii="Arial" w:hAnsi="Arial" w:cs="Arial"/>
          <w:color w:val="0B0C0C"/>
          <w:sz w:val="24"/>
          <w:szCs w:val="32"/>
          <w:lang w:eastAsia="en-GB"/>
        </w:rPr>
        <w:t xml:space="preserve"> metre</w:t>
      </w:r>
      <w:r w:rsidRPr="0072349C">
        <w:rPr>
          <w:rFonts w:ascii="Arial" w:hAnsi="Arial" w:cs="Arial"/>
          <w:color w:val="0B0C0C"/>
          <w:sz w:val="24"/>
          <w:szCs w:val="32"/>
          <w:lang w:eastAsia="en-GB"/>
        </w:rPr>
        <w:t xml:space="preserve"> wide</w:t>
      </w:r>
      <w:proofErr w:type="gramEnd"/>
      <w:r w:rsidRPr="0072349C">
        <w:rPr>
          <w:rFonts w:ascii="Arial" w:hAnsi="Arial" w:cs="Arial"/>
          <w:color w:val="0B0C0C"/>
          <w:sz w:val="24"/>
          <w:szCs w:val="32"/>
          <w:lang w:eastAsia="en-GB"/>
        </w:rPr>
        <w:t xml:space="preserve"> trench</w:t>
      </w:r>
    </w:p>
    <w:p w14:paraId="65187E15" w14:textId="2526882C" w:rsidR="00494021" w:rsidRDefault="00B619BF" w:rsidP="004D3D69">
      <w:pPr>
        <w:pStyle w:val="NormalWeb"/>
        <w:shd w:val="clear" w:color="auto" w:fill="FFFFFF"/>
        <w:spacing w:before="300" w:beforeAutospacing="0" w:after="300" w:afterAutospacing="0"/>
        <w:ind w:left="720"/>
        <w:rPr>
          <w:rFonts w:ascii="Arial" w:hAnsi="Arial" w:cs="Arial"/>
          <w:color w:val="0B0C0C"/>
        </w:rPr>
      </w:pPr>
      <w:r>
        <w:rPr>
          <w:rFonts w:ascii="Arial" w:hAnsi="Arial" w:cs="Arial"/>
          <w:color w:val="0B0C0C"/>
        </w:rPr>
        <w:t>(c</w:t>
      </w:r>
      <w:r w:rsidRPr="00265815">
        <w:rPr>
          <w:rFonts w:ascii="Arial" w:hAnsi="Arial" w:cs="Arial"/>
          <w:color w:val="0B0C0C"/>
        </w:rPr>
        <w:t xml:space="preserve">) </w:t>
      </w:r>
      <w:r w:rsidR="001A03BE">
        <w:rPr>
          <w:rFonts w:ascii="Arial" w:hAnsi="Arial" w:cs="Arial"/>
          <w:color w:val="0B0C0C"/>
        </w:rPr>
        <w:t>t</w:t>
      </w:r>
      <w:r w:rsidR="0072349C" w:rsidRPr="00265815">
        <w:rPr>
          <w:rFonts w:ascii="Arial" w:hAnsi="Arial" w:cs="Arial"/>
          <w:color w:val="0B0C0C"/>
        </w:rPr>
        <w:t xml:space="preserve">he total quantity of waste used shall not exceed the amount needed to complete the </w:t>
      </w:r>
      <w:r w:rsidR="00006674" w:rsidRPr="00265815">
        <w:rPr>
          <w:rFonts w:ascii="Arial" w:hAnsi="Arial" w:cs="Arial"/>
          <w:color w:val="0B0C0C"/>
        </w:rPr>
        <w:t>construction activity</w:t>
      </w:r>
      <w:r w:rsidR="00265815" w:rsidRPr="00265815">
        <w:rPr>
          <w:rFonts w:ascii="Arial" w:hAnsi="Arial" w:cs="Arial"/>
          <w:color w:val="0B0C0C"/>
        </w:rPr>
        <w:t xml:space="preserve">, as outlined in the </w:t>
      </w:r>
      <w:r w:rsidR="007660F0">
        <w:rPr>
          <w:rFonts w:ascii="Arial" w:hAnsi="Arial" w:cs="Arial"/>
          <w:color w:val="0B0C0C"/>
        </w:rPr>
        <w:t xml:space="preserve">approved </w:t>
      </w:r>
      <w:r w:rsidR="0048528A">
        <w:rPr>
          <w:rFonts w:ascii="Arial" w:hAnsi="Arial" w:cs="Arial"/>
          <w:color w:val="0B0C0C"/>
        </w:rPr>
        <w:t>w</w:t>
      </w:r>
      <w:r w:rsidR="00265815" w:rsidRPr="00265815">
        <w:rPr>
          <w:rFonts w:ascii="Arial" w:hAnsi="Arial" w:cs="Arial"/>
          <w:color w:val="0B0C0C"/>
        </w:rPr>
        <w:t xml:space="preserve">aste </w:t>
      </w:r>
      <w:r w:rsidR="0048528A">
        <w:rPr>
          <w:rFonts w:ascii="Arial" w:hAnsi="Arial" w:cs="Arial"/>
          <w:color w:val="0B0C0C"/>
        </w:rPr>
        <w:t>r</w:t>
      </w:r>
      <w:r w:rsidR="00265815" w:rsidRPr="00265815">
        <w:rPr>
          <w:rFonts w:ascii="Arial" w:hAnsi="Arial" w:cs="Arial"/>
          <w:color w:val="0B0C0C"/>
        </w:rPr>
        <w:t xml:space="preserve">ecovery </w:t>
      </w:r>
      <w:r w:rsidR="0048528A">
        <w:rPr>
          <w:rFonts w:ascii="Arial" w:hAnsi="Arial" w:cs="Arial"/>
          <w:color w:val="0B0C0C"/>
        </w:rPr>
        <w:t>p</w:t>
      </w:r>
      <w:r w:rsidR="00265815" w:rsidRPr="00265815">
        <w:rPr>
          <w:rFonts w:ascii="Arial" w:hAnsi="Arial" w:cs="Arial"/>
          <w:color w:val="0B0C0C"/>
        </w:rPr>
        <w:t>lan referenced under rule 2.2</w:t>
      </w:r>
      <w:r w:rsidR="0072349C" w:rsidRPr="00265815">
        <w:rPr>
          <w:rFonts w:ascii="Arial" w:hAnsi="Arial" w:cs="Arial"/>
          <w:color w:val="0B0C0C"/>
        </w:rPr>
        <w:t>.</w:t>
      </w:r>
    </w:p>
    <w:p w14:paraId="1E73D674" w14:textId="48ADF786" w:rsidR="00006674" w:rsidRDefault="00B619BF" w:rsidP="0048528A">
      <w:pPr>
        <w:pStyle w:val="NormalWeb"/>
        <w:shd w:val="clear" w:color="auto" w:fill="FFFFFF"/>
        <w:spacing w:before="300" w:after="300"/>
        <w:ind w:left="720"/>
        <w:rPr>
          <w:rFonts w:ascii="Arial" w:hAnsi="Arial" w:cs="Arial"/>
          <w:color w:val="0B0C0C"/>
        </w:rPr>
      </w:pPr>
      <w:r>
        <w:rPr>
          <w:rFonts w:ascii="Arial" w:hAnsi="Arial" w:cs="Arial"/>
          <w:color w:val="0B0C0C"/>
        </w:rPr>
        <w:t>(</w:t>
      </w:r>
      <w:r w:rsidR="007120FE">
        <w:rPr>
          <w:rFonts w:ascii="Arial" w:hAnsi="Arial" w:cs="Arial"/>
          <w:color w:val="0B0C0C"/>
        </w:rPr>
        <w:t>d</w:t>
      </w:r>
      <w:r>
        <w:rPr>
          <w:rFonts w:ascii="Arial" w:hAnsi="Arial" w:cs="Arial"/>
          <w:color w:val="0B0C0C"/>
        </w:rPr>
        <w:t xml:space="preserve">) </w:t>
      </w:r>
      <w:r w:rsidR="001A03BE">
        <w:rPr>
          <w:rFonts w:ascii="Arial" w:hAnsi="Arial" w:cs="Arial"/>
          <w:color w:val="0B0C0C"/>
        </w:rPr>
        <w:t>n</w:t>
      </w:r>
      <w:r w:rsidR="00006674" w:rsidRPr="00006674">
        <w:rPr>
          <w:rFonts w:ascii="Arial" w:hAnsi="Arial" w:cs="Arial"/>
          <w:color w:val="0B0C0C"/>
        </w:rPr>
        <w:t>o waste shall be deposited into a water body or sub-water table</w:t>
      </w:r>
    </w:p>
    <w:p w14:paraId="7ED2963B" w14:textId="54FDA399" w:rsidR="00B619BF" w:rsidRDefault="00006674" w:rsidP="0048528A">
      <w:pPr>
        <w:pStyle w:val="NormalWeb"/>
        <w:shd w:val="clear" w:color="auto" w:fill="FFFFFF"/>
        <w:spacing w:before="300" w:after="300"/>
        <w:ind w:left="720"/>
      </w:pPr>
      <w:r>
        <w:rPr>
          <w:rFonts w:ascii="Arial" w:hAnsi="Arial" w:cs="Arial"/>
          <w:color w:val="0B0C0C"/>
        </w:rPr>
        <w:t>(</w:t>
      </w:r>
      <w:r w:rsidR="007120FE">
        <w:rPr>
          <w:rFonts w:ascii="Arial" w:hAnsi="Arial" w:cs="Arial"/>
          <w:color w:val="0B0C0C"/>
        </w:rPr>
        <w:t>e</w:t>
      </w:r>
      <w:r>
        <w:rPr>
          <w:rFonts w:ascii="Arial" w:hAnsi="Arial" w:cs="Arial"/>
          <w:color w:val="0B0C0C"/>
        </w:rPr>
        <w:t xml:space="preserve">)  </w:t>
      </w:r>
      <w:r w:rsidR="001A03BE">
        <w:rPr>
          <w:rFonts w:ascii="Arial" w:hAnsi="Arial" w:cs="Arial"/>
          <w:color w:val="0B0C0C"/>
        </w:rPr>
        <w:t>s</w:t>
      </w:r>
      <w:r w:rsidRPr="00006674">
        <w:rPr>
          <w:rFonts w:ascii="Arial" w:hAnsi="Arial" w:cs="Arial"/>
          <w:color w:val="0B0C0C"/>
        </w:rPr>
        <w:t xml:space="preserve">torage of waste prior to use in the recovery activity shall be limited to </w:t>
      </w:r>
      <w:r w:rsidR="00C144CE">
        <w:rPr>
          <w:rFonts w:ascii="Arial" w:hAnsi="Arial" w:cs="Arial"/>
          <w:color w:val="0B0C0C"/>
        </w:rPr>
        <w:t>6</w:t>
      </w:r>
      <w:r w:rsidRPr="00006674">
        <w:rPr>
          <w:rFonts w:ascii="Arial" w:hAnsi="Arial" w:cs="Arial"/>
          <w:color w:val="0B0C0C"/>
        </w:rPr>
        <w:t xml:space="preserve"> months</w:t>
      </w:r>
    </w:p>
    <w:p w14:paraId="65E768E0" w14:textId="04622CA7" w:rsidR="00165378" w:rsidRDefault="00165378" w:rsidP="00F56258">
      <w:pPr>
        <w:pStyle w:val="Bullet0"/>
        <w:keepNext/>
      </w:pPr>
      <w:r>
        <w:t xml:space="preserve">Waste recovery plan </w:t>
      </w:r>
    </w:p>
    <w:p w14:paraId="79AF3B3A" w14:textId="3BF44FA1" w:rsidR="00165378" w:rsidRPr="0048528A" w:rsidRDefault="00663EE9" w:rsidP="77970815">
      <w:pPr>
        <w:pStyle w:val="Bullet1"/>
        <w:rPr>
          <w:sz w:val="24"/>
        </w:rPr>
      </w:pPr>
      <w:r>
        <w:rPr>
          <w:sz w:val="24"/>
        </w:rPr>
        <w:t>T</w:t>
      </w:r>
      <w:r w:rsidRPr="00663EE9">
        <w:rPr>
          <w:sz w:val="24"/>
        </w:rPr>
        <w:t xml:space="preserve">he activity shall be </w:t>
      </w:r>
      <w:r>
        <w:rPr>
          <w:sz w:val="24"/>
        </w:rPr>
        <w:t>completed</w:t>
      </w:r>
      <w:r w:rsidRPr="00663EE9">
        <w:rPr>
          <w:sz w:val="24"/>
        </w:rPr>
        <w:t xml:space="preserve"> in accordance with </w:t>
      </w:r>
      <w:r>
        <w:rPr>
          <w:sz w:val="24"/>
        </w:rPr>
        <w:t xml:space="preserve">the </w:t>
      </w:r>
      <w:r w:rsidRPr="00663EE9">
        <w:rPr>
          <w:sz w:val="24"/>
        </w:rPr>
        <w:t>details provided in the approved waste recovery plan unless agreed</w:t>
      </w:r>
      <w:r>
        <w:rPr>
          <w:sz w:val="24"/>
        </w:rPr>
        <w:t xml:space="preserve"> in writing by the Environment Agency</w:t>
      </w:r>
      <w:r w:rsidR="00165378" w:rsidRPr="77970815">
        <w:rPr>
          <w:sz w:val="24"/>
        </w:rPr>
        <w:t xml:space="preserve">. </w:t>
      </w:r>
    </w:p>
    <w:p w14:paraId="7890E398" w14:textId="704A6BE5" w:rsidR="00165378" w:rsidRPr="0048528A" w:rsidRDefault="00165378" w:rsidP="4FDCE997">
      <w:pPr>
        <w:pStyle w:val="Bullet1"/>
        <w:rPr>
          <w:sz w:val="24"/>
        </w:rPr>
      </w:pPr>
      <w:r w:rsidRPr="4FDCE997">
        <w:rPr>
          <w:sz w:val="24"/>
        </w:rPr>
        <w:t xml:space="preserve">A topographical survey of the site referenced to ordnance datum </w:t>
      </w:r>
      <w:r w:rsidR="00C60FAB">
        <w:rPr>
          <w:sz w:val="24"/>
        </w:rPr>
        <w:t xml:space="preserve">or other form of measurement where appropriate </w:t>
      </w:r>
      <w:r w:rsidRPr="4FDCE997">
        <w:rPr>
          <w:sz w:val="24"/>
        </w:rPr>
        <w:t>shall be carried out:</w:t>
      </w:r>
    </w:p>
    <w:p w14:paraId="3ADE7E31" w14:textId="69D651D8" w:rsidR="00165378" w:rsidRPr="0048528A" w:rsidRDefault="00165378" w:rsidP="00165378">
      <w:pPr>
        <w:pStyle w:val="aBullet"/>
        <w:rPr>
          <w:sz w:val="24"/>
        </w:rPr>
      </w:pPr>
      <w:bookmarkStart w:id="6" w:name="_Hlk172612177"/>
      <w:r w:rsidRPr="0048528A">
        <w:rPr>
          <w:sz w:val="24"/>
        </w:rPr>
        <w:t xml:space="preserve">prior to commencement of the recovery activity; and </w:t>
      </w:r>
    </w:p>
    <w:p w14:paraId="6EEBDEFC" w14:textId="77C26180" w:rsidR="00165378" w:rsidRPr="0048528A" w:rsidRDefault="00165378" w:rsidP="00165378">
      <w:pPr>
        <w:pStyle w:val="aBullet"/>
        <w:rPr>
          <w:sz w:val="24"/>
        </w:rPr>
      </w:pPr>
      <w:r w:rsidRPr="0048528A">
        <w:rPr>
          <w:sz w:val="24"/>
        </w:rPr>
        <w:t>on completion of the recovery activity to show final waste levels.</w:t>
      </w:r>
    </w:p>
    <w:bookmarkEnd w:id="6"/>
    <w:p w14:paraId="5E0EC5AD" w14:textId="7C6F0EEA" w:rsidR="00165378" w:rsidRPr="00955EEB" w:rsidRDefault="00165378" w:rsidP="4FDCE997">
      <w:pPr>
        <w:pStyle w:val="aBullet"/>
        <w:numPr>
          <w:ilvl w:val="3"/>
          <w:numId w:val="0"/>
        </w:numPr>
        <w:ind w:left="680" w:hanging="680"/>
        <w:rPr>
          <w:sz w:val="24"/>
        </w:rPr>
      </w:pPr>
      <w:r w:rsidRPr="4FDCE997">
        <w:rPr>
          <w:sz w:val="24"/>
        </w:rPr>
        <w:t>2.2.3</w:t>
      </w:r>
      <w:r>
        <w:tab/>
      </w:r>
      <w:r w:rsidRPr="4FDCE997">
        <w:rPr>
          <w:sz w:val="24"/>
        </w:rPr>
        <w:t xml:space="preserve">Each topographical survey </w:t>
      </w:r>
      <w:r w:rsidR="005B53E5">
        <w:rPr>
          <w:sz w:val="24"/>
        </w:rPr>
        <w:t xml:space="preserve">or other form of measurement </w:t>
      </w:r>
      <w:r w:rsidRPr="4FDCE997">
        <w:rPr>
          <w:sz w:val="24"/>
        </w:rPr>
        <w:t xml:space="preserve">shall be used to produce a plan </w:t>
      </w:r>
      <w:r w:rsidR="00D85BC3" w:rsidRPr="4FDCE997">
        <w:rPr>
          <w:sz w:val="24"/>
        </w:rPr>
        <w:t xml:space="preserve">at </w:t>
      </w:r>
      <w:r w:rsidRPr="4FDCE997">
        <w:rPr>
          <w:sz w:val="24"/>
        </w:rPr>
        <w:t>a scale adequate to show the features of the site</w:t>
      </w:r>
      <w:r w:rsidR="005B53E5">
        <w:rPr>
          <w:sz w:val="24"/>
        </w:rPr>
        <w:t xml:space="preserve"> and the deposit of waste</w:t>
      </w:r>
      <w:r w:rsidRPr="4FDCE997">
        <w:rPr>
          <w:sz w:val="24"/>
        </w:rPr>
        <w:t>. The plan shall be produced within 1 month of the completion of the survey</w:t>
      </w:r>
      <w:r w:rsidR="005B53E5">
        <w:rPr>
          <w:sz w:val="24"/>
        </w:rPr>
        <w:t xml:space="preserve"> or measurement</w:t>
      </w:r>
      <w:r w:rsidRPr="4FDCE997">
        <w:rPr>
          <w:sz w:val="24"/>
        </w:rPr>
        <w:t>.</w:t>
      </w:r>
    </w:p>
    <w:p w14:paraId="21A02A3D" w14:textId="7604727E" w:rsidR="00B42932" w:rsidRDefault="00B42932" w:rsidP="00F56258">
      <w:pPr>
        <w:pStyle w:val="Bullet0"/>
        <w:keepNext/>
      </w:pPr>
      <w:r w:rsidRPr="001C65C6">
        <w:t>Waste acceptance</w:t>
      </w:r>
    </w:p>
    <w:p w14:paraId="18812879" w14:textId="170F7565" w:rsidR="00C01D93" w:rsidRDefault="00C01D93" w:rsidP="00C01D93">
      <w:pPr>
        <w:pStyle w:val="Bullet1"/>
        <w:rPr>
          <w:sz w:val="24"/>
        </w:rPr>
      </w:pPr>
      <w:bookmarkStart w:id="7" w:name="_Hlk165544680"/>
      <w:r w:rsidRPr="0068686A">
        <w:rPr>
          <w:sz w:val="24"/>
        </w:rPr>
        <w:t>Waste shall only be accepted if</w:t>
      </w:r>
      <w:r w:rsidR="00955EEB">
        <w:rPr>
          <w:sz w:val="24"/>
        </w:rPr>
        <w:t xml:space="preserve"> it is of a type listed in </w:t>
      </w:r>
      <w:r w:rsidR="00C033B3">
        <w:rPr>
          <w:sz w:val="24"/>
        </w:rPr>
        <w:t>rule 2.3.</w:t>
      </w:r>
      <w:r w:rsidR="00583358">
        <w:rPr>
          <w:sz w:val="24"/>
        </w:rPr>
        <w:t>3</w:t>
      </w:r>
      <w:r w:rsidR="00955EEB">
        <w:rPr>
          <w:sz w:val="24"/>
        </w:rPr>
        <w:t xml:space="preserve"> of these standard rules, it meets the additional </w:t>
      </w:r>
      <w:r w:rsidR="00583358">
        <w:rPr>
          <w:sz w:val="24"/>
        </w:rPr>
        <w:t xml:space="preserve">exclusions and </w:t>
      </w:r>
      <w:r w:rsidR="00955EEB">
        <w:rPr>
          <w:sz w:val="24"/>
        </w:rPr>
        <w:t xml:space="preserve">restrictions </w:t>
      </w:r>
      <w:r w:rsidR="00C033B3">
        <w:rPr>
          <w:sz w:val="24"/>
        </w:rPr>
        <w:t>included under rule</w:t>
      </w:r>
      <w:r w:rsidR="00583358">
        <w:rPr>
          <w:sz w:val="24"/>
        </w:rPr>
        <w:t>s</w:t>
      </w:r>
      <w:r w:rsidR="00C033B3">
        <w:rPr>
          <w:sz w:val="24"/>
        </w:rPr>
        <w:t xml:space="preserve"> 2.3.2</w:t>
      </w:r>
      <w:r w:rsidR="00583358">
        <w:rPr>
          <w:sz w:val="24"/>
        </w:rPr>
        <w:t xml:space="preserve"> and 2.3.3</w:t>
      </w:r>
      <w:r w:rsidR="00955EEB">
        <w:rPr>
          <w:sz w:val="24"/>
        </w:rPr>
        <w:t>; and</w:t>
      </w:r>
      <w:r w:rsidRPr="0068686A">
        <w:rPr>
          <w:sz w:val="24"/>
        </w:rPr>
        <w:t>:</w:t>
      </w:r>
    </w:p>
    <w:bookmarkEnd w:id="7"/>
    <w:p w14:paraId="66E4EDDE" w14:textId="7C31D63A" w:rsidR="00583358" w:rsidRDefault="00583358" w:rsidP="64617134">
      <w:pPr>
        <w:pStyle w:val="aBullet"/>
        <w:rPr>
          <w:sz w:val="24"/>
        </w:rPr>
      </w:pPr>
      <w:r w:rsidRPr="64617134">
        <w:rPr>
          <w:sz w:val="24"/>
        </w:rPr>
        <w:t>it has been subject to the agreed sampling and testing protocol</w:t>
      </w:r>
      <w:r w:rsidR="1ABDFE31" w:rsidRPr="64617134">
        <w:rPr>
          <w:sz w:val="24"/>
        </w:rPr>
        <w:t>,</w:t>
      </w:r>
    </w:p>
    <w:p w14:paraId="0F26ADB8" w14:textId="471760AF" w:rsidR="00955EEB" w:rsidRPr="00955EEB" w:rsidRDefault="00390055" w:rsidP="00955EEB">
      <w:pPr>
        <w:pStyle w:val="aBullet"/>
        <w:rPr>
          <w:sz w:val="24"/>
        </w:rPr>
      </w:pPr>
      <w:r>
        <w:rPr>
          <w:sz w:val="24"/>
        </w:rPr>
        <w:t>a</w:t>
      </w:r>
      <w:r w:rsidR="00955EEB" w:rsidRPr="00955EEB">
        <w:rPr>
          <w:sz w:val="24"/>
        </w:rPr>
        <w:t>ppropriate measures have been taken to ensure that the waste is free from contamination,</w:t>
      </w:r>
    </w:p>
    <w:p w14:paraId="025A5FDA" w14:textId="0EB0BC3E" w:rsidR="0095568C" w:rsidRPr="00892927" w:rsidRDefault="0095568C" w:rsidP="00955EEB">
      <w:pPr>
        <w:pStyle w:val="aBullet"/>
        <w:rPr>
          <w:sz w:val="24"/>
        </w:rPr>
      </w:pPr>
      <w:r w:rsidRPr="00892927">
        <w:rPr>
          <w:sz w:val="24"/>
        </w:rPr>
        <w:t>it comes from a single source and is well characterised and described,</w:t>
      </w:r>
    </w:p>
    <w:p w14:paraId="4E99E2FF" w14:textId="1F737A77" w:rsidR="00955EEB" w:rsidRPr="00955EEB" w:rsidRDefault="00955EEB" w:rsidP="00955EEB">
      <w:pPr>
        <w:pStyle w:val="aBullet"/>
        <w:rPr>
          <w:sz w:val="24"/>
        </w:rPr>
      </w:pPr>
      <w:r w:rsidRPr="00955EEB">
        <w:rPr>
          <w:sz w:val="24"/>
        </w:rPr>
        <w:lastRenderedPageBreak/>
        <w:t>its chemical, physical and biological characteristics make it suitable for its intended use on the site; and</w:t>
      </w:r>
    </w:p>
    <w:p w14:paraId="7D31EB34" w14:textId="728F6239" w:rsidR="00C01D93" w:rsidRDefault="00C01D93" w:rsidP="00487592">
      <w:pPr>
        <w:pStyle w:val="aBullet"/>
        <w:rPr>
          <w:sz w:val="24"/>
        </w:rPr>
      </w:pPr>
      <w:r w:rsidRPr="0068686A">
        <w:rPr>
          <w:sz w:val="24"/>
        </w:rPr>
        <w:t>it conforms to the description in the documentation supplied by the producer and holder</w:t>
      </w:r>
      <w:r w:rsidR="007D5FBD" w:rsidRPr="0068686A">
        <w:rPr>
          <w:sz w:val="24"/>
        </w:rPr>
        <w:t>.</w:t>
      </w:r>
    </w:p>
    <w:p w14:paraId="35731063" w14:textId="77777777" w:rsidR="00C033B3" w:rsidRPr="00C033B3" w:rsidRDefault="00C033B3" w:rsidP="00C033B3">
      <w:pPr>
        <w:pStyle w:val="aBullet"/>
        <w:numPr>
          <w:ilvl w:val="0"/>
          <w:numId w:val="0"/>
        </w:numPr>
        <w:spacing w:before="0" w:after="0"/>
        <w:ind w:left="1134"/>
        <w:rPr>
          <w:sz w:val="24"/>
        </w:rPr>
      </w:pPr>
    </w:p>
    <w:p w14:paraId="18CC8B6F" w14:textId="77777777" w:rsidR="00C033B3" w:rsidRPr="00C033B3" w:rsidRDefault="00C033B3" w:rsidP="00583358">
      <w:pPr>
        <w:pStyle w:val="Bullet1"/>
        <w:spacing w:before="0"/>
        <w:rPr>
          <w:sz w:val="24"/>
          <w:szCs w:val="32"/>
        </w:rPr>
      </w:pPr>
      <w:r w:rsidRPr="00C033B3">
        <w:rPr>
          <w:sz w:val="24"/>
          <w:szCs w:val="32"/>
        </w:rPr>
        <w:t>Excluded wastes</w:t>
      </w:r>
    </w:p>
    <w:p w14:paraId="7A0DF038" w14:textId="77777777" w:rsidR="00C033B3" w:rsidRPr="00C033B3" w:rsidRDefault="00C033B3" w:rsidP="00C033B3">
      <w:pPr>
        <w:pStyle w:val="Bullet1"/>
        <w:numPr>
          <w:ilvl w:val="0"/>
          <w:numId w:val="0"/>
        </w:numPr>
        <w:ind w:left="680"/>
        <w:rPr>
          <w:sz w:val="24"/>
          <w:szCs w:val="32"/>
        </w:rPr>
      </w:pPr>
      <w:r w:rsidRPr="00C033B3">
        <w:rPr>
          <w:sz w:val="24"/>
          <w:szCs w:val="32"/>
        </w:rPr>
        <w:t>Wastes having any of the following characteristics shall not be accepted:</w:t>
      </w:r>
    </w:p>
    <w:p w14:paraId="4DDCC93F" w14:textId="1CD4C193" w:rsidR="00C033B3" w:rsidRPr="00C033B3" w:rsidRDefault="00C54DDE" w:rsidP="00C033B3">
      <w:pPr>
        <w:pStyle w:val="aBullet"/>
        <w:rPr>
          <w:sz w:val="24"/>
          <w:szCs w:val="32"/>
        </w:rPr>
      </w:pPr>
      <w:r>
        <w:rPr>
          <w:sz w:val="24"/>
          <w:szCs w:val="32"/>
        </w:rPr>
        <w:t>h</w:t>
      </w:r>
      <w:r w:rsidR="00C033B3" w:rsidRPr="00C033B3">
        <w:rPr>
          <w:sz w:val="24"/>
          <w:szCs w:val="32"/>
        </w:rPr>
        <w:t xml:space="preserve">azardous </w:t>
      </w:r>
      <w:proofErr w:type="gramStart"/>
      <w:r w:rsidR="00C033B3" w:rsidRPr="00C033B3">
        <w:rPr>
          <w:sz w:val="24"/>
          <w:szCs w:val="32"/>
        </w:rPr>
        <w:t>wastes;</w:t>
      </w:r>
      <w:proofErr w:type="gramEnd"/>
    </w:p>
    <w:p w14:paraId="2A215DAA" w14:textId="557A472E" w:rsidR="00C033B3" w:rsidRPr="00C033B3" w:rsidRDefault="00C54DDE" w:rsidP="00C033B3">
      <w:pPr>
        <w:pStyle w:val="aBullet"/>
        <w:rPr>
          <w:sz w:val="24"/>
          <w:szCs w:val="32"/>
        </w:rPr>
      </w:pPr>
      <w:r>
        <w:rPr>
          <w:sz w:val="24"/>
          <w:szCs w:val="32"/>
        </w:rPr>
        <w:t>c</w:t>
      </w:r>
      <w:r w:rsidR="00C033B3" w:rsidRPr="00C033B3">
        <w:rPr>
          <w:sz w:val="24"/>
          <w:szCs w:val="32"/>
        </w:rPr>
        <w:t xml:space="preserve">onsisting solely or mainly of dusts, powders or loose </w:t>
      </w:r>
      <w:proofErr w:type="gramStart"/>
      <w:r w:rsidR="00C033B3" w:rsidRPr="00C033B3">
        <w:rPr>
          <w:sz w:val="24"/>
          <w:szCs w:val="32"/>
        </w:rPr>
        <w:t>fibres;</w:t>
      </w:r>
      <w:proofErr w:type="gramEnd"/>
    </w:p>
    <w:p w14:paraId="03C59ED1" w14:textId="400508D2" w:rsidR="00C033B3" w:rsidRDefault="00C54DDE" w:rsidP="00C033B3">
      <w:pPr>
        <w:pStyle w:val="aBullet"/>
        <w:rPr>
          <w:sz w:val="24"/>
          <w:szCs w:val="32"/>
        </w:rPr>
      </w:pPr>
      <w:r>
        <w:rPr>
          <w:sz w:val="24"/>
          <w:szCs w:val="32"/>
        </w:rPr>
        <w:t>w</w:t>
      </w:r>
      <w:r w:rsidR="00C033B3" w:rsidRPr="00C033B3">
        <w:rPr>
          <w:sz w:val="24"/>
          <w:szCs w:val="32"/>
        </w:rPr>
        <w:t>astes that are in a form which is either sludge or liquid.</w:t>
      </w:r>
    </w:p>
    <w:p w14:paraId="575ED9B2" w14:textId="77777777" w:rsidR="00C033B3" w:rsidRPr="00C033B3" w:rsidRDefault="00C033B3" w:rsidP="00C033B3">
      <w:pPr>
        <w:pStyle w:val="aBullet"/>
        <w:numPr>
          <w:ilvl w:val="0"/>
          <w:numId w:val="0"/>
        </w:numPr>
        <w:ind w:left="1134"/>
        <w:rPr>
          <w:sz w:val="24"/>
          <w:szCs w:val="32"/>
        </w:rPr>
      </w:pPr>
    </w:p>
    <w:p w14:paraId="24C3E970" w14:textId="26030FC6" w:rsidR="00C033B3" w:rsidRPr="00C033B3" w:rsidRDefault="00C033B3" w:rsidP="00583358">
      <w:pPr>
        <w:pStyle w:val="Bullet1"/>
        <w:spacing w:before="0" w:after="0"/>
        <w:rPr>
          <w:sz w:val="24"/>
          <w:szCs w:val="32"/>
        </w:rPr>
      </w:pPr>
      <w:r w:rsidRPr="00C033B3">
        <w:rPr>
          <w:sz w:val="24"/>
          <w:szCs w:val="32"/>
        </w:rPr>
        <w:t>Waste codes and descriptions</w:t>
      </w:r>
    </w:p>
    <w:p w14:paraId="153D1C52" w14:textId="0DE3105C" w:rsidR="00C033B3" w:rsidRPr="00C033B3" w:rsidRDefault="00C033B3" w:rsidP="00B64BF8">
      <w:pPr>
        <w:shd w:val="clear" w:color="auto" w:fill="FFFFFF"/>
        <w:spacing w:before="525" w:after="0" w:line="240" w:lineRule="auto"/>
        <w:ind w:left="680" w:hanging="680"/>
        <w:outlineLvl w:val="3"/>
        <w:rPr>
          <w:rFonts w:ascii="Arial" w:hAnsi="Arial" w:cs="Arial"/>
          <w:b/>
          <w:bCs/>
          <w:color w:val="0B0C0C"/>
          <w:sz w:val="24"/>
          <w:lang w:eastAsia="en-GB"/>
        </w:rPr>
      </w:pPr>
      <w:r w:rsidRPr="00C033B3">
        <w:rPr>
          <w:rFonts w:ascii="Arial" w:hAnsi="Arial" w:cs="Arial"/>
          <w:b/>
          <w:bCs/>
          <w:color w:val="0B0C0C"/>
          <w:sz w:val="24"/>
          <w:lang w:eastAsia="en-GB"/>
        </w:rPr>
        <w:t>1</w:t>
      </w:r>
      <w:r w:rsidR="00B64BF8">
        <w:rPr>
          <w:rFonts w:ascii="Arial" w:hAnsi="Arial" w:cs="Arial"/>
          <w:b/>
          <w:bCs/>
          <w:color w:val="0B0C0C"/>
          <w:sz w:val="24"/>
          <w:lang w:eastAsia="en-GB"/>
        </w:rPr>
        <w:t>9</w:t>
      </w:r>
      <w:r w:rsidR="00B64BF8">
        <w:rPr>
          <w:rFonts w:ascii="Arial" w:hAnsi="Arial" w:cs="Arial"/>
          <w:b/>
          <w:bCs/>
          <w:color w:val="0B0C0C"/>
          <w:sz w:val="24"/>
          <w:lang w:eastAsia="en-GB"/>
        </w:rPr>
        <w:tab/>
        <w:t>W</w:t>
      </w:r>
      <w:r w:rsidR="00B64BF8" w:rsidRPr="00B64BF8">
        <w:rPr>
          <w:rFonts w:ascii="Arial" w:hAnsi="Arial" w:cs="Arial"/>
          <w:b/>
          <w:bCs/>
          <w:color w:val="0B0C0C"/>
          <w:sz w:val="24"/>
          <w:lang w:eastAsia="en-GB"/>
        </w:rPr>
        <w:t xml:space="preserve">astes from waste management facilities, off-site </w:t>
      </w:r>
      <w:proofErr w:type="gramStart"/>
      <w:r w:rsidR="00B64BF8" w:rsidRPr="00B64BF8">
        <w:rPr>
          <w:rFonts w:ascii="Arial" w:hAnsi="Arial" w:cs="Arial"/>
          <w:b/>
          <w:bCs/>
          <w:color w:val="0B0C0C"/>
          <w:sz w:val="24"/>
          <w:lang w:eastAsia="en-GB"/>
        </w:rPr>
        <w:t>waste water</w:t>
      </w:r>
      <w:proofErr w:type="gramEnd"/>
      <w:r w:rsidR="00B64BF8" w:rsidRPr="00B64BF8">
        <w:rPr>
          <w:rFonts w:ascii="Arial" w:hAnsi="Arial" w:cs="Arial"/>
          <w:b/>
          <w:bCs/>
          <w:color w:val="0B0C0C"/>
          <w:sz w:val="24"/>
          <w:lang w:eastAsia="en-GB"/>
        </w:rPr>
        <w:t xml:space="preserve"> treatment plants and the preparation of water intended for human consumption and water for industrial use</w:t>
      </w:r>
    </w:p>
    <w:tbl>
      <w:tblPr>
        <w:tblW w:w="9619" w:type="dxa"/>
        <w:shd w:val="clear" w:color="auto" w:fill="FFFFFF"/>
        <w:tblCellMar>
          <w:top w:w="15" w:type="dxa"/>
          <w:left w:w="15" w:type="dxa"/>
          <w:bottom w:w="15" w:type="dxa"/>
          <w:right w:w="15" w:type="dxa"/>
        </w:tblCellMar>
        <w:tblLook w:val="04A0" w:firstRow="1" w:lastRow="0" w:firstColumn="1" w:lastColumn="0" w:noHBand="0" w:noVBand="1"/>
      </w:tblPr>
      <w:tblGrid>
        <w:gridCol w:w="1377"/>
        <w:gridCol w:w="8242"/>
      </w:tblGrid>
      <w:tr w:rsidR="008C0113" w:rsidRPr="00C033B3" w14:paraId="1F3B1004" w14:textId="77777777" w:rsidTr="0A749420">
        <w:trPr>
          <w:trHeight w:val="403"/>
          <w:tblHeader/>
        </w:trPr>
        <w:tc>
          <w:tcPr>
            <w:tcW w:w="0" w:type="auto"/>
            <w:shd w:val="clear" w:color="auto" w:fill="FFFFFF" w:themeFill="background1"/>
            <w:tcMar>
              <w:top w:w="150" w:type="dxa"/>
              <w:left w:w="0" w:type="dxa"/>
              <w:bottom w:w="150" w:type="dxa"/>
              <w:right w:w="300" w:type="dxa"/>
            </w:tcMar>
            <w:hideMark/>
          </w:tcPr>
          <w:p w14:paraId="64742345" w14:textId="77777777" w:rsidR="00C033B3" w:rsidRPr="00C033B3" w:rsidRDefault="00C033B3" w:rsidP="008056AC">
            <w:pPr>
              <w:spacing w:before="0" w:after="0" w:line="240" w:lineRule="auto"/>
              <w:rPr>
                <w:rFonts w:ascii="Arial" w:hAnsi="Arial" w:cs="Arial"/>
                <w:b/>
                <w:bCs/>
                <w:color w:val="0B0C0C"/>
                <w:sz w:val="24"/>
                <w:lang w:eastAsia="en-GB"/>
              </w:rPr>
            </w:pPr>
            <w:r w:rsidRPr="00C033B3">
              <w:rPr>
                <w:rFonts w:ascii="Arial" w:hAnsi="Arial" w:cs="Arial"/>
                <w:b/>
                <w:bCs/>
                <w:color w:val="0B0C0C"/>
                <w:sz w:val="24"/>
                <w:lang w:eastAsia="en-GB"/>
              </w:rPr>
              <w:t>Waste code</w:t>
            </w:r>
          </w:p>
        </w:tc>
        <w:tc>
          <w:tcPr>
            <w:tcW w:w="0" w:type="auto"/>
            <w:shd w:val="clear" w:color="auto" w:fill="FFFFFF" w:themeFill="background1"/>
            <w:tcMar>
              <w:top w:w="150" w:type="dxa"/>
              <w:left w:w="0" w:type="dxa"/>
              <w:bottom w:w="150" w:type="dxa"/>
              <w:right w:w="0" w:type="dxa"/>
            </w:tcMar>
            <w:hideMark/>
          </w:tcPr>
          <w:p w14:paraId="5679F1B8" w14:textId="77777777" w:rsidR="00C033B3" w:rsidRPr="00C033B3" w:rsidRDefault="00C033B3" w:rsidP="008056AC">
            <w:pPr>
              <w:spacing w:before="0" w:after="0" w:line="240" w:lineRule="auto"/>
              <w:rPr>
                <w:rFonts w:ascii="Arial" w:hAnsi="Arial" w:cs="Arial"/>
                <w:b/>
                <w:bCs/>
                <w:color w:val="0B0C0C"/>
                <w:sz w:val="24"/>
                <w:lang w:eastAsia="en-GB"/>
              </w:rPr>
            </w:pPr>
            <w:r w:rsidRPr="00C033B3">
              <w:rPr>
                <w:rFonts w:ascii="Arial" w:hAnsi="Arial" w:cs="Arial"/>
                <w:b/>
                <w:bCs/>
                <w:color w:val="0B0C0C"/>
                <w:sz w:val="24"/>
                <w:lang w:eastAsia="en-GB"/>
              </w:rPr>
              <w:t>Description</w:t>
            </w:r>
          </w:p>
        </w:tc>
      </w:tr>
      <w:tr w:rsidR="008C0113" w:rsidRPr="00C033B3" w14:paraId="5B773071" w14:textId="77777777" w:rsidTr="0A749420">
        <w:trPr>
          <w:trHeight w:val="413"/>
        </w:trPr>
        <w:tc>
          <w:tcPr>
            <w:tcW w:w="0" w:type="auto"/>
            <w:shd w:val="clear" w:color="auto" w:fill="FFFFFF" w:themeFill="background1"/>
            <w:tcMar>
              <w:top w:w="150" w:type="dxa"/>
              <w:left w:w="0" w:type="dxa"/>
              <w:bottom w:w="150" w:type="dxa"/>
              <w:right w:w="300" w:type="dxa"/>
            </w:tcMar>
            <w:hideMark/>
          </w:tcPr>
          <w:p w14:paraId="37E219B5" w14:textId="7BB35613" w:rsidR="00C033B3" w:rsidRPr="00C033B3" w:rsidRDefault="00C033B3" w:rsidP="008056AC">
            <w:pPr>
              <w:spacing w:before="0" w:after="0" w:line="240" w:lineRule="auto"/>
              <w:rPr>
                <w:rFonts w:ascii="Arial" w:hAnsi="Arial" w:cs="Arial"/>
                <w:color w:val="0B0C0C"/>
                <w:sz w:val="24"/>
                <w:lang w:eastAsia="en-GB"/>
              </w:rPr>
            </w:pPr>
            <w:r>
              <w:rPr>
                <w:rFonts w:ascii="Arial" w:hAnsi="Arial" w:cs="Arial"/>
                <w:color w:val="0B0C0C"/>
                <w:sz w:val="24"/>
                <w:lang w:eastAsia="en-GB"/>
              </w:rPr>
              <w:t>1</w:t>
            </w:r>
            <w:r w:rsidR="00B64BF8">
              <w:rPr>
                <w:rFonts w:ascii="Arial" w:hAnsi="Arial" w:cs="Arial"/>
                <w:color w:val="0B0C0C"/>
                <w:sz w:val="24"/>
                <w:lang w:eastAsia="en-GB"/>
              </w:rPr>
              <w:t>9</w:t>
            </w:r>
            <w:r>
              <w:rPr>
                <w:rFonts w:ascii="Arial" w:hAnsi="Arial" w:cs="Arial"/>
                <w:color w:val="0B0C0C"/>
                <w:sz w:val="24"/>
                <w:lang w:eastAsia="en-GB"/>
              </w:rPr>
              <w:t xml:space="preserve"> 01</w:t>
            </w:r>
          </w:p>
        </w:tc>
        <w:tc>
          <w:tcPr>
            <w:tcW w:w="0" w:type="auto"/>
            <w:shd w:val="clear" w:color="auto" w:fill="FFFFFF" w:themeFill="background1"/>
            <w:tcMar>
              <w:top w:w="150" w:type="dxa"/>
              <w:left w:w="0" w:type="dxa"/>
              <w:bottom w:w="150" w:type="dxa"/>
              <w:right w:w="0" w:type="dxa"/>
            </w:tcMar>
            <w:hideMark/>
          </w:tcPr>
          <w:p w14:paraId="78010DB1" w14:textId="35AF5688" w:rsidR="00C033B3" w:rsidRPr="00C033B3" w:rsidRDefault="00B64BF8" w:rsidP="008056AC">
            <w:pPr>
              <w:spacing w:before="0" w:after="0" w:line="240" w:lineRule="auto"/>
              <w:rPr>
                <w:rFonts w:ascii="Arial" w:hAnsi="Arial" w:cs="Arial"/>
                <w:color w:val="0B0C0C"/>
                <w:sz w:val="24"/>
                <w:lang w:eastAsia="en-GB"/>
              </w:rPr>
            </w:pPr>
            <w:r w:rsidRPr="00B64BF8">
              <w:rPr>
                <w:rFonts w:ascii="Arial" w:hAnsi="Arial" w:cs="Arial"/>
                <w:color w:val="0B0C0C"/>
                <w:sz w:val="24"/>
                <w:lang w:eastAsia="en-GB"/>
              </w:rPr>
              <w:t>wastes from incineration or pyrolysis of waste</w:t>
            </w:r>
          </w:p>
        </w:tc>
      </w:tr>
      <w:tr w:rsidR="008C0113" w:rsidRPr="00C033B3" w14:paraId="596E6D68" w14:textId="77777777" w:rsidTr="0A749420">
        <w:trPr>
          <w:trHeight w:val="2142"/>
        </w:trPr>
        <w:tc>
          <w:tcPr>
            <w:tcW w:w="0" w:type="auto"/>
            <w:shd w:val="clear" w:color="auto" w:fill="FFFFFF" w:themeFill="background1"/>
            <w:tcMar>
              <w:top w:w="150" w:type="dxa"/>
              <w:left w:w="0" w:type="dxa"/>
              <w:bottom w:w="150" w:type="dxa"/>
              <w:right w:w="300" w:type="dxa"/>
            </w:tcMar>
          </w:tcPr>
          <w:p w14:paraId="3D5C3D4D" w14:textId="22B708B6" w:rsidR="00C033B3" w:rsidRDefault="00B64BF8" w:rsidP="008056AC">
            <w:pPr>
              <w:spacing w:before="0" w:after="0" w:line="240" w:lineRule="auto"/>
              <w:rPr>
                <w:rFonts w:ascii="Arial" w:hAnsi="Arial" w:cs="Arial"/>
                <w:color w:val="0B0C0C"/>
                <w:sz w:val="24"/>
                <w:lang w:eastAsia="en-GB"/>
              </w:rPr>
            </w:pPr>
            <w:r>
              <w:rPr>
                <w:rFonts w:ascii="Arial" w:hAnsi="Arial" w:cs="Arial"/>
                <w:color w:val="0B0C0C"/>
                <w:sz w:val="24"/>
                <w:lang w:eastAsia="en-GB"/>
              </w:rPr>
              <w:t xml:space="preserve">19 </w:t>
            </w:r>
            <w:r w:rsidR="005D4F8B">
              <w:rPr>
                <w:rFonts w:ascii="Arial" w:hAnsi="Arial" w:cs="Arial"/>
                <w:color w:val="0B0C0C"/>
                <w:sz w:val="24"/>
                <w:lang w:eastAsia="en-GB"/>
              </w:rPr>
              <w:t>12</w:t>
            </w:r>
            <w:r>
              <w:rPr>
                <w:rFonts w:ascii="Arial" w:hAnsi="Arial" w:cs="Arial"/>
                <w:color w:val="0B0C0C"/>
                <w:sz w:val="24"/>
                <w:lang w:eastAsia="en-GB"/>
              </w:rPr>
              <w:t xml:space="preserve"> 12</w:t>
            </w:r>
          </w:p>
        </w:tc>
        <w:tc>
          <w:tcPr>
            <w:tcW w:w="0" w:type="auto"/>
            <w:shd w:val="clear" w:color="auto" w:fill="FFFFFF" w:themeFill="background1"/>
            <w:tcMar>
              <w:top w:w="150" w:type="dxa"/>
              <w:left w:w="0" w:type="dxa"/>
              <w:bottom w:w="150" w:type="dxa"/>
              <w:right w:w="0" w:type="dxa"/>
            </w:tcMar>
          </w:tcPr>
          <w:p w14:paraId="453D1753" w14:textId="62D5F779" w:rsidR="00B64BF8" w:rsidRDefault="00CF1CBA" w:rsidP="00495560">
            <w:pPr>
              <w:spacing w:before="0" w:line="240" w:lineRule="auto"/>
              <w:rPr>
                <w:sz w:val="24"/>
              </w:rPr>
            </w:pPr>
            <w:r>
              <w:rPr>
                <w:sz w:val="24"/>
              </w:rPr>
              <w:t xml:space="preserve">other wastes </w:t>
            </w:r>
            <w:r w:rsidR="00A56BDD">
              <w:rPr>
                <w:sz w:val="24"/>
              </w:rPr>
              <w:t xml:space="preserve">(including mixtures of materials) from mechanical </w:t>
            </w:r>
            <w:r w:rsidR="008C0113">
              <w:rPr>
                <w:sz w:val="24"/>
              </w:rPr>
              <w:t>treatment of wastes other than those mentioned in 12 12 11</w:t>
            </w:r>
          </w:p>
          <w:p w14:paraId="2C405A58" w14:textId="77777777" w:rsidR="00FE0C2A" w:rsidRDefault="00C033B3" w:rsidP="00495560">
            <w:pPr>
              <w:spacing w:before="0" w:line="240" w:lineRule="auto"/>
              <w:rPr>
                <w:rFonts w:ascii="Arial" w:hAnsi="Arial" w:cs="Arial"/>
                <w:color w:val="0B0C0C"/>
                <w:sz w:val="24"/>
                <w:lang w:eastAsia="en-GB"/>
              </w:rPr>
            </w:pPr>
            <w:r w:rsidRPr="00C033B3">
              <w:rPr>
                <w:rFonts w:ascii="Arial" w:hAnsi="Arial" w:cs="Arial"/>
                <w:color w:val="0B0C0C"/>
                <w:sz w:val="24"/>
                <w:lang w:eastAsia="en-GB"/>
              </w:rPr>
              <w:t>Restricted to</w:t>
            </w:r>
            <w:r w:rsidR="00FE0C2A">
              <w:rPr>
                <w:rFonts w:ascii="Arial" w:hAnsi="Arial" w:cs="Arial"/>
                <w:color w:val="0B0C0C"/>
                <w:sz w:val="24"/>
                <w:lang w:eastAsia="en-GB"/>
              </w:rPr>
              <w:t>:</w:t>
            </w:r>
          </w:p>
          <w:p w14:paraId="208F3A30" w14:textId="77777777" w:rsidR="00583358" w:rsidRDefault="00FE0C2A" w:rsidP="00495560">
            <w:pPr>
              <w:spacing w:before="0" w:line="240" w:lineRule="auto"/>
              <w:rPr>
                <w:rFonts w:ascii="Arial" w:hAnsi="Arial" w:cs="Arial"/>
                <w:color w:val="0B0C0C"/>
                <w:sz w:val="24"/>
                <w:lang w:eastAsia="en-GB"/>
              </w:rPr>
            </w:pPr>
            <w:r>
              <w:rPr>
                <w:rFonts w:ascii="Arial" w:hAnsi="Arial" w:cs="Arial"/>
                <w:color w:val="0B0C0C"/>
                <w:sz w:val="24"/>
                <w:lang w:eastAsia="en-GB"/>
              </w:rPr>
              <w:t>-</w:t>
            </w:r>
            <w:r w:rsidR="00C033B3" w:rsidRPr="00C033B3">
              <w:rPr>
                <w:rFonts w:ascii="Arial" w:hAnsi="Arial" w:cs="Arial"/>
                <w:color w:val="0B0C0C"/>
                <w:sz w:val="24"/>
                <w:lang w:eastAsia="en-GB"/>
              </w:rPr>
              <w:t xml:space="preserve"> unbound incinerator bottom ash aggregate (IBAA) </w:t>
            </w:r>
          </w:p>
          <w:p w14:paraId="7A151A57" w14:textId="0D7B6C93" w:rsidR="00583358" w:rsidRDefault="00583358" w:rsidP="00495560">
            <w:pPr>
              <w:spacing w:before="0" w:line="240" w:lineRule="auto"/>
              <w:rPr>
                <w:rStyle w:val="Pink"/>
                <w:color w:val="auto"/>
                <w:sz w:val="24"/>
              </w:rPr>
            </w:pPr>
            <w:r>
              <w:rPr>
                <w:rStyle w:val="Pink"/>
                <w:color w:val="auto"/>
                <w:sz w:val="24"/>
              </w:rPr>
              <w:t xml:space="preserve">- </w:t>
            </w:r>
            <w:r w:rsidRPr="00FB4577">
              <w:rPr>
                <w:rStyle w:val="Pink"/>
                <w:color w:val="auto"/>
                <w:sz w:val="24"/>
              </w:rPr>
              <w:t>IBAA which complies with BS EN 13242 or any revision of that standard</w:t>
            </w:r>
            <w:r>
              <w:rPr>
                <w:rStyle w:val="Pink"/>
                <w:color w:val="auto"/>
                <w:sz w:val="24"/>
              </w:rPr>
              <w:t xml:space="preserve"> </w:t>
            </w:r>
          </w:p>
          <w:p w14:paraId="16A88120" w14:textId="7C37D03E" w:rsidR="00583358" w:rsidRPr="00C033B3" w:rsidRDefault="00583358" w:rsidP="0A749420">
            <w:pPr>
              <w:spacing w:before="0" w:line="240" w:lineRule="auto"/>
              <w:rPr>
                <w:rFonts w:ascii="Arial" w:hAnsi="Arial" w:cs="Arial"/>
                <w:color w:val="0B0C0C"/>
                <w:sz w:val="24"/>
                <w:lang w:eastAsia="en-GB"/>
              </w:rPr>
            </w:pPr>
            <w:r w:rsidRPr="0A749420">
              <w:rPr>
                <w:rStyle w:val="Pink"/>
                <w:color w:val="auto"/>
                <w:sz w:val="24"/>
              </w:rPr>
              <w:t xml:space="preserve">- IBAA that is blended with </w:t>
            </w:r>
            <w:r w:rsidR="6ECF16F5" w:rsidRPr="0A749420">
              <w:rPr>
                <w:rStyle w:val="Pink"/>
                <w:color w:val="auto"/>
                <w:sz w:val="24"/>
              </w:rPr>
              <w:t>non-waste</w:t>
            </w:r>
            <w:r w:rsidRPr="0A749420">
              <w:rPr>
                <w:rStyle w:val="Pink"/>
                <w:color w:val="auto"/>
                <w:sz w:val="24"/>
              </w:rPr>
              <w:t xml:space="preserve"> aggregate </w:t>
            </w:r>
          </w:p>
        </w:tc>
      </w:tr>
    </w:tbl>
    <w:p w14:paraId="1AA625AC" w14:textId="77777777" w:rsidR="00B42932" w:rsidRPr="001C65C6" w:rsidRDefault="00B42932" w:rsidP="00F56258">
      <w:pPr>
        <w:pStyle w:val="Bullet0"/>
        <w:keepNext/>
      </w:pPr>
      <w:r w:rsidRPr="001C65C6">
        <w:t>Operating techniques</w:t>
      </w:r>
    </w:p>
    <w:p w14:paraId="7D224163" w14:textId="68BDCF15" w:rsidR="003E53DC" w:rsidRPr="003E53DC" w:rsidRDefault="003E53DC" w:rsidP="003E53DC">
      <w:pPr>
        <w:pStyle w:val="Bullet1"/>
        <w:rPr>
          <w:sz w:val="24"/>
          <w:szCs w:val="32"/>
        </w:rPr>
      </w:pPr>
      <w:r w:rsidRPr="003E53DC">
        <w:rPr>
          <w:sz w:val="24"/>
          <w:szCs w:val="32"/>
        </w:rPr>
        <w:t>You must</w:t>
      </w:r>
      <w:r w:rsidR="001524BF">
        <w:rPr>
          <w:sz w:val="24"/>
          <w:szCs w:val="32"/>
        </w:rPr>
        <w:t xml:space="preserve"> store IBAA in the open</w:t>
      </w:r>
    </w:p>
    <w:p w14:paraId="31FADB4C" w14:textId="77777777" w:rsidR="003E53DC" w:rsidRPr="003E53DC" w:rsidRDefault="003E53DC" w:rsidP="003E53DC">
      <w:pPr>
        <w:pStyle w:val="Bullet1"/>
        <w:rPr>
          <w:sz w:val="24"/>
          <w:szCs w:val="32"/>
        </w:rPr>
      </w:pPr>
      <w:r w:rsidRPr="003E53DC">
        <w:rPr>
          <w:sz w:val="24"/>
          <w:szCs w:val="32"/>
        </w:rPr>
        <w:t xml:space="preserve">You must not: </w:t>
      </w:r>
    </w:p>
    <w:p w14:paraId="7FBBCE18" w14:textId="5DC77527" w:rsidR="003E53DC" w:rsidRPr="003E53DC" w:rsidRDefault="003E53DC" w:rsidP="003E53DC">
      <w:pPr>
        <w:pStyle w:val="Bullet1"/>
        <w:numPr>
          <w:ilvl w:val="0"/>
          <w:numId w:val="0"/>
        </w:numPr>
        <w:ind w:left="680"/>
        <w:rPr>
          <w:sz w:val="24"/>
          <w:szCs w:val="32"/>
        </w:rPr>
      </w:pPr>
      <w:r>
        <w:rPr>
          <w:sz w:val="24"/>
          <w:szCs w:val="32"/>
        </w:rPr>
        <w:t xml:space="preserve">(a) </w:t>
      </w:r>
      <w:r w:rsidRPr="003E53DC">
        <w:rPr>
          <w:sz w:val="24"/>
          <w:szCs w:val="32"/>
        </w:rPr>
        <w:t xml:space="preserve">store more IBAA than </w:t>
      </w:r>
      <w:r w:rsidR="001524BF">
        <w:rPr>
          <w:sz w:val="24"/>
          <w:szCs w:val="32"/>
        </w:rPr>
        <w:t>is needed for the recovery activity</w:t>
      </w:r>
    </w:p>
    <w:p w14:paraId="199AFFB5" w14:textId="1CD5FD0B" w:rsidR="003E53DC" w:rsidRPr="003E53DC" w:rsidRDefault="003E53DC" w:rsidP="003E53DC">
      <w:pPr>
        <w:pStyle w:val="Bullet1"/>
        <w:numPr>
          <w:ilvl w:val="0"/>
          <w:numId w:val="0"/>
        </w:numPr>
        <w:ind w:left="680"/>
        <w:rPr>
          <w:sz w:val="24"/>
          <w:szCs w:val="32"/>
        </w:rPr>
      </w:pPr>
      <w:r>
        <w:rPr>
          <w:sz w:val="24"/>
          <w:szCs w:val="32"/>
        </w:rPr>
        <w:t>(</w:t>
      </w:r>
      <w:r w:rsidR="001524BF">
        <w:rPr>
          <w:sz w:val="24"/>
          <w:szCs w:val="32"/>
        </w:rPr>
        <w:t>b</w:t>
      </w:r>
      <w:r>
        <w:rPr>
          <w:sz w:val="24"/>
          <w:szCs w:val="32"/>
        </w:rPr>
        <w:t xml:space="preserve">) </w:t>
      </w:r>
      <w:r w:rsidRPr="003E53DC">
        <w:rPr>
          <w:sz w:val="24"/>
          <w:szCs w:val="32"/>
        </w:rPr>
        <w:t>use, or supply for use, IBAA underneath any residential building or garden</w:t>
      </w:r>
    </w:p>
    <w:p w14:paraId="47EDDC84" w14:textId="39E4FBF9" w:rsidR="00DC36AF" w:rsidRPr="00DC36AF" w:rsidRDefault="00DC36AF" w:rsidP="00DC36AF">
      <w:pPr>
        <w:pStyle w:val="Bullet1"/>
        <w:rPr>
          <w:sz w:val="24"/>
          <w:szCs w:val="32"/>
        </w:rPr>
      </w:pPr>
      <w:r w:rsidRPr="00DC36AF">
        <w:rPr>
          <w:sz w:val="24"/>
          <w:szCs w:val="32"/>
        </w:rPr>
        <w:t>If building a road sub-</w:t>
      </w:r>
      <w:proofErr w:type="gramStart"/>
      <w:r w:rsidRPr="00DC36AF">
        <w:rPr>
          <w:sz w:val="24"/>
          <w:szCs w:val="32"/>
        </w:rPr>
        <w:t>base</w:t>
      </w:r>
      <w:proofErr w:type="gramEnd"/>
      <w:r w:rsidRPr="00DC36AF">
        <w:rPr>
          <w:sz w:val="24"/>
          <w:szCs w:val="32"/>
        </w:rPr>
        <w:t xml:space="preserve"> you must:</w:t>
      </w:r>
    </w:p>
    <w:p w14:paraId="0A18F3E4" w14:textId="4CA04566" w:rsidR="00DC36AF" w:rsidRPr="00DC36AF" w:rsidRDefault="00DC36AF" w:rsidP="00DC36AF">
      <w:pPr>
        <w:pStyle w:val="Bullet1"/>
        <w:numPr>
          <w:ilvl w:val="0"/>
          <w:numId w:val="0"/>
        </w:numPr>
        <w:ind w:left="680"/>
        <w:rPr>
          <w:sz w:val="24"/>
          <w:szCs w:val="32"/>
        </w:rPr>
      </w:pPr>
      <w:r w:rsidRPr="00DC36AF">
        <w:rPr>
          <w:sz w:val="24"/>
          <w:szCs w:val="32"/>
        </w:rPr>
        <w:t>(</w:t>
      </w:r>
      <w:r>
        <w:rPr>
          <w:sz w:val="24"/>
          <w:szCs w:val="32"/>
        </w:rPr>
        <w:t>a</w:t>
      </w:r>
      <w:r w:rsidRPr="00DC36AF">
        <w:rPr>
          <w:sz w:val="24"/>
          <w:szCs w:val="32"/>
        </w:rPr>
        <w:t>) ensure the width of the IBAA emplacement is not more than 40 metres</w:t>
      </w:r>
    </w:p>
    <w:p w14:paraId="078FF215" w14:textId="77777777" w:rsidR="00DC36AF" w:rsidRDefault="00DC36AF" w:rsidP="00DC36AF">
      <w:pPr>
        <w:pStyle w:val="Bullet1"/>
        <w:numPr>
          <w:ilvl w:val="0"/>
          <w:numId w:val="0"/>
        </w:numPr>
        <w:ind w:left="680"/>
        <w:rPr>
          <w:sz w:val="24"/>
          <w:szCs w:val="32"/>
        </w:rPr>
      </w:pPr>
      <w:r w:rsidRPr="00DC36AF">
        <w:rPr>
          <w:sz w:val="24"/>
          <w:szCs w:val="32"/>
        </w:rPr>
        <w:t>(</w:t>
      </w:r>
      <w:r>
        <w:rPr>
          <w:sz w:val="24"/>
          <w:szCs w:val="32"/>
        </w:rPr>
        <w:t>b</w:t>
      </w:r>
      <w:r w:rsidRPr="00DC36AF">
        <w:rPr>
          <w:sz w:val="24"/>
          <w:szCs w:val="32"/>
        </w:rPr>
        <w:t>) ensure the depth of the IBAA emplacement is not more than 0.7m</w:t>
      </w:r>
    </w:p>
    <w:p w14:paraId="7A80DB45" w14:textId="6F26F446" w:rsidR="003E53DC" w:rsidRDefault="00DC36AF" w:rsidP="00DC36AF">
      <w:pPr>
        <w:pStyle w:val="Bullet1"/>
        <w:numPr>
          <w:ilvl w:val="0"/>
          <w:numId w:val="0"/>
        </w:numPr>
        <w:ind w:left="680"/>
        <w:rPr>
          <w:sz w:val="24"/>
          <w:szCs w:val="32"/>
        </w:rPr>
      </w:pPr>
      <w:r>
        <w:rPr>
          <w:sz w:val="24"/>
          <w:szCs w:val="32"/>
        </w:rPr>
        <w:lastRenderedPageBreak/>
        <w:t xml:space="preserve">(c) </w:t>
      </w:r>
      <w:r w:rsidRPr="00DC36AF">
        <w:rPr>
          <w:sz w:val="24"/>
          <w:szCs w:val="32"/>
        </w:rPr>
        <w:t>ensure the road, cycleway or footpath is asphalt, concrete or other low-permeable material</w:t>
      </w:r>
    </w:p>
    <w:p w14:paraId="76AAA95C" w14:textId="534F4796" w:rsidR="00DC36AF" w:rsidRPr="00DC36AF" w:rsidRDefault="00DC36AF" w:rsidP="00DC36AF">
      <w:pPr>
        <w:pStyle w:val="Bullet1"/>
        <w:rPr>
          <w:sz w:val="24"/>
          <w:szCs w:val="32"/>
        </w:rPr>
      </w:pPr>
      <w:r>
        <w:rPr>
          <w:sz w:val="24"/>
          <w:szCs w:val="32"/>
        </w:rPr>
        <w:t xml:space="preserve">If building a structural </w:t>
      </w:r>
      <w:proofErr w:type="gramStart"/>
      <w:r>
        <w:rPr>
          <w:sz w:val="24"/>
          <w:szCs w:val="32"/>
        </w:rPr>
        <w:t>platform</w:t>
      </w:r>
      <w:proofErr w:type="gramEnd"/>
      <w:r>
        <w:rPr>
          <w:sz w:val="24"/>
          <w:szCs w:val="32"/>
        </w:rPr>
        <w:t xml:space="preserve"> y</w:t>
      </w:r>
      <w:r w:rsidRPr="00DC36AF">
        <w:rPr>
          <w:sz w:val="24"/>
          <w:szCs w:val="32"/>
        </w:rPr>
        <w:t>ou must:</w:t>
      </w:r>
    </w:p>
    <w:p w14:paraId="0C302D6E" w14:textId="4E1ED2D4" w:rsidR="00DC36AF" w:rsidRPr="00DC36AF" w:rsidRDefault="00DC36AF" w:rsidP="00DC36AF">
      <w:pPr>
        <w:pStyle w:val="Bullet1"/>
        <w:numPr>
          <w:ilvl w:val="0"/>
          <w:numId w:val="0"/>
        </w:numPr>
        <w:ind w:left="680"/>
        <w:rPr>
          <w:sz w:val="24"/>
          <w:szCs w:val="32"/>
        </w:rPr>
      </w:pPr>
      <w:r>
        <w:rPr>
          <w:sz w:val="24"/>
          <w:szCs w:val="32"/>
        </w:rPr>
        <w:t xml:space="preserve">(a) </w:t>
      </w:r>
      <w:r w:rsidRPr="00DC36AF">
        <w:rPr>
          <w:sz w:val="24"/>
          <w:szCs w:val="32"/>
        </w:rPr>
        <w:t xml:space="preserve">build a structural platform that is on average </w:t>
      </w:r>
      <w:r w:rsidR="00210399">
        <w:rPr>
          <w:sz w:val="24"/>
          <w:szCs w:val="32"/>
        </w:rPr>
        <w:t xml:space="preserve">no more than </w:t>
      </w:r>
      <w:r w:rsidRPr="00DC36AF">
        <w:rPr>
          <w:sz w:val="24"/>
          <w:szCs w:val="32"/>
        </w:rPr>
        <w:t xml:space="preserve">one metre thick </w:t>
      </w:r>
    </w:p>
    <w:p w14:paraId="7F118A1E" w14:textId="643E3A02" w:rsidR="00DC36AF" w:rsidRDefault="00DC36AF" w:rsidP="00DC36AF">
      <w:pPr>
        <w:pStyle w:val="Bullet1"/>
        <w:numPr>
          <w:ilvl w:val="0"/>
          <w:numId w:val="0"/>
        </w:numPr>
        <w:ind w:left="680"/>
        <w:rPr>
          <w:sz w:val="24"/>
          <w:szCs w:val="32"/>
        </w:rPr>
      </w:pPr>
      <w:r>
        <w:rPr>
          <w:sz w:val="24"/>
          <w:szCs w:val="32"/>
        </w:rPr>
        <w:t>(</w:t>
      </w:r>
      <w:r w:rsidR="00F1106B">
        <w:rPr>
          <w:sz w:val="24"/>
          <w:szCs w:val="32"/>
        </w:rPr>
        <w:t>b</w:t>
      </w:r>
      <w:r>
        <w:rPr>
          <w:sz w:val="24"/>
          <w:szCs w:val="32"/>
        </w:rPr>
        <w:t xml:space="preserve">) </w:t>
      </w:r>
      <w:r w:rsidRPr="00DC36AF">
        <w:rPr>
          <w:sz w:val="24"/>
          <w:szCs w:val="32"/>
        </w:rPr>
        <w:t>ensure at least 95% of the structural platform is covered by a low permeability surface or building</w:t>
      </w:r>
    </w:p>
    <w:p w14:paraId="2144A6A3" w14:textId="3EEDD056" w:rsidR="00F1106B" w:rsidRDefault="00F1106B" w:rsidP="00DC36AF">
      <w:pPr>
        <w:pStyle w:val="Bullet1"/>
        <w:numPr>
          <w:ilvl w:val="0"/>
          <w:numId w:val="0"/>
        </w:numPr>
        <w:ind w:left="680"/>
        <w:rPr>
          <w:sz w:val="24"/>
          <w:szCs w:val="32"/>
        </w:rPr>
      </w:pPr>
      <w:r>
        <w:rPr>
          <w:sz w:val="24"/>
          <w:szCs w:val="32"/>
        </w:rPr>
        <w:t>(c)</w:t>
      </w:r>
      <w:r w:rsidRPr="00DC36AF">
        <w:rPr>
          <w:sz w:val="24"/>
          <w:szCs w:val="32"/>
        </w:rPr>
        <w:t xml:space="preserve"> ensure the structural platform </w:t>
      </w:r>
      <w:r>
        <w:rPr>
          <w:sz w:val="24"/>
          <w:szCs w:val="32"/>
        </w:rPr>
        <w:t>is not less than</w:t>
      </w:r>
      <w:r w:rsidRPr="00DC36AF">
        <w:rPr>
          <w:sz w:val="24"/>
          <w:szCs w:val="32"/>
        </w:rPr>
        <w:t xml:space="preserve"> </w:t>
      </w:r>
      <w:r w:rsidR="001F7318">
        <w:rPr>
          <w:sz w:val="24"/>
          <w:szCs w:val="32"/>
        </w:rPr>
        <w:t>the following distance</w:t>
      </w:r>
      <w:r w:rsidRPr="00DC36AF">
        <w:rPr>
          <w:sz w:val="24"/>
          <w:szCs w:val="32"/>
        </w:rPr>
        <w:t xml:space="preserve"> from a surface water body</w:t>
      </w:r>
      <w:r w:rsidR="001F7318">
        <w:rPr>
          <w:sz w:val="24"/>
          <w:szCs w:val="32"/>
        </w:rPr>
        <w:t xml:space="preserve"> based on its volume:</w:t>
      </w:r>
      <w:r w:rsidRPr="00DC36AF">
        <w:rPr>
          <w:sz w:val="24"/>
          <w:szCs w:val="32"/>
        </w:rPr>
        <w:t xml:space="preserve"> </w:t>
      </w:r>
    </w:p>
    <w:tbl>
      <w:tblPr>
        <w:tblW w:w="8363" w:type="dxa"/>
        <w:tblInd w:w="709" w:type="dxa"/>
        <w:shd w:val="clear" w:color="auto" w:fill="FFFFFF"/>
        <w:tblCellMar>
          <w:top w:w="15" w:type="dxa"/>
          <w:left w:w="15" w:type="dxa"/>
          <w:bottom w:w="15" w:type="dxa"/>
          <w:right w:w="15" w:type="dxa"/>
        </w:tblCellMar>
        <w:tblLook w:val="04A0" w:firstRow="1" w:lastRow="0" w:firstColumn="1" w:lastColumn="0" w:noHBand="0" w:noVBand="1"/>
      </w:tblPr>
      <w:tblGrid>
        <w:gridCol w:w="1701"/>
        <w:gridCol w:w="2126"/>
        <w:gridCol w:w="2268"/>
        <w:gridCol w:w="2268"/>
      </w:tblGrid>
      <w:tr w:rsidR="000B243F" w:rsidRPr="000B243F" w14:paraId="0D75DC75" w14:textId="77777777" w:rsidTr="0B23DE20">
        <w:trPr>
          <w:tblHeader/>
        </w:trPr>
        <w:tc>
          <w:tcPr>
            <w:tcW w:w="1701" w:type="dxa"/>
            <w:tcBorders>
              <w:bottom w:val="single" w:sz="6" w:space="0" w:color="B1B4B6"/>
            </w:tcBorders>
            <w:shd w:val="clear" w:color="auto" w:fill="FFFFFF" w:themeFill="background1"/>
            <w:tcMar>
              <w:top w:w="150" w:type="dxa"/>
              <w:left w:w="0" w:type="dxa"/>
              <w:bottom w:w="150" w:type="dxa"/>
              <w:right w:w="300" w:type="dxa"/>
            </w:tcMar>
            <w:hideMark/>
          </w:tcPr>
          <w:p w14:paraId="5213D5C5" w14:textId="77777777" w:rsidR="000B243F" w:rsidRPr="000B243F" w:rsidRDefault="000B243F" w:rsidP="00D97B57">
            <w:pPr>
              <w:spacing w:before="450" w:after="450" w:line="240" w:lineRule="auto"/>
              <w:rPr>
                <w:rFonts w:ascii="Arial" w:hAnsi="Arial" w:cs="Arial"/>
                <w:b/>
                <w:bCs/>
                <w:color w:val="0B0C0C"/>
                <w:sz w:val="24"/>
                <w:lang w:eastAsia="en-GB"/>
              </w:rPr>
            </w:pPr>
            <w:r w:rsidRPr="000B243F">
              <w:rPr>
                <w:rFonts w:ascii="Arial" w:hAnsi="Arial" w:cs="Arial"/>
                <w:b/>
                <w:bCs/>
                <w:color w:val="0B0C0C"/>
                <w:sz w:val="24"/>
                <w:lang w:eastAsia="en-GB"/>
              </w:rPr>
              <w:t>Distance to water body (metres)</w:t>
            </w:r>
          </w:p>
        </w:tc>
        <w:tc>
          <w:tcPr>
            <w:tcW w:w="2126" w:type="dxa"/>
            <w:tcBorders>
              <w:bottom w:val="single" w:sz="6" w:space="0" w:color="B1B4B6"/>
            </w:tcBorders>
            <w:shd w:val="clear" w:color="auto" w:fill="FFFFFF" w:themeFill="background1"/>
            <w:tcMar>
              <w:top w:w="150" w:type="dxa"/>
              <w:left w:w="0" w:type="dxa"/>
              <w:bottom w:w="150" w:type="dxa"/>
              <w:right w:w="300" w:type="dxa"/>
            </w:tcMar>
            <w:hideMark/>
          </w:tcPr>
          <w:p w14:paraId="5DFCCBCB" w14:textId="77777777" w:rsidR="000B243F" w:rsidRPr="000B243F" w:rsidRDefault="000B243F" w:rsidP="00D97B57">
            <w:pPr>
              <w:spacing w:before="450" w:after="450" w:line="240" w:lineRule="auto"/>
              <w:jc w:val="right"/>
              <w:rPr>
                <w:rFonts w:ascii="Arial" w:hAnsi="Arial" w:cs="Arial"/>
                <w:b/>
                <w:bCs/>
                <w:color w:val="0B0C0C"/>
                <w:sz w:val="24"/>
                <w:lang w:eastAsia="en-GB"/>
              </w:rPr>
            </w:pPr>
            <w:r w:rsidRPr="000B243F">
              <w:rPr>
                <w:rFonts w:ascii="Arial" w:hAnsi="Arial" w:cs="Arial"/>
                <w:b/>
                <w:bCs/>
                <w:color w:val="0B0C0C"/>
                <w:sz w:val="24"/>
                <w:lang w:eastAsia="en-GB"/>
              </w:rPr>
              <w:t>Maximum tonnage (tonnes) (Dry)</w:t>
            </w:r>
          </w:p>
        </w:tc>
        <w:tc>
          <w:tcPr>
            <w:tcW w:w="2268" w:type="dxa"/>
            <w:tcBorders>
              <w:bottom w:val="single" w:sz="6" w:space="0" w:color="B1B4B6"/>
            </w:tcBorders>
            <w:shd w:val="clear" w:color="auto" w:fill="FFFFFF" w:themeFill="background1"/>
            <w:tcMar>
              <w:top w:w="150" w:type="dxa"/>
              <w:left w:w="0" w:type="dxa"/>
              <w:bottom w:w="150" w:type="dxa"/>
              <w:right w:w="300" w:type="dxa"/>
            </w:tcMar>
            <w:hideMark/>
          </w:tcPr>
          <w:p w14:paraId="462313CC" w14:textId="77777777" w:rsidR="000B243F" w:rsidRPr="000B243F" w:rsidRDefault="000B243F" w:rsidP="00D97B57">
            <w:pPr>
              <w:spacing w:before="450" w:after="450" w:line="240" w:lineRule="auto"/>
              <w:jc w:val="right"/>
              <w:rPr>
                <w:rFonts w:ascii="Arial" w:hAnsi="Arial" w:cs="Arial"/>
                <w:b/>
                <w:bCs/>
                <w:color w:val="0B0C0C"/>
                <w:sz w:val="24"/>
                <w:lang w:eastAsia="en-GB"/>
              </w:rPr>
            </w:pPr>
            <w:r w:rsidRPr="000B243F">
              <w:rPr>
                <w:rFonts w:ascii="Arial" w:hAnsi="Arial" w:cs="Arial"/>
                <w:b/>
                <w:bCs/>
                <w:color w:val="0B0C0C"/>
                <w:sz w:val="24"/>
                <w:lang w:eastAsia="en-GB"/>
              </w:rPr>
              <w:t>Volume after compaction assuming 1.7T/m³ (m³)</w:t>
            </w:r>
          </w:p>
        </w:tc>
        <w:tc>
          <w:tcPr>
            <w:tcW w:w="2268" w:type="dxa"/>
            <w:tcBorders>
              <w:bottom w:val="single" w:sz="6" w:space="0" w:color="B1B4B6"/>
            </w:tcBorders>
            <w:shd w:val="clear" w:color="auto" w:fill="FFFFFF" w:themeFill="background1"/>
            <w:tcMar>
              <w:top w:w="150" w:type="dxa"/>
              <w:left w:w="0" w:type="dxa"/>
              <w:bottom w:w="150" w:type="dxa"/>
              <w:right w:w="0" w:type="dxa"/>
            </w:tcMar>
            <w:hideMark/>
          </w:tcPr>
          <w:p w14:paraId="4ABB45E9" w14:textId="77777777" w:rsidR="000B243F" w:rsidRPr="000B243F" w:rsidRDefault="000B243F" w:rsidP="00D97B57">
            <w:pPr>
              <w:spacing w:before="450" w:after="450" w:line="240" w:lineRule="auto"/>
              <w:jc w:val="right"/>
              <w:rPr>
                <w:rFonts w:ascii="Arial" w:hAnsi="Arial" w:cs="Arial"/>
                <w:b/>
                <w:bCs/>
                <w:color w:val="0B0C0C"/>
                <w:sz w:val="24"/>
                <w:lang w:eastAsia="en-GB"/>
              </w:rPr>
            </w:pPr>
            <w:r w:rsidRPr="000B243F">
              <w:rPr>
                <w:rFonts w:ascii="Arial" w:hAnsi="Arial" w:cs="Arial"/>
                <w:b/>
                <w:bCs/>
                <w:color w:val="0B0C0C"/>
                <w:sz w:val="24"/>
                <w:lang w:eastAsia="en-GB"/>
              </w:rPr>
              <w:t>Maximum surface area of a structural platform (m²)</w:t>
            </w:r>
          </w:p>
        </w:tc>
      </w:tr>
      <w:tr w:rsidR="000B243F" w:rsidRPr="000B243F" w14:paraId="1C34CAE2" w14:textId="77777777" w:rsidTr="0B23DE20">
        <w:trPr>
          <w:trHeight w:val="822"/>
        </w:trPr>
        <w:tc>
          <w:tcPr>
            <w:tcW w:w="1701" w:type="dxa"/>
            <w:tcBorders>
              <w:bottom w:val="single" w:sz="6" w:space="0" w:color="B1B4B6"/>
            </w:tcBorders>
            <w:shd w:val="clear" w:color="auto" w:fill="FFFFFF" w:themeFill="background1"/>
            <w:tcMar>
              <w:top w:w="150" w:type="dxa"/>
              <w:left w:w="0" w:type="dxa"/>
              <w:bottom w:w="150" w:type="dxa"/>
              <w:right w:w="300" w:type="dxa"/>
            </w:tcMar>
            <w:hideMark/>
          </w:tcPr>
          <w:p w14:paraId="7D971BB0" w14:textId="4606A2BD" w:rsidR="000B243F" w:rsidRPr="000B243F" w:rsidRDefault="000B243F" w:rsidP="0B23DE20">
            <w:pPr>
              <w:spacing w:before="450" w:after="450" w:line="240" w:lineRule="auto"/>
              <w:rPr>
                <w:rFonts w:ascii="Arial" w:hAnsi="Arial" w:cs="Arial"/>
                <w:b/>
                <w:bCs/>
                <w:color w:val="0B0C0C"/>
                <w:sz w:val="24"/>
                <w:lang w:eastAsia="en-GB"/>
              </w:rPr>
            </w:pPr>
            <w:r w:rsidRPr="0B23DE20">
              <w:rPr>
                <w:rFonts w:ascii="Arial" w:hAnsi="Arial" w:cs="Arial"/>
                <w:b/>
                <w:bCs/>
                <w:color w:val="0B0C0C"/>
                <w:sz w:val="24"/>
                <w:lang w:eastAsia="en-GB"/>
              </w:rPr>
              <w:t>25</w:t>
            </w:r>
            <w:r w:rsidR="008102E2" w:rsidRPr="0B23DE20">
              <w:rPr>
                <w:rFonts w:ascii="Arial" w:hAnsi="Arial" w:cs="Arial"/>
                <w:b/>
                <w:bCs/>
                <w:color w:val="0B0C0C"/>
                <w:sz w:val="24"/>
                <w:lang w:eastAsia="en-GB"/>
              </w:rPr>
              <w:t xml:space="preserve"> to </w:t>
            </w:r>
            <w:r w:rsidRPr="0B23DE20">
              <w:rPr>
                <w:rFonts w:ascii="Arial" w:hAnsi="Arial" w:cs="Arial"/>
                <w:b/>
                <w:bCs/>
                <w:color w:val="0B0C0C"/>
                <w:sz w:val="24"/>
                <w:lang w:eastAsia="en-GB"/>
              </w:rPr>
              <w:t>49</w:t>
            </w:r>
          </w:p>
        </w:tc>
        <w:tc>
          <w:tcPr>
            <w:tcW w:w="2126" w:type="dxa"/>
            <w:tcBorders>
              <w:bottom w:val="single" w:sz="6" w:space="0" w:color="B1B4B6"/>
            </w:tcBorders>
            <w:shd w:val="clear" w:color="auto" w:fill="FFFFFF" w:themeFill="background1"/>
            <w:tcMar>
              <w:top w:w="150" w:type="dxa"/>
              <w:left w:w="0" w:type="dxa"/>
              <w:bottom w:w="150" w:type="dxa"/>
              <w:right w:w="300" w:type="dxa"/>
            </w:tcMar>
            <w:hideMark/>
          </w:tcPr>
          <w:p w14:paraId="290E2F11" w14:textId="77777777" w:rsidR="000B243F" w:rsidRPr="000B243F" w:rsidRDefault="000B243F" w:rsidP="00D97B57">
            <w:pPr>
              <w:spacing w:before="450" w:after="450" w:line="240" w:lineRule="auto"/>
              <w:jc w:val="right"/>
              <w:rPr>
                <w:rFonts w:ascii="Arial" w:hAnsi="Arial" w:cs="Arial"/>
                <w:color w:val="0B0C0C"/>
                <w:sz w:val="24"/>
                <w:lang w:eastAsia="en-GB"/>
              </w:rPr>
            </w:pPr>
            <w:r w:rsidRPr="000B243F">
              <w:rPr>
                <w:rFonts w:ascii="Arial" w:hAnsi="Arial" w:cs="Arial"/>
                <w:color w:val="0B0C0C"/>
                <w:sz w:val="24"/>
                <w:lang w:eastAsia="en-GB"/>
              </w:rPr>
              <w:t>4,420</w:t>
            </w:r>
          </w:p>
        </w:tc>
        <w:tc>
          <w:tcPr>
            <w:tcW w:w="2268" w:type="dxa"/>
            <w:tcBorders>
              <w:bottom w:val="single" w:sz="6" w:space="0" w:color="B1B4B6"/>
            </w:tcBorders>
            <w:shd w:val="clear" w:color="auto" w:fill="FFFFFF" w:themeFill="background1"/>
            <w:tcMar>
              <w:top w:w="150" w:type="dxa"/>
              <w:left w:w="0" w:type="dxa"/>
              <w:bottom w:w="150" w:type="dxa"/>
              <w:right w:w="300" w:type="dxa"/>
            </w:tcMar>
            <w:hideMark/>
          </w:tcPr>
          <w:p w14:paraId="20306A08" w14:textId="77777777" w:rsidR="000B243F" w:rsidRPr="000B243F" w:rsidRDefault="000B243F" w:rsidP="00D97B57">
            <w:pPr>
              <w:spacing w:before="450" w:after="450" w:line="240" w:lineRule="auto"/>
              <w:jc w:val="right"/>
              <w:rPr>
                <w:rFonts w:ascii="Arial" w:hAnsi="Arial" w:cs="Arial"/>
                <w:color w:val="0B0C0C"/>
                <w:sz w:val="24"/>
                <w:lang w:eastAsia="en-GB"/>
              </w:rPr>
            </w:pPr>
            <w:r w:rsidRPr="000B243F">
              <w:rPr>
                <w:rFonts w:ascii="Arial" w:hAnsi="Arial" w:cs="Arial"/>
                <w:color w:val="0B0C0C"/>
                <w:sz w:val="24"/>
                <w:lang w:eastAsia="en-GB"/>
              </w:rPr>
              <w:t>2,600</w:t>
            </w:r>
          </w:p>
        </w:tc>
        <w:tc>
          <w:tcPr>
            <w:tcW w:w="2268" w:type="dxa"/>
            <w:tcBorders>
              <w:bottom w:val="single" w:sz="6" w:space="0" w:color="B1B4B6"/>
            </w:tcBorders>
            <w:shd w:val="clear" w:color="auto" w:fill="FFFFFF" w:themeFill="background1"/>
            <w:tcMar>
              <w:top w:w="150" w:type="dxa"/>
              <w:left w:w="0" w:type="dxa"/>
              <w:bottom w:w="150" w:type="dxa"/>
              <w:right w:w="0" w:type="dxa"/>
            </w:tcMar>
            <w:hideMark/>
          </w:tcPr>
          <w:p w14:paraId="7C6079FD" w14:textId="77777777" w:rsidR="000B243F" w:rsidRPr="000B243F" w:rsidRDefault="000B243F" w:rsidP="00D97B57">
            <w:pPr>
              <w:spacing w:before="450" w:after="450" w:line="240" w:lineRule="auto"/>
              <w:jc w:val="right"/>
              <w:rPr>
                <w:rFonts w:ascii="Arial" w:hAnsi="Arial" w:cs="Arial"/>
                <w:color w:val="0B0C0C"/>
                <w:sz w:val="24"/>
                <w:lang w:eastAsia="en-GB"/>
              </w:rPr>
            </w:pPr>
            <w:r w:rsidRPr="000B243F">
              <w:rPr>
                <w:rFonts w:ascii="Arial" w:hAnsi="Arial" w:cs="Arial"/>
                <w:color w:val="0B0C0C"/>
                <w:sz w:val="24"/>
                <w:lang w:eastAsia="en-GB"/>
              </w:rPr>
              <w:t>2,600</w:t>
            </w:r>
          </w:p>
        </w:tc>
      </w:tr>
      <w:tr w:rsidR="000B243F" w:rsidRPr="000B243F" w14:paraId="7BA4157B" w14:textId="77777777" w:rsidTr="0B23DE20">
        <w:tc>
          <w:tcPr>
            <w:tcW w:w="1701" w:type="dxa"/>
            <w:tcBorders>
              <w:bottom w:val="single" w:sz="6" w:space="0" w:color="B1B4B6"/>
            </w:tcBorders>
            <w:shd w:val="clear" w:color="auto" w:fill="FFFFFF" w:themeFill="background1"/>
            <w:tcMar>
              <w:top w:w="150" w:type="dxa"/>
              <w:left w:w="0" w:type="dxa"/>
              <w:bottom w:w="150" w:type="dxa"/>
              <w:right w:w="300" w:type="dxa"/>
            </w:tcMar>
            <w:hideMark/>
          </w:tcPr>
          <w:p w14:paraId="30581034" w14:textId="0D56760A" w:rsidR="000B243F" w:rsidRPr="000B243F" w:rsidRDefault="000B243F" w:rsidP="0B23DE20">
            <w:pPr>
              <w:spacing w:before="450" w:after="450" w:line="240" w:lineRule="auto"/>
              <w:rPr>
                <w:rFonts w:ascii="Arial" w:hAnsi="Arial" w:cs="Arial"/>
                <w:b/>
                <w:bCs/>
                <w:color w:val="0B0C0C"/>
                <w:sz w:val="24"/>
                <w:lang w:eastAsia="en-GB"/>
              </w:rPr>
            </w:pPr>
            <w:r w:rsidRPr="0B23DE20">
              <w:rPr>
                <w:rFonts w:ascii="Arial" w:hAnsi="Arial" w:cs="Arial"/>
                <w:b/>
                <w:bCs/>
                <w:color w:val="0B0C0C"/>
                <w:sz w:val="24"/>
                <w:lang w:eastAsia="en-GB"/>
              </w:rPr>
              <w:t>50</w:t>
            </w:r>
            <w:r w:rsidR="008102E2" w:rsidRPr="0B23DE20">
              <w:rPr>
                <w:rFonts w:ascii="Arial" w:hAnsi="Arial" w:cs="Arial"/>
                <w:b/>
                <w:bCs/>
                <w:color w:val="0B0C0C"/>
                <w:sz w:val="24"/>
                <w:lang w:eastAsia="en-GB"/>
              </w:rPr>
              <w:t xml:space="preserve"> to </w:t>
            </w:r>
            <w:r w:rsidRPr="0B23DE20">
              <w:rPr>
                <w:rFonts w:ascii="Arial" w:hAnsi="Arial" w:cs="Arial"/>
                <w:b/>
                <w:bCs/>
                <w:color w:val="0B0C0C"/>
                <w:sz w:val="24"/>
                <w:lang w:eastAsia="en-GB"/>
              </w:rPr>
              <w:t>99</w:t>
            </w:r>
          </w:p>
        </w:tc>
        <w:tc>
          <w:tcPr>
            <w:tcW w:w="2126" w:type="dxa"/>
            <w:tcBorders>
              <w:bottom w:val="single" w:sz="6" w:space="0" w:color="B1B4B6"/>
            </w:tcBorders>
            <w:shd w:val="clear" w:color="auto" w:fill="FFFFFF" w:themeFill="background1"/>
            <w:tcMar>
              <w:top w:w="150" w:type="dxa"/>
              <w:left w:w="0" w:type="dxa"/>
              <w:bottom w:w="150" w:type="dxa"/>
              <w:right w:w="300" w:type="dxa"/>
            </w:tcMar>
            <w:hideMark/>
          </w:tcPr>
          <w:p w14:paraId="3D725509" w14:textId="77777777" w:rsidR="000B243F" w:rsidRPr="000B243F" w:rsidRDefault="000B243F" w:rsidP="00D97B57">
            <w:pPr>
              <w:spacing w:before="450" w:after="450" w:line="240" w:lineRule="auto"/>
              <w:jc w:val="right"/>
              <w:rPr>
                <w:rFonts w:ascii="Arial" w:hAnsi="Arial" w:cs="Arial"/>
                <w:color w:val="0B0C0C"/>
                <w:sz w:val="24"/>
                <w:lang w:eastAsia="en-GB"/>
              </w:rPr>
            </w:pPr>
            <w:r w:rsidRPr="000B243F">
              <w:rPr>
                <w:rFonts w:ascii="Arial" w:hAnsi="Arial" w:cs="Arial"/>
                <w:color w:val="0B0C0C"/>
                <w:sz w:val="24"/>
                <w:lang w:eastAsia="en-GB"/>
              </w:rPr>
              <w:t>6,800</w:t>
            </w:r>
          </w:p>
        </w:tc>
        <w:tc>
          <w:tcPr>
            <w:tcW w:w="2268" w:type="dxa"/>
            <w:tcBorders>
              <w:bottom w:val="single" w:sz="6" w:space="0" w:color="B1B4B6"/>
            </w:tcBorders>
            <w:shd w:val="clear" w:color="auto" w:fill="FFFFFF" w:themeFill="background1"/>
            <w:tcMar>
              <w:top w:w="150" w:type="dxa"/>
              <w:left w:w="0" w:type="dxa"/>
              <w:bottom w:w="150" w:type="dxa"/>
              <w:right w:w="300" w:type="dxa"/>
            </w:tcMar>
            <w:hideMark/>
          </w:tcPr>
          <w:p w14:paraId="6635124F" w14:textId="77777777" w:rsidR="000B243F" w:rsidRPr="000B243F" w:rsidRDefault="000B243F" w:rsidP="00D97B57">
            <w:pPr>
              <w:spacing w:before="450" w:after="450" w:line="240" w:lineRule="auto"/>
              <w:jc w:val="right"/>
              <w:rPr>
                <w:rFonts w:ascii="Arial" w:hAnsi="Arial" w:cs="Arial"/>
                <w:color w:val="0B0C0C"/>
                <w:sz w:val="24"/>
                <w:lang w:eastAsia="en-GB"/>
              </w:rPr>
            </w:pPr>
            <w:r w:rsidRPr="000B243F">
              <w:rPr>
                <w:rFonts w:ascii="Arial" w:hAnsi="Arial" w:cs="Arial"/>
                <w:color w:val="0B0C0C"/>
                <w:sz w:val="24"/>
                <w:lang w:eastAsia="en-GB"/>
              </w:rPr>
              <w:t>4,000</w:t>
            </w:r>
          </w:p>
        </w:tc>
        <w:tc>
          <w:tcPr>
            <w:tcW w:w="2268" w:type="dxa"/>
            <w:tcBorders>
              <w:bottom w:val="single" w:sz="6" w:space="0" w:color="B1B4B6"/>
            </w:tcBorders>
            <w:shd w:val="clear" w:color="auto" w:fill="FFFFFF" w:themeFill="background1"/>
            <w:tcMar>
              <w:top w:w="150" w:type="dxa"/>
              <w:left w:w="0" w:type="dxa"/>
              <w:bottom w:w="150" w:type="dxa"/>
              <w:right w:w="0" w:type="dxa"/>
            </w:tcMar>
            <w:hideMark/>
          </w:tcPr>
          <w:p w14:paraId="1D0C4AF3" w14:textId="77777777" w:rsidR="000B243F" w:rsidRPr="000B243F" w:rsidRDefault="000B243F" w:rsidP="00D97B57">
            <w:pPr>
              <w:spacing w:before="450" w:after="450" w:line="240" w:lineRule="auto"/>
              <w:jc w:val="right"/>
              <w:rPr>
                <w:rFonts w:ascii="Arial" w:hAnsi="Arial" w:cs="Arial"/>
                <w:color w:val="0B0C0C"/>
                <w:sz w:val="24"/>
                <w:lang w:eastAsia="en-GB"/>
              </w:rPr>
            </w:pPr>
            <w:r w:rsidRPr="000B243F">
              <w:rPr>
                <w:rFonts w:ascii="Arial" w:hAnsi="Arial" w:cs="Arial"/>
                <w:color w:val="0B0C0C"/>
                <w:sz w:val="24"/>
                <w:lang w:eastAsia="en-GB"/>
              </w:rPr>
              <w:t>4,000</w:t>
            </w:r>
          </w:p>
        </w:tc>
      </w:tr>
      <w:tr w:rsidR="000B243F" w:rsidRPr="000B243F" w14:paraId="1E0D015E" w14:textId="77777777" w:rsidTr="0B23DE20">
        <w:tc>
          <w:tcPr>
            <w:tcW w:w="1701" w:type="dxa"/>
            <w:tcBorders>
              <w:bottom w:val="single" w:sz="6" w:space="0" w:color="B1B4B6"/>
            </w:tcBorders>
            <w:shd w:val="clear" w:color="auto" w:fill="FFFFFF" w:themeFill="background1"/>
            <w:tcMar>
              <w:top w:w="150" w:type="dxa"/>
              <w:left w:w="0" w:type="dxa"/>
              <w:bottom w:w="150" w:type="dxa"/>
              <w:right w:w="300" w:type="dxa"/>
            </w:tcMar>
            <w:hideMark/>
          </w:tcPr>
          <w:p w14:paraId="60D8FB47" w14:textId="1D135C6D" w:rsidR="000B243F" w:rsidRPr="000B243F" w:rsidRDefault="000B243F" w:rsidP="0B23DE20">
            <w:pPr>
              <w:spacing w:before="450" w:after="450" w:line="240" w:lineRule="auto"/>
              <w:rPr>
                <w:rFonts w:ascii="Arial" w:hAnsi="Arial" w:cs="Arial"/>
                <w:b/>
                <w:bCs/>
                <w:color w:val="0B0C0C"/>
                <w:sz w:val="24"/>
                <w:lang w:eastAsia="en-GB"/>
              </w:rPr>
            </w:pPr>
            <w:r w:rsidRPr="0B23DE20">
              <w:rPr>
                <w:rFonts w:ascii="Arial" w:hAnsi="Arial" w:cs="Arial"/>
                <w:b/>
                <w:bCs/>
                <w:color w:val="0B0C0C"/>
                <w:sz w:val="24"/>
                <w:lang w:eastAsia="en-GB"/>
              </w:rPr>
              <w:t>100</w:t>
            </w:r>
            <w:r w:rsidR="008102E2" w:rsidRPr="0B23DE20">
              <w:rPr>
                <w:rFonts w:ascii="Arial" w:hAnsi="Arial" w:cs="Arial"/>
                <w:b/>
                <w:bCs/>
                <w:color w:val="0B0C0C"/>
                <w:sz w:val="24"/>
                <w:lang w:eastAsia="en-GB"/>
              </w:rPr>
              <w:t xml:space="preserve"> to </w:t>
            </w:r>
            <w:r w:rsidRPr="0B23DE20">
              <w:rPr>
                <w:rFonts w:ascii="Arial" w:hAnsi="Arial" w:cs="Arial"/>
                <w:b/>
                <w:bCs/>
                <w:color w:val="0B0C0C"/>
                <w:sz w:val="24"/>
                <w:lang w:eastAsia="en-GB"/>
              </w:rPr>
              <w:t>149</w:t>
            </w:r>
          </w:p>
        </w:tc>
        <w:tc>
          <w:tcPr>
            <w:tcW w:w="2126" w:type="dxa"/>
            <w:tcBorders>
              <w:bottom w:val="single" w:sz="6" w:space="0" w:color="B1B4B6"/>
            </w:tcBorders>
            <w:shd w:val="clear" w:color="auto" w:fill="FFFFFF" w:themeFill="background1"/>
            <w:tcMar>
              <w:top w:w="150" w:type="dxa"/>
              <w:left w:w="0" w:type="dxa"/>
              <w:bottom w:w="150" w:type="dxa"/>
              <w:right w:w="300" w:type="dxa"/>
            </w:tcMar>
            <w:hideMark/>
          </w:tcPr>
          <w:p w14:paraId="7F2CCCB3" w14:textId="77777777" w:rsidR="000B243F" w:rsidRPr="000B243F" w:rsidRDefault="000B243F" w:rsidP="00D97B57">
            <w:pPr>
              <w:spacing w:before="450" w:after="450" w:line="240" w:lineRule="auto"/>
              <w:jc w:val="right"/>
              <w:rPr>
                <w:rFonts w:ascii="Arial" w:hAnsi="Arial" w:cs="Arial"/>
                <w:color w:val="0B0C0C"/>
                <w:sz w:val="24"/>
                <w:lang w:eastAsia="en-GB"/>
              </w:rPr>
            </w:pPr>
            <w:r w:rsidRPr="000B243F">
              <w:rPr>
                <w:rFonts w:ascii="Arial" w:hAnsi="Arial" w:cs="Arial"/>
                <w:color w:val="0B0C0C"/>
                <w:sz w:val="24"/>
                <w:lang w:eastAsia="en-GB"/>
              </w:rPr>
              <w:t>13,600</w:t>
            </w:r>
          </w:p>
        </w:tc>
        <w:tc>
          <w:tcPr>
            <w:tcW w:w="2268" w:type="dxa"/>
            <w:tcBorders>
              <w:bottom w:val="single" w:sz="6" w:space="0" w:color="B1B4B6"/>
            </w:tcBorders>
            <w:shd w:val="clear" w:color="auto" w:fill="FFFFFF" w:themeFill="background1"/>
            <w:tcMar>
              <w:top w:w="150" w:type="dxa"/>
              <w:left w:w="0" w:type="dxa"/>
              <w:bottom w:w="150" w:type="dxa"/>
              <w:right w:w="300" w:type="dxa"/>
            </w:tcMar>
            <w:hideMark/>
          </w:tcPr>
          <w:p w14:paraId="74B5DD2B" w14:textId="77777777" w:rsidR="000B243F" w:rsidRPr="000B243F" w:rsidRDefault="000B243F" w:rsidP="00D97B57">
            <w:pPr>
              <w:spacing w:before="450" w:after="450" w:line="240" w:lineRule="auto"/>
              <w:jc w:val="right"/>
              <w:rPr>
                <w:rFonts w:ascii="Arial" w:hAnsi="Arial" w:cs="Arial"/>
                <w:color w:val="0B0C0C"/>
                <w:sz w:val="24"/>
                <w:lang w:eastAsia="en-GB"/>
              </w:rPr>
            </w:pPr>
            <w:r w:rsidRPr="000B243F">
              <w:rPr>
                <w:rFonts w:ascii="Arial" w:hAnsi="Arial" w:cs="Arial"/>
                <w:color w:val="0B0C0C"/>
                <w:sz w:val="24"/>
                <w:lang w:eastAsia="en-GB"/>
              </w:rPr>
              <w:t>8,000</w:t>
            </w:r>
          </w:p>
        </w:tc>
        <w:tc>
          <w:tcPr>
            <w:tcW w:w="2268" w:type="dxa"/>
            <w:tcBorders>
              <w:bottom w:val="single" w:sz="6" w:space="0" w:color="B1B4B6"/>
            </w:tcBorders>
            <w:shd w:val="clear" w:color="auto" w:fill="FFFFFF" w:themeFill="background1"/>
            <w:tcMar>
              <w:top w:w="150" w:type="dxa"/>
              <w:left w:w="0" w:type="dxa"/>
              <w:bottom w:w="150" w:type="dxa"/>
              <w:right w:w="0" w:type="dxa"/>
            </w:tcMar>
            <w:hideMark/>
          </w:tcPr>
          <w:p w14:paraId="7FF2BB6B" w14:textId="77777777" w:rsidR="000B243F" w:rsidRPr="000B243F" w:rsidRDefault="000B243F" w:rsidP="00D97B57">
            <w:pPr>
              <w:spacing w:before="450" w:after="450" w:line="240" w:lineRule="auto"/>
              <w:jc w:val="right"/>
              <w:rPr>
                <w:rFonts w:ascii="Arial" w:hAnsi="Arial" w:cs="Arial"/>
                <w:color w:val="0B0C0C"/>
                <w:sz w:val="24"/>
                <w:lang w:eastAsia="en-GB"/>
              </w:rPr>
            </w:pPr>
            <w:r w:rsidRPr="000B243F">
              <w:rPr>
                <w:rFonts w:ascii="Arial" w:hAnsi="Arial" w:cs="Arial"/>
                <w:color w:val="0B0C0C"/>
                <w:sz w:val="24"/>
                <w:lang w:eastAsia="en-GB"/>
              </w:rPr>
              <w:t>8,000</w:t>
            </w:r>
          </w:p>
        </w:tc>
      </w:tr>
      <w:tr w:rsidR="000B243F" w:rsidRPr="000B243F" w14:paraId="1A2BA64C" w14:textId="77777777" w:rsidTr="0B23DE20">
        <w:tc>
          <w:tcPr>
            <w:tcW w:w="1701" w:type="dxa"/>
            <w:tcBorders>
              <w:bottom w:val="single" w:sz="6" w:space="0" w:color="B1B4B6"/>
            </w:tcBorders>
            <w:shd w:val="clear" w:color="auto" w:fill="FFFFFF" w:themeFill="background1"/>
            <w:tcMar>
              <w:top w:w="150" w:type="dxa"/>
              <w:left w:w="0" w:type="dxa"/>
              <w:bottom w:w="150" w:type="dxa"/>
              <w:right w:w="300" w:type="dxa"/>
            </w:tcMar>
            <w:hideMark/>
          </w:tcPr>
          <w:p w14:paraId="73FA329C" w14:textId="09325527" w:rsidR="000B243F" w:rsidRPr="000B243F" w:rsidRDefault="000B243F" w:rsidP="0B23DE20">
            <w:pPr>
              <w:spacing w:before="450" w:after="450" w:line="240" w:lineRule="auto"/>
              <w:rPr>
                <w:rFonts w:ascii="Arial" w:hAnsi="Arial" w:cs="Arial"/>
                <w:b/>
                <w:bCs/>
                <w:color w:val="0B0C0C"/>
                <w:sz w:val="24"/>
                <w:lang w:eastAsia="en-GB"/>
              </w:rPr>
            </w:pPr>
            <w:r w:rsidRPr="0B23DE20">
              <w:rPr>
                <w:rFonts w:ascii="Arial" w:hAnsi="Arial" w:cs="Arial"/>
                <w:b/>
                <w:bCs/>
                <w:color w:val="0B0C0C"/>
                <w:sz w:val="24"/>
                <w:lang w:eastAsia="en-GB"/>
              </w:rPr>
              <w:t>150</w:t>
            </w:r>
            <w:r w:rsidR="008102E2" w:rsidRPr="0B23DE20">
              <w:rPr>
                <w:rFonts w:ascii="Arial" w:hAnsi="Arial" w:cs="Arial"/>
                <w:b/>
                <w:bCs/>
                <w:color w:val="0B0C0C"/>
                <w:sz w:val="24"/>
                <w:lang w:eastAsia="en-GB"/>
              </w:rPr>
              <w:t xml:space="preserve"> to </w:t>
            </w:r>
            <w:r w:rsidRPr="0B23DE20">
              <w:rPr>
                <w:rFonts w:ascii="Arial" w:hAnsi="Arial" w:cs="Arial"/>
                <w:b/>
                <w:bCs/>
                <w:color w:val="0B0C0C"/>
                <w:sz w:val="24"/>
                <w:lang w:eastAsia="en-GB"/>
              </w:rPr>
              <w:t>199</w:t>
            </w:r>
          </w:p>
        </w:tc>
        <w:tc>
          <w:tcPr>
            <w:tcW w:w="2126" w:type="dxa"/>
            <w:tcBorders>
              <w:bottom w:val="single" w:sz="6" w:space="0" w:color="B1B4B6"/>
            </w:tcBorders>
            <w:shd w:val="clear" w:color="auto" w:fill="FFFFFF" w:themeFill="background1"/>
            <w:tcMar>
              <w:top w:w="150" w:type="dxa"/>
              <w:left w:w="0" w:type="dxa"/>
              <w:bottom w:w="150" w:type="dxa"/>
              <w:right w:w="300" w:type="dxa"/>
            </w:tcMar>
            <w:hideMark/>
          </w:tcPr>
          <w:p w14:paraId="6074851A" w14:textId="77777777" w:rsidR="000B243F" w:rsidRPr="000B243F" w:rsidRDefault="000B243F" w:rsidP="00D97B57">
            <w:pPr>
              <w:spacing w:before="450" w:after="450" w:line="240" w:lineRule="auto"/>
              <w:jc w:val="right"/>
              <w:rPr>
                <w:rFonts w:ascii="Arial" w:hAnsi="Arial" w:cs="Arial"/>
                <w:color w:val="0B0C0C"/>
                <w:sz w:val="24"/>
                <w:lang w:eastAsia="en-GB"/>
              </w:rPr>
            </w:pPr>
            <w:r w:rsidRPr="000B243F">
              <w:rPr>
                <w:rFonts w:ascii="Arial" w:hAnsi="Arial" w:cs="Arial"/>
                <w:color w:val="0B0C0C"/>
                <w:sz w:val="24"/>
                <w:lang w:eastAsia="en-GB"/>
              </w:rPr>
              <w:t>20,400</w:t>
            </w:r>
          </w:p>
        </w:tc>
        <w:tc>
          <w:tcPr>
            <w:tcW w:w="2268" w:type="dxa"/>
            <w:tcBorders>
              <w:bottom w:val="single" w:sz="6" w:space="0" w:color="B1B4B6"/>
            </w:tcBorders>
            <w:shd w:val="clear" w:color="auto" w:fill="FFFFFF" w:themeFill="background1"/>
            <w:tcMar>
              <w:top w:w="150" w:type="dxa"/>
              <w:left w:w="0" w:type="dxa"/>
              <w:bottom w:w="150" w:type="dxa"/>
              <w:right w:w="300" w:type="dxa"/>
            </w:tcMar>
            <w:hideMark/>
          </w:tcPr>
          <w:p w14:paraId="71232F27" w14:textId="77777777" w:rsidR="000B243F" w:rsidRPr="000B243F" w:rsidRDefault="000B243F" w:rsidP="00D97B57">
            <w:pPr>
              <w:spacing w:before="450" w:after="450" w:line="240" w:lineRule="auto"/>
              <w:jc w:val="right"/>
              <w:rPr>
                <w:rFonts w:ascii="Arial" w:hAnsi="Arial" w:cs="Arial"/>
                <w:color w:val="0B0C0C"/>
                <w:sz w:val="24"/>
                <w:lang w:eastAsia="en-GB"/>
              </w:rPr>
            </w:pPr>
            <w:r w:rsidRPr="000B243F">
              <w:rPr>
                <w:rFonts w:ascii="Arial" w:hAnsi="Arial" w:cs="Arial"/>
                <w:color w:val="0B0C0C"/>
                <w:sz w:val="24"/>
                <w:lang w:eastAsia="en-GB"/>
              </w:rPr>
              <w:t>12,000</w:t>
            </w:r>
          </w:p>
        </w:tc>
        <w:tc>
          <w:tcPr>
            <w:tcW w:w="2268" w:type="dxa"/>
            <w:tcBorders>
              <w:bottom w:val="single" w:sz="6" w:space="0" w:color="B1B4B6"/>
            </w:tcBorders>
            <w:shd w:val="clear" w:color="auto" w:fill="FFFFFF" w:themeFill="background1"/>
            <w:tcMar>
              <w:top w:w="150" w:type="dxa"/>
              <w:left w:w="0" w:type="dxa"/>
              <w:bottom w:w="150" w:type="dxa"/>
              <w:right w:w="0" w:type="dxa"/>
            </w:tcMar>
            <w:hideMark/>
          </w:tcPr>
          <w:p w14:paraId="6DD4DCE8" w14:textId="77777777" w:rsidR="000B243F" w:rsidRPr="000B243F" w:rsidRDefault="000B243F" w:rsidP="00D97B57">
            <w:pPr>
              <w:spacing w:before="450" w:after="450" w:line="240" w:lineRule="auto"/>
              <w:jc w:val="right"/>
              <w:rPr>
                <w:rFonts w:ascii="Arial" w:hAnsi="Arial" w:cs="Arial"/>
                <w:color w:val="0B0C0C"/>
                <w:sz w:val="24"/>
                <w:lang w:eastAsia="en-GB"/>
              </w:rPr>
            </w:pPr>
            <w:r w:rsidRPr="000B243F">
              <w:rPr>
                <w:rFonts w:ascii="Arial" w:hAnsi="Arial" w:cs="Arial"/>
                <w:color w:val="0B0C0C"/>
                <w:sz w:val="24"/>
                <w:lang w:eastAsia="en-GB"/>
              </w:rPr>
              <w:t>12,000</w:t>
            </w:r>
          </w:p>
        </w:tc>
      </w:tr>
      <w:tr w:rsidR="000B243F" w:rsidRPr="000B243F" w14:paraId="2DFEB3E5" w14:textId="77777777" w:rsidTr="0B23DE20">
        <w:tc>
          <w:tcPr>
            <w:tcW w:w="1701" w:type="dxa"/>
            <w:tcBorders>
              <w:bottom w:val="single" w:sz="6" w:space="0" w:color="B1B4B6"/>
            </w:tcBorders>
            <w:shd w:val="clear" w:color="auto" w:fill="FFFFFF" w:themeFill="background1"/>
            <w:tcMar>
              <w:top w:w="150" w:type="dxa"/>
              <w:left w:w="0" w:type="dxa"/>
              <w:bottom w:w="150" w:type="dxa"/>
              <w:right w:w="300" w:type="dxa"/>
            </w:tcMar>
            <w:hideMark/>
          </w:tcPr>
          <w:p w14:paraId="17976862" w14:textId="55159664" w:rsidR="000B243F" w:rsidRPr="000B243F" w:rsidRDefault="000B243F" w:rsidP="0B23DE20">
            <w:pPr>
              <w:spacing w:before="450" w:after="450" w:line="240" w:lineRule="auto"/>
              <w:rPr>
                <w:rFonts w:ascii="Arial" w:hAnsi="Arial" w:cs="Arial"/>
                <w:b/>
                <w:bCs/>
                <w:color w:val="0B0C0C"/>
                <w:sz w:val="24"/>
                <w:lang w:eastAsia="en-GB"/>
              </w:rPr>
            </w:pPr>
            <w:r w:rsidRPr="0B23DE20">
              <w:rPr>
                <w:rFonts w:ascii="Arial" w:hAnsi="Arial" w:cs="Arial"/>
                <w:b/>
                <w:bCs/>
                <w:color w:val="0B0C0C"/>
                <w:sz w:val="24"/>
                <w:lang w:eastAsia="en-GB"/>
              </w:rPr>
              <w:t>200</w:t>
            </w:r>
            <w:r w:rsidR="008102E2" w:rsidRPr="0B23DE20">
              <w:rPr>
                <w:rFonts w:ascii="Arial" w:hAnsi="Arial" w:cs="Arial"/>
                <w:b/>
                <w:bCs/>
                <w:color w:val="0B0C0C"/>
                <w:sz w:val="24"/>
                <w:lang w:eastAsia="en-GB"/>
              </w:rPr>
              <w:t xml:space="preserve"> to </w:t>
            </w:r>
            <w:r w:rsidRPr="0B23DE20">
              <w:rPr>
                <w:rFonts w:ascii="Arial" w:hAnsi="Arial" w:cs="Arial"/>
                <w:b/>
                <w:bCs/>
                <w:color w:val="0B0C0C"/>
                <w:sz w:val="24"/>
                <w:lang w:eastAsia="en-GB"/>
              </w:rPr>
              <w:t>249</w:t>
            </w:r>
          </w:p>
        </w:tc>
        <w:tc>
          <w:tcPr>
            <w:tcW w:w="2126" w:type="dxa"/>
            <w:tcBorders>
              <w:bottom w:val="single" w:sz="6" w:space="0" w:color="B1B4B6"/>
            </w:tcBorders>
            <w:shd w:val="clear" w:color="auto" w:fill="FFFFFF" w:themeFill="background1"/>
            <w:tcMar>
              <w:top w:w="150" w:type="dxa"/>
              <w:left w:w="0" w:type="dxa"/>
              <w:bottom w:w="150" w:type="dxa"/>
              <w:right w:w="300" w:type="dxa"/>
            </w:tcMar>
            <w:hideMark/>
          </w:tcPr>
          <w:p w14:paraId="268C48FA" w14:textId="77777777" w:rsidR="000B243F" w:rsidRPr="000B243F" w:rsidRDefault="000B243F" w:rsidP="00D97B57">
            <w:pPr>
              <w:spacing w:before="450" w:after="450" w:line="240" w:lineRule="auto"/>
              <w:jc w:val="right"/>
              <w:rPr>
                <w:rFonts w:ascii="Arial" w:hAnsi="Arial" w:cs="Arial"/>
                <w:color w:val="0B0C0C"/>
                <w:sz w:val="24"/>
                <w:lang w:eastAsia="en-GB"/>
              </w:rPr>
            </w:pPr>
            <w:r w:rsidRPr="000B243F">
              <w:rPr>
                <w:rFonts w:ascii="Arial" w:hAnsi="Arial" w:cs="Arial"/>
                <w:color w:val="0B0C0C"/>
                <w:sz w:val="24"/>
                <w:lang w:eastAsia="en-GB"/>
              </w:rPr>
              <w:t>27,200</w:t>
            </w:r>
          </w:p>
        </w:tc>
        <w:tc>
          <w:tcPr>
            <w:tcW w:w="2268" w:type="dxa"/>
            <w:tcBorders>
              <w:bottom w:val="single" w:sz="6" w:space="0" w:color="B1B4B6"/>
            </w:tcBorders>
            <w:shd w:val="clear" w:color="auto" w:fill="FFFFFF" w:themeFill="background1"/>
            <w:tcMar>
              <w:top w:w="150" w:type="dxa"/>
              <w:left w:w="0" w:type="dxa"/>
              <w:bottom w:w="150" w:type="dxa"/>
              <w:right w:w="300" w:type="dxa"/>
            </w:tcMar>
            <w:hideMark/>
          </w:tcPr>
          <w:p w14:paraId="6ED85C55" w14:textId="77777777" w:rsidR="000B243F" w:rsidRPr="000B243F" w:rsidRDefault="000B243F" w:rsidP="00D97B57">
            <w:pPr>
              <w:spacing w:before="450" w:after="450" w:line="240" w:lineRule="auto"/>
              <w:jc w:val="right"/>
              <w:rPr>
                <w:rFonts w:ascii="Arial" w:hAnsi="Arial" w:cs="Arial"/>
                <w:color w:val="0B0C0C"/>
                <w:sz w:val="24"/>
                <w:lang w:eastAsia="en-GB"/>
              </w:rPr>
            </w:pPr>
            <w:r w:rsidRPr="000B243F">
              <w:rPr>
                <w:rFonts w:ascii="Arial" w:hAnsi="Arial" w:cs="Arial"/>
                <w:color w:val="0B0C0C"/>
                <w:sz w:val="24"/>
                <w:lang w:eastAsia="en-GB"/>
              </w:rPr>
              <w:t>16,000</w:t>
            </w:r>
          </w:p>
        </w:tc>
        <w:tc>
          <w:tcPr>
            <w:tcW w:w="2268" w:type="dxa"/>
            <w:tcBorders>
              <w:bottom w:val="single" w:sz="6" w:space="0" w:color="B1B4B6"/>
            </w:tcBorders>
            <w:shd w:val="clear" w:color="auto" w:fill="FFFFFF" w:themeFill="background1"/>
            <w:tcMar>
              <w:top w:w="150" w:type="dxa"/>
              <w:left w:w="0" w:type="dxa"/>
              <w:bottom w:w="150" w:type="dxa"/>
              <w:right w:w="0" w:type="dxa"/>
            </w:tcMar>
            <w:hideMark/>
          </w:tcPr>
          <w:p w14:paraId="7D5B2DF3" w14:textId="77777777" w:rsidR="000B243F" w:rsidRPr="000B243F" w:rsidRDefault="000B243F" w:rsidP="00D97B57">
            <w:pPr>
              <w:spacing w:before="450" w:after="450" w:line="240" w:lineRule="auto"/>
              <w:jc w:val="right"/>
              <w:rPr>
                <w:rFonts w:ascii="Arial" w:hAnsi="Arial" w:cs="Arial"/>
                <w:color w:val="0B0C0C"/>
                <w:sz w:val="24"/>
                <w:lang w:eastAsia="en-GB"/>
              </w:rPr>
            </w:pPr>
            <w:r w:rsidRPr="000B243F">
              <w:rPr>
                <w:rFonts w:ascii="Arial" w:hAnsi="Arial" w:cs="Arial"/>
                <w:color w:val="0B0C0C"/>
                <w:sz w:val="24"/>
                <w:lang w:eastAsia="en-GB"/>
              </w:rPr>
              <w:t>16,000</w:t>
            </w:r>
          </w:p>
        </w:tc>
      </w:tr>
      <w:tr w:rsidR="000B243F" w:rsidRPr="000B243F" w14:paraId="55E9BCB4" w14:textId="77777777" w:rsidTr="0B23DE20">
        <w:tc>
          <w:tcPr>
            <w:tcW w:w="1701" w:type="dxa"/>
            <w:tcBorders>
              <w:bottom w:val="single" w:sz="6" w:space="0" w:color="B1B4B6"/>
            </w:tcBorders>
            <w:shd w:val="clear" w:color="auto" w:fill="FFFFFF" w:themeFill="background1"/>
            <w:tcMar>
              <w:top w:w="150" w:type="dxa"/>
              <w:left w:w="0" w:type="dxa"/>
              <w:bottom w:w="150" w:type="dxa"/>
              <w:right w:w="300" w:type="dxa"/>
            </w:tcMar>
            <w:hideMark/>
          </w:tcPr>
          <w:p w14:paraId="1F483255" w14:textId="3C8C428C" w:rsidR="000B243F" w:rsidRPr="000B243F" w:rsidRDefault="000B243F" w:rsidP="0B23DE20">
            <w:pPr>
              <w:spacing w:before="450" w:after="450" w:line="240" w:lineRule="auto"/>
              <w:rPr>
                <w:rFonts w:ascii="Arial" w:hAnsi="Arial" w:cs="Arial"/>
                <w:b/>
                <w:bCs/>
                <w:color w:val="0B0C0C"/>
                <w:sz w:val="24"/>
                <w:lang w:eastAsia="en-GB"/>
              </w:rPr>
            </w:pPr>
            <w:r w:rsidRPr="0B23DE20">
              <w:rPr>
                <w:rFonts w:ascii="Arial" w:hAnsi="Arial" w:cs="Arial"/>
                <w:b/>
                <w:bCs/>
                <w:color w:val="0B0C0C"/>
                <w:sz w:val="24"/>
                <w:lang w:eastAsia="en-GB"/>
              </w:rPr>
              <w:t>250</w:t>
            </w:r>
            <w:r w:rsidR="008102E2" w:rsidRPr="0B23DE20">
              <w:rPr>
                <w:rFonts w:ascii="Arial" w:hAnsi="Arial" w:cs="Arial"/>
                <w:b/>
                <w:bCs/>
                <w:color w:val="0B0C0C"/>
                <w:sz w:val="24"/>
                <w:lang w:eastAsia="en-GB"/>
              </w:rPr>
              <w:t xml:space="preserve"> to </w:t>
            </w:r>
            <w:r w:rsidRPr="0B23DE20">
              <w:rPr>
                <w:rFonts w:ascii="Arial" w:hAnsi="Arial" w:cs="Arial"/>
                <w:b/>
                <w:bCs/>
                <w:color w:val="0B0C0C"/>
                <w:sz w:val="24"/>
                <w:lang w:eastAsia="en-GB"/>
              </w:rPr>
              <w:t>299</w:t>
            </w:r>
          </w:p>
        </w:tc>
        <w:tc>
          <w:tcPr>
            <w:tcW w:w="2126" w:type="dxa"/>
            <w:tcBorders>
              <w:bottom w:val="single" w:sz="6" w:space="0" w:color="B1B4B6"/>
            </w:tcBorders>
            <w:shd w:val="clear" w:color="auto" w:fill="FFFFFF" w:themeFill="background1"/>
            <w:tcMar>
              <w:top w:w="150" w:type="dxa"/>
              <w:left w:w="0" w:type="dxa"/>
              <w:bottom w:w="150" w:type="dxa"/>
              <w:right w:w="300" w:type="dxa"/>
            </w:tcMar>
            <w:hideMark/>
          </w:tcPr>
          <w:p w14:paraId="2FBFAE10" w14:textId="77777777" w:rsidR="000B243F" w:rsidRPr="000B243F" w:rsidRDefault="000B243F" w:rsidP="00D97B57">
            <w:pPr>
              <w:spacing w:before="450" w:after="450" w:line="240" w:lineRule="auto"/>
              <w:jc w:val="right"/>
              <w:rPr>
                <w:rFonts w:ascii="Arial" w:hAnsi="Arial" w:cs="Arial"/>
                <w:color w:val="0B0C0C"/>
                <w:sz w:val="24"/>
                <w:lang w:eastAsia="en-GB"/>
              </w:rPr>
            </w:pPr>
            <w:r w:rsidRPr="000B243F">
              <w:rPr>
                <w:rFonts w:ascii="Arial" w:hAnsi="Arial" w:cs="Arial"/>
                <w:color w:val="0B0C0C"/>
                <w:sz w:val="24"/>
                <w:lang w:eastAsia="en-GB"/>
              </w:rPr>
              <w:t>34,000</w:t>
            </w:r>
          </w:p>
        </w:tc>
        <w:tc>
          <w:tcPr>
            <w:tcW w:w="2268" w:type="dxa"/>
            <w:tcBorders>
              <w:bottom w:val="single" w:sz="6" w:space="0" w:color="B1B4B6"/>
            </w:tcBorders>
            <w:shd w:val="clear" w:color="auto" w:fill="FFFFFF" w:themeFill="background1"/>
            <w:tcMar>
              <w:top w:w="150" w:type="dxa"/>
              <w:left w:w="0" w:type="dxa"/>
              <w:bottom w:w="150" w:type="dxa"/>
              <w:right w:w="300" w:type="dxa"/>
            </w:tcMar>
            <w:hideMark/>
          </w:tcPr>
          <w:p w14:paraId="678564B7" w14:textId="77777777" w:rsidR="000B243F" w:rsidRPr="000B243F" w:rsidRDefault="000B243F" w:rsidP="00D97B57">
            <w:pPr>
              <w:spacing w:before="450" w:after="450" w:line="240" w:lineRule="auto"/>
              <w:jc w:val="right"/>
              <w:rPr>
                <w:rFonts w:ascii="Arial" w:hAnsi="Arial" w:cs="Arial"/>
                <w:color w:val="0B0C0C"/>
                <w:sz w:val="24"/>
                <w:lang w:eastAsia="en-GB"/>
              </w:rPr>
            </w:pPr>
            <w:r w:rsidRPr="000B243F">
              <w:rPr>
                <w:rFonts w:ascii="Arial" w:hAnsi="Arial" w:cs="Arial"/>
                <w:color w:val="0B0C0C"/>
                <w:sz w:val="24"/>
                <w:lang w:eastAsia="en-GB"/>
              </w:rPr>
              <w:t>20,000</w:t>
            </w:r>
          </w:p>
        </w:tc>
        <w:tc>
          <w:tcPr>
            <w:tcW w:w="2268" w:type="dxa"/>
            <w:tcBorders>
              <w:bottom w:val="single" w:sz="6" w:space="0" w:color="B1B4B6"/>
            </w:tcBorders>
            <w:shd w:val="clear" w:color="auto" w:fill="FFFFFF" w:themeFill="background1"/>
            <w:tcMar>
              <w:top w:w="150" w:type="dxa"/>
              <w:left w:w="0" w:type="dxa"/>
              <w:bottom w:w="150" w:type="dxa"/>
              <w:right w:w="0" w:type="dxa"/>
            </w:tcMar>
            <w:hideMark/>
          </w:tcPr>
          <w:p w14:paraId="0375B692" w14:textId="77777777" w:rsidR="000B243F" w:rsidRPr="000B243F" w:rsidRDefault="000B243F" w:rsidP="00D97B57">
            <w:pPr>
              <w:spacing w:before="450" w:after="450" w:line="240" w:lineRule="auto"/>
              <w:jc w:val="right"/>
              <w:rPr>
                <w:rFonts w:ascii="Arial" w:hAnsi="Arial" w:cs="Arial"/>
                <w:color w:val="0B0C0C"/>
                <w:sz w:val="24"/>
                <w:lang w:eastAsia="en-GB"/>
              </w:rPr>
            </w:pPr>
            <w:r w:rsidRPr="000B243F">
              <w:rPr>
                <w:rFonts w:ascii="Arial" w:hAnsi="Arial" w:cs="Arial"/>
                <w:color w:val="0B0C0C"/>
                <w:sz w:val="24"/>
                <w:lang w:eastAsia="en-GB"/>
              </w:rPr>
              <w:t>20,000</w:t>
            </w:r>
          </w:p>
        </w:tc>
      </w:tr>
      <w:tr w:rsidR="000B243F" w:rsidRPr="000B243F" w14:paraId="594D2CC8" w14:textId="77777777" w:rsidTr="0B23DE20">
        <w:tc>
          <w:tcPr>
            <w:tcW w:w="1701" w:type="dxa"/>
            <w:tcBorders>
              <w:bottom w:val="single" w:sz="6" w:space="0" w:color="B1B4B6"/>
            </w:tcBorders>
            <w:shd w:val="clear" w:color="auto" w:fill="FFFFFF" w:themeFill="background1"/>
            <w:tcMar>
              <w:top w:w="150" w:type="dxa"/>
              <w:left w:w="0" w:type="dxa"/>
              <w:bottom w:w="150" w:type="dxa"/>
              <w:right w:w="300" w:type="dxa"/>
            </w:tcMar>
            <w:hideMark/>
          </w:tcPr>
          <w:p w14:paraId="02F9320A" w14:textId="535EEE47" w:rsidR="000B243F" w:rsidRPr="000B243F" w:rsidRDefault="000B243F" w:rsidP="0B23DE20">
            <w:pPr>
              <w:spacing w:before="450" w:after="450" w:line="240" w:lineRule="auto"/>
              <w:rPr>
                <w:rFonts w:ascii="Arial" w:hAnsi="Arial" w:cs="Arial"/>
                <w:b/>
                <w:bCs/>
                <w:color w:val="0B0C0C"/>
                <w:sz w:val="24"/>
                <w:lang w:eastAsia="en-GB"/>
              </w:rPr>
            </w:pPr>
            <w:r w:rsidRPr="0B23DE20">
              <w:rPr>
                <w:rFonts w:ascii="Arial" w:hAnsi="Arial" w:cs="Arial"/>
                <w:b/>
                <w:bCs/>
                <w:color w:val="0B0C0C"/>
                <w:sz w:val="24"/>
                <w:lang w:eastAsia="en-GB"/>
              </w:rPr>
              <w:lastRenderedPageBreak/>
              <w:t>300</w:t>
            </w:r>
            <w:r w:rsidR="008102E2" w:rsidRPr="0B23DE20">
              <w:rPr>
                <w:rFonts w:ascii="Arial" w:hAnsi="Arial" w:cs="Arial"/>
                <w:b/>
                <w:bCs/>
                <w:color w:val="0B0C0C"/>
                <w:sz w:val="24"/>
                <w:lang w:eastAsia="en-GB"/>
              </w:rPr>
              <w:t xml:space="preserve"> to </w:t>
            </w:r>
            <w:r w:rsidRPr="0B23DE20">
              <w:rPr>
                <w:rFonts w:ascii="Arial" w:hAnsi="Arial" w:cs="Arial"/>
                <w:b/>
                <w:bCs/>
                <w:color w:val="0B0C0C"/>
                <w:sz w:val="24"/>
                <w:lang w:eastAsia="en-GB"/>
              </w:rPr>
              <w:t>349</w:t>
            </w:r>
          </w:p>
        </w:tc>
        <w:tc>
          <w:tcPr>
            <w:tcW w:w="2126" w:type="dxa"/>
            <w:tcBorders>
              <w:bottom w:val="single" w:sz="6" w:space="0" w:color="B1B4B6"/>
            </w:tcBorders>
            <w:shd w:val="clear" w:color="auto" w:fill="FFFFFF" w:themeFill="background1"/>
            <w:tcMar>
              <w:top w:w="150" w:type="dxa"/>
              <w:left w:w="0" w:type="dxa"/>
              <w:bottom w:w="150" w:type="dxa"/>
              <w:right w:w="300" w:type="dxa"/>
            </w:tcMar>
            <w:hideMark/>
          </w:tcPr>
          <w:p w14:paraId="2D016BA5" w14:textId="77777777" w:rsidR="000B243F" w:rsidRPr="000B243F" w:rsidRDefault="000B243F" w:rsidP="00D97B57">
            <w:pPr>
              <w:spacing w:before="450" w:after="450" w:line="240" w:lineRule="auto"/>
              <w:jc w:val="right"/>
              <w:rPr>
                <w:rFonts w:ascii="Arial" w:hAnsi="Arial" w:cs="Arial"/>
                <w:color w:val="0B0C0C"/>
                <w:sz w:val="24"/>
                <w:lang w:eastAsia="en-GB"/>
              </w:rPr>
            </w:pPr>
            <w:r w:rsidRPr="000B243F">
              <w:rPr>
                <w:rFonts w:ascii="Arial" w:hAnsi="Arial" w:cs="Arial"/>
                <w:color w:val="0B0C0C"/>
                <w:sz w:val="24"/>
                <w:lang w:eastAsia="en-GB"/>
              </w:rPr>
              <w:t>40,800</w:t>
            </w:r>
          </w:p>
        </w:tc>
        <w:tc>
          <w:tcPr>
            <w:tcW w:w="2268" w:type="dxa"/>
            <w:tcBorders>
              <w:bottom w:val="single" w:sz="6" w:space="0" w:color="B1B4B6"/>
            </w:tcBorders>
            <w:shd w:val="clear" w:color="auto" w:fill="FFFFFF" w:themeFill="background1"/>
            <w:tcMar>
              <w:top w:w="150" w:type="dxa"/>
              <w:left w:w="0" w:type="dxa"/>
              <w:bottom w:w="150" w:type="dxa"/>
              <w:right w:w="300" w:type="dxa"/>
            </w:tcMar>
            <w:hideMark/>
          </w:tcPr>
          <w:p w14:paraId="2A8B73C2" w14:textId="77777777" w:rsidR="000B243F" w:rsidRPr="000B243F" w:rsidRDefault="000B243F" w:rsidP="00D97B57">
            <w:pPr>
              <w:spacing w:before="450" w:after="450" w:line="240" w:lineRule="auto"/>
              <w:jc w:val="right"/>
              <w:rPr>
                <w:rFonts w:ascii="Arial" w:hAnsi="Arial" w:cs="Arial"/>
                <w:color w:val="0B0C0C"/>
                <w:sz w:val="24"/>
                <w:lang w:eastAsia="en-GB"/>
              </w:rPr>
            </w:pPr>
            <w:r w:rsidRPr="000B243F">
              <w:rPr>
                <w:rFonts w:ascii="Arial" w:hAnsi="Arial" w:cs="Arial"/>
                <w:color w:val="0B0C0C"/>
                <w:sz w:val="24"/>
                <w:lang w:eastAsia="en-GB"/>
              </w:rPr>
              <w:t>24,000</w:t>
            </w:r>
          </w:p>
        </w:tc>
        <w:tc>
          <w:tcPr>
            <w:tcW w:w="2268" w:type="dxa"/>
            <w:tcBorders>
              <w:bottom w:val="single" w:sz="6" w:space="0" w:color="B1B4B6"/>
            </w:tcBorders>
            <w:shd w:val="clear" w:color="auto" w:fill="FFFFFF" w:themeFill="background1"/>
            <w:tcMar>
              <w:top w:w="150" w:type="dxa"/>
              <w:left w:w="0" w:type="dxa"/>
              <w:bottom w:w="150" w:type="dxa"/>
              <w:right w:w="0" w:type="dxa"/>
            </w:tcMar>
            <w:hideMark/>
          </w:tcPr>
          <w:p w14:paraId="42E4A9A6" w14:textId="77777777" w:rsidR="000B243F" w:rsidRPr="000B243F" w:rsidRDefault="000B243F" w:rsidP="00D97B57">
            <w:pPr>
              <w:spacing w:before="450" w:after="450" w:line="240" w:lineRule="auto"/>
              <w:jc w:val="right"/>
              <w:rPr>
                <w:rFonts w:ascii="Arial" w:hAnsi="Arial" w:cs="Arial"/>
                <w:color w:val="0B0C0C"/>
                <w:sz w:val="24"/>
                <w:lang w:eastAsia="en-GB"/>
              </w:rPr>
            </w:pPr>
            <w:r w:rsidRPr="000B243F">
              <w:rPr>
                <w:rFonts w:ascii="Arial" w:hAnsi="Arial" w:cs="Arial"/>
                <w:color w:val="0B0C0C"/>
                <w:sz w:val="24"/>
                <w:lang w:eastAsia="en-GB"/>
              </w:rPr>
              <w:t>24,000</w:t>
            </w:r>
          </w:p>
        </w:tc>
      </w:tr>
      <w:tr w:rsidR="000B243F" w:rsidRPr="000B243F" w14:paraId="37325372" w14:textId="77777777" w:rsidTr="0B23DE20">
        <w:tc>
          <w:tcPr>
            <w:tcW w:w="1701" w:type="dxa"/>
            <w:tcBorders>
              <w:bottom w:val="single" w:sz="6" w:space="0" w:color="B1B4B6"/>
            </w:tcBorders>
            <w:shd w:val="clear" w:color="auto" w:fill="FFFFFF" w:themeFill="background1"/>
            <w:tcMar>
              <w:top w:w="150" w:type="dxa"/>
              <w:left w:w="0" w:type="dxa"/>
              <w:bottom w:w="150" w:type="dxa"/>
              <w:right w:w="300" w:type="dxa"/>
            </w:tcMar>
            <w:hideMark/>
          </w:tcPr>
          <w:p w14:paraId="00BBC895" w14:textId="630991C8" w:rsidR="000B243F" w:rsidRPr="000B243F" w:rsidRDefault="000B243F" w:rsidP="0B23DE20">
            <w:pPr>
              <w:spacing w:before="450" w:after="450" w:line="240" w:lineRule="auto"/>
              <w:rPr>
                <w:rFonts w:ascii="Arial" w:hAnsi="Arial" w:cs="Arial"/>
                <w:b/>
                <w:bCs/>
                <w:color w:val="0B0C0C"/>
                <w:sz w:val="24"/>
                <w:lang w:eastAsia="en-GB"/>
              </w:rPr>
            </w:pPr>
            <w:r w:rsidRPr="0B23DE20">
              <w:rPr>
                <w:rFonts w:ascii="Arial" w:hAnsi="Arial" w:cs="Arial"/>
                <w:b/>
                <w:bCs/>
                <w:color w:val="0B0C0C"/>
                <w:sz w:val="24"/>
                <w:lang w:eastAsia="en-GB"/>
              </w:rPr>
              <w:t>350</w:t>
            </w:r>
            <w:r w:rsidR="008102E2" w:rsidRPr="0B23DE20">
              <w:rPr>
                <w:rFonts w:ascii="Arial" w:hAnsi="Arial" w:cs="Arial"/>
                <w:b/>
                <w:bCs/>
                <w:color w:val="0B0C0C"/>
                <w:sz w:val="24"/>
                <w:lang w:eastAsia="en-GB"/>
              </w:rPr>
              <w:t xml:space="preserve"> to </w:t>
            </w:r>
            <w:r w:rsidRPr="0B23DE20">
              <w:rPr>
                <w:rFonts w:ascii="Arial" w:hAnsi="Arial" w:cs="Arial"/>
                <w:b/>
                <w:bCs/>
                <w:color w:val="0B0C0C"/>
                <w:sz w:val="24"/>
                <w:lang w:eastAsia="en-GB"/>
              </w:rPr>
              <w:t>399</w:t>
            </w:r>
          </w:p>
        </w:tc>
        <w:tc>
          <w:tcPr>
            <w:tcW w:w="2126" w:type="dxa"/>
            <w:tcBorders>
              <w:bottom w:val="single" w:sz="6" w:space="0" w:color="B1B4B6"/>
            </w:tcBorders>
            <w:shd w:val="clear" w:color="auto" w:fill="FFFFFF" w:themeFill="background1"/>
            <w:tcMar>
              <w:top w:w="150" w:type="dxa"/>
              <w:left w:w="0" w:type="dxa"/>
              <w:bottom w:w="150" w:type="dxa"/>
              <w:right w:w="300" w:type="dxa"/>
            </w:tcMar>
            <w:hideMark/>
          </w:tcPr>
          <w:p w14:paraId="3F0A9A07" w14:textId="77777777" w:rsidR="000B243F" w:rsidRPr="000B243F" w:rsidRDefault="000B243F" w:rsidP="00D97B57">
            <w:pPr>
              <w:spacing w:before="450" w:after="450" w:line="240" w:lineRule="auto"/>
              <w:jc w:val="right"/>
              <w:rPr>
                <w:rFonts w:ascii="Arial" w:hAnsi="Arial" w:cs="Arial"/>
                <w:color w:val="0B0C0C"/>
                <w:sz w:val="24"/>
                <w:lang w:eastAsia="en-GB"/>
              </w:rPr>
            </w:pPr>
            <w:r w:rsidRPr="000B243F">
              <w:rPr>
                <w:rFonts w:ascii="Arial" w:hAnsi="Arial" w:cs="Arial"/>
                <w:color w:val="0B0C0C"/>
                <w:sz w:val="24"/>
                <w:lang w:eastAsia="en-GB"/>
              </w:rPr>
              <w:t>47,600</w:t>
            </w:r>
          </w:p>
        </w:tc>
        <w:tc>
          <w:tcPr>
            <w:tcW w:w="2268" w:type="dxa"/>
            <w:tcBorders>
              <w:bottom w:val="single" w:sz="6" w:space="0" w:color="B1B4B6"/>
            </w:tcBorders>
            <w:shd w:val="clear" w:color="auto" w:fill="FFFFFF" w:themeFill="background1"/>
            <w:tcMar>
              <w:top w:w="150" w:type="dxa"/>
              <w:left w:w="0" w:type="dxa"/>
              <w:bottom w:w="150" w:type="dxa"/>
              <w:right w:w="300" w:type="dxa"/>
            </w:tcMar>
            <w:hideMark/>
          </w:tcPr>
          <w:p w14:paraId="14C3C43B" w14:textId="77777777" w:rsidR="000B243F" w:rsidRPr="000B243F" w:rsidRDefault="000B243F" w:rsidP="00D97B57">
            <w:pPr>
              <w:spacing w:before="450" w:after="450" w:line="240" w:lineRule="auto"/>
              <w:jc w:val="right"/>
              <w:rPr>
                <w:rFonts w:ascii="Arial" w:hAnsi="Arial" w:cs="Arial"/>
                <w:color w:val="0B0C0C"/>
                <w:sz w:val="24"/>
                <w:lang w:eastAsia="en-GB"/>
              </w:rPr>
            </w:pPr>
            <w:r w:rsidRPr="000B243F">
              <w:rPr>
                <w:rFonts w:ascii="Arial" w:hAnsi="Arial" w:cs="Arial"/>
                <w:color w:val="0B0C0C"/>
                <w:sz w:val="24"/>
                <w:lang w:eastAsia="en-GB"/>
              </w:rPr>
              <w:t>28,000</w:t>
            </w:r>
          </w:p>
        </w:tc>
        <w:tc>
          <w:tcPr>
            <w:tcW w:w="2268" w:type="dxa"/>
            <w:tcBorders>
              <w:bottom w:val="single" w:sz="6" w:space="0" w:color="B1B4B6"/>
            </w:tcBorders>
            <w:shd w:val="clear" w:color="auto" w:fill="FFFFFF" w:themeFill="background1"/>
            <w:tcMar>
              <w:top w:w="150" w:type="dxa"/>
              <w:left w:w="0" w:type="dxa"/>
              <w:bottom w:w="150" w:type="dxa"/>
              <w:right w:w="0" w:type="dxa"/>
            </w:tcMar>
            <w:hideMark/>
          </w:tcPr>
          <w:p w14:paraId="354BC787" w14:textId="77777777" w:rsidR="000B243F" w:rsidRPr="000B243F" w:rsidRDefault="000B243F" w:rsidP="00D97B57">
            <w:pPr>
              <w:spacing w:before="450" w:after="450" w:line="240" w:lineRule="auto"/>
              <w:jc w:val="right"/>
              <w:rPr>
                <w:rFonts w:ascii="Arial" w:hAnsi="Arial" w:cs="Arial"/>
                <w:color w:val="0B0C0C"/>
                <w:sz w:val="24"/>
                <w:lang w:eastAsia="en-GB"/>
              </w:rPr>
            </w:pPr>
            <w:r w:rsidRPr="000B243F">
              <w:rPr>
                <w:rFonts w:ascii="Arial" w:hAnsi="Arial" w:cs="Arial"/>
                <w:color w:val="0B0C0C"/>
                <w:sz w:val="24"/>
                <w:lang w:eastAsia="en-GB"/>
              </w:rPr>
              <w:t>28,000</w:t>
            </w:r>
          </w:p>
        </w:tc>
      </w:tr>
      <w:tr w:rsidR="000B243F" w:rsidRPr="000B243F" w14:paraId="10B54EC4" w14:textId="77777777" w:rsidTr="0B23DE20">
        <w:tc>
          <w:tcPr>
            <w:tcW w:w="1701" w:type="dxa"/>
            <w:tcBorders>
              <w:bottom w:val="single" w:sz="6" w:space="0" w:color="B1B4B6"/>
            </w:tcBorders>
            <w:shd w:val="clear" w:color="auto" w:fill="FFFFFF" w:themeFill="background1"/>
            <w:tcMar>
              <w:top w:w="150" w:type="dxa"/>
              <w:left w:w="0" w:type="dxa"/>
              <w:bottom w:w="150" w:type="dxa"/>
              <w:right w:w="300" w:type="dxa"/>
            </w:tcMar>
            <w:hideMark/>
          </w:tcPr>
          <w:p w14:paraId="20B8083E" w14:textId="5272469C" w:rsidR="000B243F" w:rsidRPr="000B243F" w:rsidRDefault="000B243F" w:rsidP="0B23DE20">
            <w:pPr>
              <w:spacing w:before="450" w:after="450" w:line="240" w:lineRule="auto"/>
              <w:rPr>
                <w:rFonts w:ascii="Arial" w:hAnsi="Arial" w:cs="Arial"/>
                <w:b/>
                <w:bCs/>
                <w:color w:val="0B0C0C"/>
                <w:sz w:val="24"/>
                <w:lang w:eastAsia="en-GB"/>
              </w:rPr>
            </w:pPr>
            <w:r w:rsidRPr="0B23DE20">
              <w:rPr>
                <w:rFonts w:ascii="Arial" w:hAnsi="Arial" w:cs="Arial"/>
                <w:b/>
                <w:bCs/>
                <w:color w:val="0B0C0C"/>
                <w:sz w:val="24"/>
                <w:lang w:eastAsia="en-GB"/>
              </w:rPr>
              <w:t>400</w:t>
            </w:r>
            <w:r w:rsidR="008102E2" w:rsidRPr="0B23DE20">
              <w:rPr>
                <w:rFonts w:ascii="Arial" w:hAnsi="Arial" w:cs="Arial"/>
                <w:b/>
                <w:bCs/>
                <w:color w:val="0B0C0C"/>
                <w:sz w:val="24"/>
                <w:lang w:eastAsia="en-GB"/>
              </w:rPr>
              <w:t xml:space="preserve"> to </w:t>
            </w:r>
            <w:r w:rsidRPr="0B23DE20">
              <w:rPr>
                <w:rFonts w:ascii="Arial" w:hAnsi="Arial" w:cs="Arial"/>
                <w:b/>
                <w:bCs/>
                <w:color w:val="0B0C0C"/>
                <w:sz w:val="24"/>
                <w:lang w:eastAsia="en-GB"/>
              </w:rPr>
              <w:t>449</w:t>
            </w:r>
          </w:p>
        </w:tc>
        <w:tc>
          <w:tcPr>
            <w:tcW w:w="2126" w:type="dxa"/>
            <w:tcBorders>
              <w:bottom w:val="single" w:sz="6" w:space="0" w:color="B1B4B6"/>
            </w:tcBorders>
            <w:shd w:val="clear" w:color="auto" w:fill="FFFFFF" w:themeFill="background1"/>
            <w:tcMar>
              <w:top w:w="150" w:type="dxa"/>
              <w:left w:w="0" w:type="dxa"/>
              <w:bottom w:w="150" w:type="dxa"/>
              <w:right w:w="300" w:type="dxa"/>
            </w:tcMar>
            <w:hideMark/>
          </w:tcPr>
          <w:p w14:paraId="4F210578" w14:textId="77777777" w:rsidR="000B243F" w:rsidRPr="000B243F" w:rsidRDefault="000B243F" w:rsidP="00D97B57">
            <w:pPr>
              <w:spacing w:before="450" w:after="450" w:line="240" w:lineRule="auto"/>
              <w:jc w:val="right"/>
              <w:rPr>
                <w:rFonts w:ascii="Arial" w:hAnsi="Arial" w:cs="Arial"/>
                <w:color w:val="0B0C0C"/>
                <w:sz w:val="24"/>
                <w:lang w:eastAsia="en-GB"/>
              </w:rPr>
            </w:pPr>
            <w:r w:rsidRPr="000B243F">
              <w:rPr>
                <w:rFonts w:ascii="Arial" w:hAnsi="Arial" w:cs="Arial"/>
                <w:color w:val="0B0C0C"/>
                <w:sz w:val="24"/>
                <w:lang w:eastAsia="en-GB"/>
              </w:rPr>
              <w:t>54,400</w:t>
            </w:r>
          </w:p>
        </w:tc>
        <w:tc>
          <w:tcPr>
            <w:tcW w:w="2268" w:type="dxa"/>
            <w:tcBorders>
              <w:bottom w:val="single" w:sz="6" w:space="0" w:color="B1B4B6"/>
            </w:tcBorders>
            <w:shd w:val="clear" w:color="auto" w:fill="FFFFFF" w:themeFill="background1"/>
            <w:tcMar>
              <w:top w:w="150" w:type="dxa"/>
              <w:left w:w="0" w:type="dxa"/>
              <w:bottom w:w="150" w:type="dxa"/>
              <w:right w:w="300" w:type="dxa"/>
            </w:tcMar>
            <w:hideMark/>
          </w:tcPr>
          <w:p w14:paraId="40DBA95B" w14:textId="77777777" w:rsidR="000B243F" w:rsidRPr="000B243F" w:rsidRDefault="000B243F" w:rsidP="00D97B57">
            <w:pPr>
              <w:spacing w:before="450" w:after="450" w:line="240" w:lineRule="auto"/>
              <w:jc w:val="right"/>
              <w:rPr>
                <w:rFonts w:ascii="Arial" w:hAnsi="Arial" w:cs="Arial"/>
                <w:color w:val="0B0C0C"/>
                <w:sz w:val="24"/>
                <w:lang w:eastAsia="en-GB"/>
              </w:rPr>
            </w:pPr>
            <w:r w:rsidRPr="000B243F">
              <w:rPr>
                <w:rFonts w:ascii="Arial" w:hAnsi="Arial" w:cs="Arial"/>
                <w:color w:val="0B0C0C"/>
                <w:sz w:val="24"/>
                <w:lang w:eastAsia="en-GB"/>
              </w:rPr>
              <w:t>32,000</w:t>
            </w:r>
          </w:p>
        </w:tc>
        <w:tc>
          <w:tcPr>
            <w:tcW w:w="2268" w:type="dxa"/>
            <w:tcBorders>
              <w:bottom w:val="single" w:sz="6" w:space="0" w:color="B1B4B6"/>
            </w:tcBorders>
            <w:shd w:val="clear" w:color="auto" w:fill="FFFFFF" w:themeFill="background1"/>
            <w:tcMar>
              <w:top w:w="150" w:type="dxa"/>
              <w:left w:w="0" w:type="dxa"/>
              <w:bottom w:w="150" w:type="dxa"/>
              <w:right w:w="0" w:type="dxa"/>
            </w:tcMar>
            <w:hideMark/>
          </w:tcPr>
          <w:p w14:paraId="45FCDCF4" w14:textId="77777777" w:rsidR="000B243F" w:rsidRPr="000B243F" w:rsidRDefault="000B243F" w:rsidP="00D97B57">
            <w:pPr>
              <w:spacing w:before="450" w:after="450" w:line="240" w:lineRule="auto"/>
              <w:jc w:val="right"/>
              <w:rPr>
                <w:rFonts w:ascii="Arial" w:hAnsi="Arial" w:cs="Arial"/>
                <w:color w:val="0B0C0C"/>
                <w:sz w:val="24"/>
                <w:lang w:eastAsia="en-GB"/>
              </w:rPr>
            </w:pPr>
            <w:r w:rsidRPr="000B243F">
              <w:rPr>
                <w:rFonts w:ascii="Arial" w:hAnsi="Arial" w:cs="Arial"/>
                <w:color w:val="0B0C0C"/>
                <w:sz w:val="24"/>
                <w:lang w:eastAsia="en-GB"/>
              </w:rPr>
              <w:t>32,000</w:t>
            </w:r>
          </w:p>
        </w:tc>
      </w:tr>
      <w:tr w:rsidR="000B243F" w:rsidRPr="000B243F" w14:paraId="62346D83" w14:textId="77777777" w:rsidTr="0B23DE20">
        <w:tc>
          <w:tcPr>
            <w:tcW w:w="1701" w:type="dxa"/>
            <w:tcBorders>
              <w:bottom w:val="single" w:sz="6" w:space="0" w:color="B1B4B6"/>
            </w:tcBorders>
            <w:shd w:val="clear" w:color="auto" w:fill="FFFFFF" w:themeFill="background1"/>
            <w:tcMar>
              <w:top w:w="150" w:type="dxa"/>
              <w:left w:w="0" w:type="dxa"/>
              <w:bottom w:w="150" w:type="dxa"/>
              <w:right w:w="300" w:type="dxa"/>
            </w:tcMar>
            <w:hideMark/>
          </w:tcPr>
          <w:p w14:paraId="169B6BAE" w14:textId="374FFCA1" w:rsidR="000B243F" w:rsidRPr="000B243F" w:rsidRDefault="000B243F" w:rsidP="0B23DE20">
            <w:pPr>
              <w:spacing w:before="450" w:after="450" w:line="240" w:lineRule="auto"/>
              <w:rPr>
                <w:rFonts w:ascii="Arial" w:hAnsi="Arial" w:cs="Arial"/>
                <w:b/>
                <w:bCs/>
                <w:color w:val="0B0C0C"/>
                <w:sz w:val="24"/>
                <w:lang w:eastAsia="en-GB"/>
              </w:rPr>
            </w:pPr>
            <w:r w:rsidRPr="0B23DE20">
              <w:rPr>
                <w:rFonts w:ascii="Arial" w:hAnsi="Arial" w:cs="Arial"/>
                <w:b/>
                <w:bCs/>
                <w:color w:val="0B0C0C"/>
                <w:sz w:val="24"/>
                <w:lang w:eastAsia="en-GB"/>
              </w:rPr>
              <w:t>450</w:t>
            </w:r>
            <w:r w:rsidR="008102E2" w:rsidRPr="0B23DE20">
              <w:rPr>
                <w:rFonts w:ascii="Arial" w:hAnsi="Arial" w:cs="Arial"/>
                <w:b/>
                <w:bCs/>
                <w:color w:val="0B0C0C"/>
                <w:sz w:val="24"/>
                <w:lang w:eastAsia="en-GB"/>
              </w:rPr>
              <w:t xml:space="preserve"> to </w:t>
            </w:r>
            <w:r w:rsidRPr="0B23DE20">
              <w:rPr>
                <w:rFonts w:ascii="Arial" w:hAnsi="Arial" w:cs="Arial"/>
                <w:b/>
                <w:bCs/>
                <w:color w:val="0B0C0C"/>
                <w:sz w:val="24"/>
                <w:lang w:eastAsia="en-GB"/>
              </w:rPr>
              <w:t>499</w:t>
            </w:r>
          </w:p>
        </w:tc>
        <w:tc>
          <w:tcPr>
            <w:tcW w:w="2126" w:type="dxa"/>
            <w:tcBorders>
              <w:bottom w:val="single" w:sz="6" w:space="0" w:color="B1B4B6"/>
            </w:tcBorders>
            <w:shd w:val="clear" w:color="auto" w:fill="FFFFFF" w:themeFill="background1"/>
            <w:tcMar>
              <w:top w:w="150" w:type="dxa"/>
              <w:left w:w="0" w:type="dxa"/>
              <w:bottom w:w="150" w:type="dxa"/>
              <w:right w:w="300" w:type="dxa"/>
            </w:tcMar>
            <w:hideMark/>
          </w:tcPr>
          <w:p w14:paraId="637EA7B5" w14:textId="77777777" w:rsidR="000B243F" w:rsidRPr="000B243F" w:rsidRDefault="000B243F" w:rsidP="00D97B57">
            <w:pPr>
              <w:spacing w:before="450" w:after="450" w:line="240" w:lineRule="auto"/>
              <w:jc w:val="right"/>
              <w:rPr>
                <w:rFonts w:ascii="Arial" w:hAnsi="Arial" w:cs="Arial"/>
                <w:color w:val="0B0C0C"/>
                <w:sz w:val="24"/>
                <w:lang w:eastAsia="en-GB"/>
              </w:rPr>
            </w:pPr>
            <w:r w:rsidRPr="000B243F">
              <w:rPr>
                <w:rFonts w:ascii="Arial" w:hAnsi="Arial" w:cs="Arial"/>
                <w:color w:val="0B0C0C"/>
                <w:sz w:val="24"/>
                <w:lang w:eastAsia="en-GB"/>
              </w:rPr>
              <w:t>61,200</w:t>
            </w:r>
          </w:p>
        </w:tc>
        <w:tc>
          <w:tcPr>
            <w:tcW w:w="2268" w:type="dxa"/>
            <w:tcBorders>
              <w:bottom w:val="single" w:sz="6" w:space="0" w:color="B1B4B6"/>
            </w:tcBorders>
            <w:shd w:val="clear" w:color="auto" w:fill="FFFFFF" w:themeFill="background1"/>
            <w:tcMar>
              <w:top w:w="150" w:type="dxa"/>
              <w:left w:w="0" w:type="dxa"/>
              <w:bottom w:w="150" w:type="dxa"/>
              <w:right w:w="300" w:type="dxa"/>
            </w:tcMar>
            <w:hideMark/>
          </w:tcPr>
          <w:p w14:paraId="0CF4BF1F" w14:textId="77777777" w:rsidR="000B243F" w:rsidRPr="000B243F" w:rsidRDefault="000B243F" w:rsidP="00D97B57">
            <w:pPr>
              <w:spacing w:before="450" w:after="450" w:line="240" w:lineRule="auto"/>
              <w:jc w:val="right"/>
              <w:rPr>
                <w:rFonts w:ascii="Arial" w:hAnsi="Arial" w:cs="Arial"/>
                <w:color w:val="0B0C0C"/>
                <w:sz w:val="24"/>
                <w:lang w:eastAsia="en-GB"/>
              </w:rPr>
            </w:pPr>
            <w:r w:rsidRPr="000B243F">
              <w:rPr>
                <w:rFonts w:ascii="Arial" w:hAnsi="Arial" w:cs="Arial"/>
                <w:color w:val="0B0C0C"/>
                <w:sz w:val="24"/>
                <w:lang w:eastAsia="en-GB"/>
              </w:rPr>
              <w:t>36,000</w:t>
            </w:r>
          </w:p>
        </w:tc>
        <w:tc>
          <w:tcPr>
            <w:tcW w:w="2268" w:type="dxa"/>
            <w:tcBorders>
              <w:bottom w:val="single" w:sz="6" w:space="0" w:color="B1B4B6"/>
            </w:tcBorders>
            <w:shd w:val="clear" w:color="auto" w:fill="FFFFFF" w:themeFill="background1"/>
            <w:tcMar>
              <w:top w:w="150" w:type="dxa"/>
              <w:left w:w="0" w:type="dxa"/>
              <w:bottom w:w="150" w:type="dxa"/>
              <w:right w:w="0" w:type="dxa"/>
            </w:tcMar>
            <w:hideMark/>
          </w:tcPr>
          <w:p w14:paraId="2454BF1C" w14:textId="77777777" w:rsidR="000B243F" w:rsidRPr="000B243F" w:rsidRDefault="000B243F" w:rsidP="00D97B57">
            <w:pPr>
              <w:spacing w:before="450" w:after="450" w:line="240" w:lineRule="auto"/>
              <w:jc w:val="right"/>
              <w:rPr>
                <w:rFonts w:ascii="Arial" w:hAnsi="Arial" w:cs="Arial"/>
                <w:color w:val="0B0C0C"/>
                <w:sz w:val="24"/>
                <w:lang w:eastAsia="en-GB"/>
              </w:rPr>
            </w:pPr>
            <w:r w:rsidRPr="000B243F">
              <w:rPr>
                <w:rFonts w:ascii="Arial" w:hAnsi="Arial" w:cs="Arial"/>
                <w:color w:val="0B0C0C"/>
                <w:sz w:val="24"/>
                <w:lang w:eastAsia="en-GB"/>
              </w:rPr>
              <w:t>36,000</w:t>
            </w:r>
          </w:p>
        </w:tc>
      </w:tr>
      <w:tr w:rsidR="000B243F" w:rsidRPr="000B243F" w14:paraId="5879B4A7" w14:textId="77777777" w:rsidTr="0B23DE20">
        <w:tc>
          <w:tcPr>
            <w:tcW w:w="1701" w:type="dxa"/>
            <w:tcBorders>
              <w:bottom w:val="single" w:sz="6" w:space="0" w:color="B1B4B6"/>
            </w:tcBorders>
            <w:shd w:val="clear" w:color="auto" w:fill="FFFFFF" w:themeFill="background1"/>
            <w:tcMar>
              <w:top w:w="150" w:type="dxa"/>
              <w:left w:w="0" w:type="dxa"/>
              <w:bottom w:w="150" w:type="dxa"/>
              <w:right w:w="300" w:type="dxa"/>
            </w:tcMar>
            <w:hideMark/>
          </w:tcPr>
          <w:p w14:paraId="105A1A5A" w14:textId="77777777" w:rsidR="000B243F" w:rsidRPr="000B243F" w:rsidRDefault="000B243F" w:rsidP="00D97B57">
            <w:pPr>
              <w:spacing w:before="450" w:after="450" w:line="240" w:lineRule="auto"/>
              <w:rPr>
                <w:rFonts w:ascii="Arial" w:hAnsi="Arial" w:cs="Arial"/>
                <w:b/>
                <w:bCs/>
                <w:color w:val="0B0C0C"/>
                <w:sz w:val="24"/>
                <w:lang w:eastAsia="en-GB"/>
              </w:rPr>
            </w:pPr>
            <w:r w:rsidRPr="000B243F">
              <w:rPr>
                <w:rFonts w:ascii="Arial" w:hAnsi="Arial" w:cs="Arial"/>
                <w:b/>
                <w:bCs/>
                <w:color w:val="0B0C0C"/>
                <w:sz w:val="24"/>
                <w:lang w:eastAsia="en-GB"/>
              </w:rPr>
              <w:t>More than 500</w:t>
            </w:r>
          </w:p>
        </w:tc>
        <w:tc>
          <w:tcPr>
            <w:tcW w:w="2126" w:type="dxa"/>
            <w:tcBorders>
              <w:bottom w:val="single" w:sz="6" w:space="0" w:color="B1B4B6"/>
            </w:tcBorders>
            <w:shd w:val="clear" w:color="auto" w:fill="FFFFFF" w:themeFill="background1"/>
            <w:tcMar>
              <w:top w:w="150" w:type="dxa"/>
              <w:left w:w="0" w:type="dxa"/>
              <w:bottom w:w="150" w:type="dxa"/>
              <w:right w:w="300" w:type="dxa"/>
            </w:tcMar>
            <w:hideMark/>
          </w:tcPr>
          <w:p w14:paraId="6BB1A76A" w14:textId="77777777" w:rsidR="000B243F" w:rsidRPr="000B243F" w:rsidRDefault="000B243F" w:rsidP="00D97B57">
            <w:pPr>
              <w:spacing w:before="450" w:after="450" w:line="240" w:lineRule="auto"/>
              <w:jc w:val="right"/>
              <w:rPr>
                <w:rFonts w:ascii="Arial" w:hAnsi="Arial" w:cs="Arial"/>
                <w:color w:val="0B0C0C"/>
                <w:sz w:val="24"/>
                <w:lang w:eastAsia="en-GB"/>
              </w:rPr>
            </w:pPr>
            <w:r w:rsidRPr="000B243F">
              <w:rPr>
                <w:rFonts w:ascii="Arial" w:hAnsi="Arial" w:cs="Arial"/>
                <w:color w:val="0B0C0C"/>
                <w:sz w:val="24"/>
                <w:lang w:eastAsia="en-GB"/>
              </w:rPr>
              <w:t>68,000</w:t>
            </w:r>
          </w:p>
        </w:tc>
        <w:tc>
          <w:tcPr>
            <w:tcW w:w="2268" w:type="dxa"/>
            <w:tcBorders>
              <w:bottom w:val="single" w:sz="6" w:space="0" w:color="B1B4B6"/>
            </w:tcBorders>
            <w:shd w:val="clear" w:color="auto" w:fill="FFFFFF" w:themeFill="background1"/>
            <w:tcMar>
              <w:top w:w="150" w:type="dxa"/>
              <w:left w:w="0" w:type="dxa"/>
              <w:bottom w:w="150" w:type="dxa"/>
              <w:right w:w="300" w:type="dxa"/>
            </w:tcMar>
            <w:hideMark/>
          </w:tcPr>
          <w:p w14:paraId="19707A9B" w14:textId="77777777" w:rsidR="000B243F" w:rsidRPr="000B243F" w:rsidRDefault="000B243F" w:rsidP="00D97B57">
            <w:pPr>
              <w:spacing w:before="450" w:after="450" w:line="240" w:lineRule="auto"/>
              <w:jc w:val="right"/>
              <w:rPr>
                <w:rFonts w:ascii="Arial" w:hAnsi="Arial" w:cs="Arial"/>
                <w:color w:val="0B0C0C"/>
                <w:sz w:val="24"/>
                <w:lang w:eastAsia="en-GB"/>
              </w:rPr>
            </w:pPr>
            <w:r w:rsidRPr="000B243F">
              <w:rPr>
                <w:rFonts w:ascii="Arial" w:hAnsi="Arial" w:cs="Arial"/>
                <w:color w:val="0B0C0C"/>
                <w:sz w:val="24"/>
                <w:lang w:eastAsia="en-GB"/>
              </w:rPr>
              <w:t>40,000</w:t>
            </w:r>
          </w:p>
        </w:tc>
        <w:tc>
          <w:tcPr>
            <w:tcW w:w="2268" w:type="dxa"/>
            <w:tcBorders>
              <w:bottom w:val="single" w:sz="6" w:space="0" w:color="B1B4B6"/>
            </w:tcBorders>
            <w:shd w:val="clear" w:color="auto" w:fill="FFFFFF" w:themeFill="background1"/>
            <w:tcMar>
              <w:top w:w="150" w:type="dxa"/>
              <w:left w:w="0" w:type="dxa"/>
              <w:bottom w:w="150" w:type="dxa"/>
              <w:right w:w="0" w:type="dxa"/>
            </w:tcMar>
            <w:hideMark/>
          </w:tcPr>
          <w:p w14:paraId="0B1C51C5" w14:textId="77777777" w:rsidR="000B243F" w:rsidRPr="000B243F" w:rsidRDefault="000B243F" w:rsidP="00D97B57">
            <w:pPr>
              <w:spacing w:before="450" w:after="450" w:line="240" w:lineRule="auto"/>
              <w:jc w:val="right"/>
              <w:rPr>
                <w:rFonts w:ascii="Arial" w:hAnsi="Arial" w:cs="Arial"/>
                <w:color w:val="0B0C0C"/>
                <w:sz w:val="24"/>
                <w:lang w:eastAsia="en-GB"/>
              </w:rPr>
            </w:pPr>
            <w:r w:rsidRPr="000B243F">
              <w:rPr>
                <w:rFonts w:ascii="Arial" w:hAnsi="Arial" w:cs="Arial"/>
                <w:color w:val="0B0C0C"/>
                <w:sz w:val="24"/>
                <w:lang w:eastAsia="en-GB"/>
              </w:rPr>
              <w:t>40,000</w:t>
            </w:r>
          </w:p>
        </w:tc>
      </w:tr>
    </w:tbl>
    <w:p w14:paraId="601D8E6E" w14:textId="77777777" w:rsidR="00CB54DA" w:rsidRDefault="00CB54DA" w:rsidP="00DC36AF">
      <w:pPr>
        <w:pStyle w:val="Bullet1"/>
        <w:numPr>
          <w:ilvl w:val="0"/>
          <w:numId w:val="0"/>
        </w:numPr>
        <w:ind w:left="680"/>
        <w:rPr>
          <w:sz w:val="24"/>
          <w:szCs w:val="32"/>
        </w:rPr>
      </w:pPr>
    </w:p>
    <w:p w14:paraId="0605E21A" w14:textId="22B95E57" w:rsidR="00210399" w:rsidRPr="00210399" w:rsidRDefault="00210399" w:rsidP="00210399">
      <w:pPr>
        <w:pStyle w:val="Bullet1"/>
        <w:rPr>
          <w:sz w:val="24"/>
          <w:szCs w:val="32"/>
        </w:rPr>
      </w:pPr>
      <w:r>
        <w:rPr>
          <w:sz w:val="24"/>
          <w:szCs w:val="32"/>
        </w:rPr>
        <w:t>If constructing pipe bedding y</w:t>
      </w:r>
      <w:r w:rsidRPr="00210399">
        <w:rPr>
          <w:sz w:val="24"/>
          <w:szCs w:val="32"/>
        </w:rPr>
        <w:t>ou must:</w:t>
      </w:r>
    </w:p>
    <w:p w14:paraId="16514425" w14:textId="37727EBE" w:rsidR="00210399" w:rsidRPr="00210399" w:rsidRDefault="00210399" w:rsidP="00210399">
      <w:pPr>
        <w:pStyle w:val="Bullet1"/>
        <w:numPr>
          <w:ilvl w:val="0"/>
          <w:numId w:val="0"/>
        </w:numPr>
        <w:ind w:left="680"/>
        <w:rPr>
          <w:sz w:val="24"/>
          <w:szCs w:val="32"/>
        </w:rPr>
      </w:pPr>
      <w:r>
        <w:rPr>
          <w:sz w:val="24"/>
          <w:szCs w:val="32"/>
        </w:rPr>
        <w:t>(a)</w:t>
      </w:r>
      <w:r w:rsidRPr="00210399">
        <w:rPr>
          <w:sz w:val="24"/>
          <w:szCs w:val="32"/>
        </w:rPr>
        <w:t xml:space="preserve"> ensure the pipe bedding is less than 0.3m thick in a trench less than 2m wide.</w:t>
      </w:r>
    </w:p>
    <w:p w14:paraId="46AFEF3F" w14:textId="65010926" w:rsidR="00210399" w:rsidRPr="00210399" w:rsidRDefault="00210399" w:rsidP="00210399">
      <w:pPr>
        <w:pStyle w:val="Bullet1"/>
        <w:numPr>
          <w:ilvl w:val="0"/>
          <w:numId w:val="0"/>
        </w:numPr>
        <w:ind w:left="680"/>
        <w:rPr>
          <w:sz w:val="24"/>
          <w:szCs w:val="32"/>
        </w:rPr>
      </w:pPr>
      <w:r>
        <w:rPr>
          <w:sz w:val="24"/>
          <w:szCs w:val="32"/>
        </w:rPr>
        <w:t>(b)</w:t>
      </w:r>
      <w:r w:rsidRPr="00210399">
        <w:rPr>
          <w:sz w:val="24"/>
          <w:szCs w:val="32"/>
        </w:rPr>
        <w:t xml:space="preserve"> ensure the pipe sits on and is surrounded with the pipe bedding and is not a drainage medium. </w:t>
      </w:r>
    </w:p>
    <w:p w14:paraId="2B49FAE6" w14:textId="1C421993" w:rsidR="003E53DC" w:rsidRPr="001C65C6" w:rsidRDefault="00210399" w:rsidP="00210399">
      <w:pPr>
        <w:pStyle w:val="Bullet1"/>
        <w:numPr>
          <w:ilvl w:val="0"/>
          <w:numId w:val="0"/>
        </w:numPr>
        <w:ind w:left="680"/>
      </w:pPr>
      <w:r>
        <w:rPr>
          <w:sz w:val="24"/>
          <w:szCs w:val="32"/>
        </w:rPr>
        <w:t xml:space="preserve">(c) </w:t>
      </w:r>
      <w:r w:rsidRPr="00210399">
        <w:rPr>
          <w:sz w:val="24"/>
          <w:szCs w:val="32"/>
        </w:rPr>
        <w:t>ensure a low permeability surface is used with adequate falls to prevent standing water</w:t>
      </w:r>
    </w:p>
    <w:p w14:paraId="2C74233E" w14:textId="77777777" w:rsidR="000F30A9" w:rsidRPr="001C65C6" w:rsidRDefault="000F30A9" w:rsidP="000F30A9">
      <w:pPr>
        <w:pStyle w:val="Bullet0"/>
        <w:keepNext/>
      </w:pPr>
      <w:r w:rsidRPr="001C65C6">
        <w:t>The site</w:t>
      </w:r>
    </w:p>
    <w:p w14:paraId="7E78B931" w14:textId="77777777" w:rsidR="000F30A9" w:rsidRPr="00853C2C" w:rsidRDefault="000F30A9" w:rsidP="000F30A9">
      <w:pPr>
        <w:pStyle w:val="Bullet1"/>
        <w:rPr>
          <w:sz w:val="24"/>
        </w:rPr>
      </w:pPr>
      <w:r w:rsidRPr="00853C2C">
        <w:rPr>
          <w:sz w:val="24"/>
        </w:rPr>
        <w:t>The activities shall not extend beyond the site, being the land shown edged in green on the site plan attached to the permit.</w:t>
      </w:r>
    </w:p>
    <w:p w14:paraId="78658B6D" w14:textId="52CE4B93" w:rsidR="000F30A9" w:rsidRPr="00853C2C" w:rsidRDefault="000F30A9" w:rsidP="000F30A9">
      <w:pPr>
        <w:pStyle w:val="Bullet1"/>
        <w:rPr>
          <w:rStyle w:val="Red"/>
          <w:color w:val="auto"/>
          <w:sz w:val="24"/>
        </w:rPr>
      </w:pPr>
      <w:r w:rsidRPr="00853C2C">
        <w:rPr>
          <w:rStyle w:val="Red"/>
          <w:color w:val="auto"/>
          <w:sz w:val="24"/>
        </w:rPr>
        <w:lastRenderedPageBreak/>
        <w:t>The activities shall not be carried out:</w:t>
      </w:r>
    </w:p>
    <w:p w14:paraId="05B798E0" w14:textId="3EEA45A5" w:rsidR="0071660F" w:rsidRDefault="00EB075A" w:rsidP="0071660F">
      <w:pPr>
        <w:pStyle w:val="aBullet"/>
        <w:numPr>
          <w:ilvl w:val="3"/>
          <w:numId w:val="43"/>
        </w:numPr>
        <w:shd w:val="clear" w:color="auto" w:fill="FFFFFF"/>
        <w:spacing w:before="0" w:after="75" w:line="240" w:lineRule="auto"/>
        <w:rPr>
          <w:rFonts w:ascii="Arial" w:hAnsi="Arial" w:cs="Arial"/>
          <w:color w:val="0B0C0C"/>
          <w:sz w:val="24"/>
          <w:lang w:eastAsia="en-GB"/>
        </w:rPr>
      </w:pPr>
      <w:bookmarkStart w:id="8" w:name="_Hlk165539863"/>
      <w:bookmarkStart w:id="9" w:name="_Hlk165549058"/>
      <w:r>
        <w:rPr>
          <w:rFonts w:ascii="Arial" w:hAnsi="Arial" w:cs="Arial"/>
          <w:color w:val="0B0C0C"/>
          <w:sz w:val="24"/>
          <w:lang w:eastAsia="en-GB"/>
        </w:rPr>
        <w:t xml:space="preserve">within </w:t>
      </w:r>
      <w:r w:rsidR="0071660F" w:rsidRPr="00242BAF">
        <w:rPr>
          <w:rFonts w:ascii="Arial" w:hAnsi="Arial" w:cs="Arial"/>
          <w:color w:val="0B0C0C"/>
          <w:sz w:val="24"/>
          <w:lang w:eastAsia="en-GB"/>
        </w:rPr>
        <w:t>500 metres of a European site, Ramsar, Site of Special Scientific Interest or Marine Conservation Zone</w:t>
      </w:r>
    </w:p>
    <w:p w14:paraId="26C393AB" w14:textId="4A5F9A40" w:rsidR="00EB075A" w:rsidRPr="00242BAF" w:rsidRDefault="00EB075A" w:rsidP="0071660F">
      <w:pPr>
        <w:pStyle w:val="aBullet"/>
        <w:numPr>
          <w:ilvl w:val="3"/>
          <w:numId w:val="43"/>
        </w:numPr>
        <w:shd w:val="clear" w:color="auto" w:fill="FFFFFF"/>
        <w:spacing w:before="0" w:after="75" w:line="240" w:lineRule="auto"/>
        <w:rPr>
          <w:rFonts w:ascii="Arial" w:hAnsi="Arial" w:cs="Arial"/>
          <w:color w:val="0B0C0C"/>
          <w:sz w:val="24"/>
          <w:lang w:eastAsia="en-GB"/>
        </w:rPr>
      </w:pPr>
      <w:r>
        <w:rPr>
          <w:rFonts w:ascii="Arial" w:hAnsi="Arial" w:cs="Arial"/>
          <w:color w:val="0B0C0C"/>
          <w:sz w:val="24"/>
          <w:lang w:eastAsia="en-GB"/>
        </w:rPr>
        <w:t xml:space="preserve">within </w:t>
      </w:r>
      <w:r w:rsidRPr="00EB075A">
        <w:rPr>
          <w:rFonts w:ascii="Arial" w:hAnsi="Arial" w:cs="Arial"/>
          <w:color w:val="0B0C0C"/>
          <w:sz w:val="24"/>
          <w:lang w:eastAsia="en-GB"/>
        </w:rPr>
        <w:t>250 metres of the presence of Great Crested Newts where the site is linked by good habitat to the breeding ponds of the newts</w:t>
      </w:r>
    </w:p>
    <w:p w14:paraId="7FC643F5" w14:textId="680E9409" w:rsidR="0071660F" w:rsidRPr="00242BAF" w:rsidRDefault="00EB075A" w:rsidP="0071660F">
      <w:pPr>
        <w:pStyle w:val="aBullet"/>
        <w:numPr>
          <w:ilvl w:val="3"/>
          <w:numId w:val="43"/>
        </w:numPr>
        <w:shd w:val="clear" w:color="auto" w:fill="FFFFFF"/>
        <w:spacing w:before="0" w:after="75" w:line="240" w:lineRule="auto"/>
        <w:rPr>
          <w:rFonts w:ascii="Arial" w:hAnsi="Arial" w:cs="Arial"/>
          <w:color w:val="0B0C0C"/>
          <w:sz w:val="24"/>
          <w:lang w:eastAsia="en-GB"/>
        </w:rPr>
      </w:pPr>
      <w:r>
        <w:rPr>
          <w:rFonts w:ascii="Arial" w:hAnsi="Arial" w:cs="Arial"/>
          <w:color w:val="0B0C0C"/>
          <w:sz w:val="24"/>
          <w:lang w:eastAsia="en-GB"/>
        </w:rPr>
        <w:t xml:space="preserve">within </w:t>
      </w:r>
      <w:r w:rsidR="0071660F" w:rsidRPr="00242BAF">
        <w:rPr>
          <w:rFonts w:ascii="Arial" w:hAnsi="Arial" w:cs="Arial"/>
          <w:color w:val="0B0C0C"/>
          <w:sz w:val="24"/>
          <w:lang w:eastAsia="en-GB"/>
        </w:rPr>
        <w:t>50 metres of a National Nature Reserve, Local Nature Reserve, Local Wildlife Site, Ancient Woodland or Scheduled Ancient Monument</w:t>
      </w:r>
    </w:p>
    <w:p w14:paraId="1C2D96D7" w14:textId="1D9A8AA5" w:rsidR="0071660F" w:rsidRPr="00242BAF" w:rsidRDefault="00EB075A" w:rsidP="0071660F">
      <w:pPr>
        <w:pStyle w:val="aBullet"/>
        <w:numPr>
          <w:ilvl w:val="3"/>
          <w:numId w:val="43"/>
        </w:numPr>
        <w:shd w:val="clear" w:color="auto" w:fill="FFFFFF"/>
        <w:spacing w:before="0" w:after="75" w:line="240" w:lineRule="auto"/>
        <w:rPr>
          <w:rFonts w:ascii="Arial" w:hAnsi="Arial" w:cs="Arial"/>
          <w:color w:val="0B0C0C"/>
          <w:sz w:val="24"/>
          <w:lang w:eastAsia="en-GB"/>
        </w:rPr>
      </w:pPr>
      <w:r>
        <w:rPr>
          <w:rFonts w:ascii="Arial" w:hAnsi="Arial" w:cs="Arial"/>
          <w:color w:val="0B0C0C"/>
          <w:sz w:val="24"/>
          <w:lang w:eastAsia="en-GB"/>
        </w:rPr>
        <w:t xml:space="preserve">within </w:t>
      </w:r>
      <w:r w:rsidR="0071660F" w:rsidRPr="00242BAF">
        <w:rPr>
          <w:rFonts w:ascii="Arial" w:hAnsi="Arial" w:cs="Arial"/>
          <w:color w:val="0B0C0C"/>
          <w:sz w:val="24"/>
          <w:lang w:eastAsia="en-GB"/>
        </w:rPr>
        <w:t>50 metres of a site that has species or habitats protected under the Biodiversity Action Plan that the Environment Agency considers at risk from this activity</w:t>
      </w:r>
    </w:p>
    <w:p w14:paraId="1628E8EC" w14:textId="37909796" w:rsidR="0071660F" w:rsidRPr="00242BAF" w:rsidRDefault="00EB075A" w:rsidP="0071660F">
      <w:pPr>
        <w:pStyle w:val="aBullet"/>
        <w:numPr>
          <w:ilvl w:val="3"/>
          <w:numId w:val="43"/>
        </w:numPr>
        <w:shd w:val="clear" w:color="auto" w:fill="FFFFFF"/>
        <w:spacing w:before="0" w:after="75" w:line="240" w:lineRule="auto"/>
        <w:rPr>
          <w:rFonts w:ascii="Arial" w:hAnsi="Arial" w:cs="Arial"/>
          <w:color w:val="0B0C0C"/>
          <w:sz w:val="24"/>
          <w:lang w:eastAsia="en-GB"/>
        </w:rPr>
      </w:pPr>
      <w:r>
        <w:rPr>
          <w:rFonts w:ascii="Arial" w:hAnsi="Arial" w:cs="Arial"/>
          <w:color w:val="0B0C0C"/>
          <w:sz w:val="24"/>
          <w:lang w:eastAsia="en-GB"/>
        </w:rPr>
        <w:t xml:space="preserve">within </w:t>
      </w:r>
      <w:r w:rsidR="0071660F" w:rsidRPr="00242BAF">
        <w:rPr>
          <w:rFonts w:ascii="Arial" w:hAnsi="Arial" w:cs="Arial"/>
          <w:color w:val="0B0C0C"/>
          <w:sz w:val="24"/>
          <w:lang w:eastAsia="en-GB"/>
        </w:rPr>
        <w:t>2</w:t>
      </w:r>
      <w:r w:rsidR="00CB0406">
        <w:rPr>
          <w:rFonts w:ascii="Arial" w:hAnsi="Arial" w:cs="Arial"/>
          <w:color w:val="0B0C0C"/>
          <w:sz w:val="24"/>
          <w:lang w:eastAsia="en-GB"/>
        </w:rPr>
        <w:t>5</w:t>
      </w:r>
      <w:r w:rsidR="0071660F" w:rsidRPr="00242BAF">
        <w:rPr>
          <w:rFonts w:ascii="Arial" w:hAnsi="Arial" w:cs="Arial"/>
          <w:color w:val="0B0C0C"/>
          <w:sz w:val="24"/>
          <w:lang w:eastAsia="en-GB"/>
        </w:rPr>
        <w:t xml:space="preserve"> metres of a </w:t>
      </w:r>
      <w:proofErr w:type="gramStart"/>
      <w:r w:rsidR="0071660F" w:rsidRPr="00242BAF">
        <w:rPr>
          <w:rFonts w:ascii="Arial" w:hAnsi="Arial" w:cs="Arial"/>
          <w:color w:val="0B0C0C"/>
          <w:sz w:val="24"/>
          <w:lang w:eastAsia="en-GB"/>
        </w:rPr>
        <w:t>watercourse;</w:t>
      </w:r>
      <w:proofErr w:type="gramEnd"/>
    </w:p>
    <w:p w14:paraId="48B6B1FF" w14:textId="669E4653" w:rsidR="0071660F" w:rsidRPr="00242BAF" w:rsidRDefault="00EB075A" w:rsidP="0071660F">
      <w:pPr>
        <w:pStyle w:val="aBullet"/>
        <w:numPr>
          <w:ilvl w:val="3"/>
          <w:numId w:val="43"/>
        </w:numPr>
        <w:shd w:val="clear" w:color="auto" w:fill="FFFFFF"/>
        <w:spacing w:before="0" w:after="75" w:line="240" w:lineRule="auto"/>
        <w:rPr>
          <w:rFonts w:ascii="Arial" w:hAnsi="Arial" w:cs="Arial"/>
          <w:color w:val="0B0C0C"/>
          <w:sz w:val="24"/>
          <w:lang w:eastAsia="en-GB"/>
        </w:rPr>
      </w:pPr>
      <w:r>
        <w:rPr>
          <w:rFonts w:ascii="Arial" w:hAnsi="Arial" w:cs="Arial"/>
          <w:color w:val="0B0C0C"/>
          <w:sz w:val="24"/>
          <w:lang w:eastAsia="en-GB"/>
        </w:rPr>
        <w:t xml:space="preserve">within </w:t>
      </w:r>
      <w:r w:rsidR="0071660F" w:rsidRPr="00242BAF">
        <w:rPr>
          <w:rFonts w:ascii="Arial" w:hAnsi="Arial" w:cs="Arial"/>
          <w:color w:val="0B0C0C"/>
          <w:sz w:val="24"/>
          <w:lang w:eastAsia="en-GB"/>
        </w:rPr>
        <w:t xml:space="preserve">a groundwater source protection zone 1 and 2, or where a source protection zone has not been defined, then not within </w:t>
      </w:r>
      <w:r>
        <w:rPr>
          <w:rFonts w:ascii="Arial" w:hAnsi="Arial" w:cs="Arial"/>
          <w:color w:val="0B0C0C"/>
          <w:sz w:val="24"/>
          <w:lang w:eastAsia="en-GB"/>
        </w:rPr>
        <w:t>250</w:t>
      </w:r>
      <w:r w:rsidR="0071660F" w:rsidRPr="00242BAF">
        <w:rPr>
          <w:rFonts w:ascii="Arial" w:hAnsi="Arial" w:cs="Arial"/>
          <w:color w:val="0B0C0C"/>
          <w:sz w:val="24"/>
          <w:lang w:eastAsia="en-GB"/>
        </w:rPr>
        <w:t xml:space="preserve"> metres of any well, spring or borehole used for the supply of water for human consumption (including private water supplies)</w:t>
      </w:r>
    </w:p>
    <w:p w14:paraId="65079B4F" w14:textId="77777777" w:rsidR="0071660F" w:rsidRDefault="0071660F" w:rsidP="636FD7E3">
      <w:pPr>
        <w:pStyle w:val="aBullet"/>
        <w:numPr>
          <w:ilvl w:val="3"/>
          <w:numId w:val="43"/>
        </w:numPr>
        <w:shd w:val="clear" w:color="auto" w:fill="FFFFFF" w:themeFill="background1"/>
        <w:spacing w:before="0" w:after="75" w:line="240" w:lineRule="auto"/>
        <w:rPr>
          <w:rFonts w:ascii="Arial" w:hAnsi="Arial" w:cs="Arial"/>
          <w:color w:val="0B0C0C"/>
          <w:sz w:val="24"/>
          <w:lang w:eastAsia="en-GB"/>
        </w:rPr>
      </w:pPr>
      <w:r w:rsidRPr="636FD7E3">
        <w:rPr>
          <w:rFonts w:ascii="Arial" w:hAnsi="Arial" w:cs="Arial"/>
          <w:color w:val="0B0C0C"/>
          <w:sz w:val="24"/>
          <w:lang w:eastAsia="en-GB"/>
        </w:rPr>
        <w:t>on any landfill whether historical, closed, or operational</w:t>
      </w:r>
    </w:p>
    <w:p w14:paraId="1CE4F223" w14:textId="54373561" w:rsidR="0071660F" w:rsidRPr="0071660F" w:rsidRDefault="0071660F" w:rsidP="0071660F">
      <w:pPr>
        <w:pStyle w:val="aBullet"/>
        <w:numPr>
          <w:ilvl w:val="3"/>
          <w:numId w:val="43"/>
        </w:numPr>
        <w:shd w:val="clear" w:color="auto" w:fill="FFFFFF"/>
        <w:spacing w:before="0" w:after="75" w:line="240" w:lineRule="auto"/>
        <w:rPr>
          <w:rFonts w:ascii="Arial" w:hAnsi="Arial" w:cs="Arial"/>
          <w:color w:val="0B0C0C"/>
          <w:sz w:val="24"/>
          <w:lang w:eastAsia="en-GB"/>
        </w:rPr>
      </w:pPr>
      <w:r w:rsidRPr="0071660F">
        <w:rPr>
          <w:rFonts w:ascii="Arial" w:hAnsi="Arial" w:cs="Arial"/>
          <w:color w:val="0B0C0C"/>
          <w:sz w:val="24"/>
          <w:lang w:eastAsia="en-GB"/>
        </w:rPr>
        <w:t>within a specified Air Quality Management Area for particulate matter less than 10 microns (PM10)</w:t>
      </w:r>
    </w:p>
    <w:bookmarkEnd w:id="8"/>
    <w:bookmarkEnd w:id="9"/>
    <w:p w14:paraId="61615C9B" w14:textId="59011784" w:rsidR="003B01D9" w:rsidRPr="00242BAF" w:rsidRDefault="003B01D9" w:rsidP="003B01D9">
      <w:pPr>
        <w:pStyle w:val="Bullet0"/>
        <w:rPr>
          <w:rStyle w:val="Pink"/>
          <w:color w:val="auto"/>
          <w:szCs w:val="22"/>
        </w:rPr>
      </w:pPr>
      <w:r w:rsidRPr="00242BAF">
        <w:rPr>
          <w:rStyle w:val="Pink"/>
          <w:color w:val="auto"/>
          <w:szCs w:val="22"/>
        </w:rPr>
        <w:t>Waste acceptance procedures</w:t>
      </w:r>
    </w:p>
    <w:p w14:paraId="65F598FF" w14:textId="740609C4" w:rsidR="003B01D9" w:rsidRPr="007F6867" w:rsidRDefault="003B01D9" w:rsidP="003B01D9">
      <w:pPr>
        <w:pStyle w:val="Bullet1"/>
        <w:rPr>
          <w:sz w:val="24"/>
        </w:rPr>
      </w:pPr>
      <w:bookmarkStart w:id="10" w:name="_Hlk168661463"/>
      <w:r w:rsidRPr="007F6867">
        <w:rPr>
          <w:sz w:val="24"/>
        </w:rPr>
        <w:t>The operator shall obtain, as a minimum, the following information about the characteristics of each waste stream prior to receiving the waste at the site</w:t>
      </w:r>
      <w:bookmarkEnd w:id="10"/>
      <w:r w:rsidRPr="007F6867">
        <w:rPr>
          <w:sz w:val="24"/>
        </w:rPr>
        <w:t>:</w:t>
      </w:r>
    </w:p>
    <w:p w14:paraId="407C1A34" w14:textId="5EEF3F3A" w:rsidR="003B01D9" w:rsidRPr="007F6867" w:rsidRDefault="00C8449C" w:rsidP="003B01D9">
      <w:pPr>
        <w:pStyle w:val="aBullet"/>
        <w:rPr>
          <w:sz w:val="24"/>
        </w:rPr>
      </w:pPr>
      <w:r>
        <w:rPr>
          <w:sz w:val="24"/>
        </w:rPr>
        <w:t>t</w:t>
      </w:r>
      <w:r w:rsidR="003B01D9" w:rsidRPr="007F6867">
        <w:rPr>
          <w:sz w:val="24"/>
        </w:rPr>
        <w:t xml:space="preserve">he full address where the waste was produced; and </w:t>
      </w:r>
    </w:p>
    <w:p w14:paraId="31FE9511" w14:textId="3F8BD6B9" w:rsidR="003B01D9" w:rsidRPr="007F6867" w:rsidRDefault="003B01D9" w:rsidP="003B01D9">
      <w:pPr>
        <w:pStyle w:val="aBullet"/>
        <w:rPr>
          <w:sz w:val="24"/>
        </w:rPr>
      </w:pPr>
      <w:r w:rsidRPr="007F6867">
        <w:rPr>
          <w:sz w:val="24"/>
        </w:rPr>
        <w:t>the identity of the producer; and</w:t>
      </w:r>
    </w:p>
    <w:p w14:paraId="26937A12" w14:textId="68DAF873" w:rsidR="003B01D9" w:rsidRPr="007F6867" w:rsidRDefault="003B01D9" w:rsidP="003B01D9">
      <w:pPr>
        <w:pStyle w:val="aBullet"/>
        <w:rPr>
          <w:sz w:val="24"/>
        </w:rPr>
      </w:pPr>
      <w:r w:rsidRPr="007F6867">
        <w:rPr>
          <w:sz w:val="24"/>
        </w:rPr>
        <w:t>the process giving rise to the waste; and</w:t>
      </w:r>
    </w:p>
    <w:p w14:paraId="6D18BB6B" w14:textId="337A3902" w:rsidR="003B01D9" w:rsidRPr="00033059" w:rsidRDefault="003B01D9" w:rsidP="003B01D9">
      <w:pPr>
        <w:pStyle w:val="aBullet"/>
        <w:rPr>
          <w:sz w:val="24"/>
        </w:rPr>
      </w:pPr>
      <w:r w:rsidRPr="00033059">
        <w:rPr>
          <w:sz w:val="24"/>
        </w:rPr>
        <w:t>the physical appearance of the waste including colour and texture; and</w:t>
      </w:r>
    </w:p>
    <w:p w14:paraId="41BD2E95" w14:textId="1AA6BE48" w:rsidR="003B01D9" w:rsidRPr="00033059" w:rsidRDefault="003B01D9" w:rsidP="0B23DE20">
      <w:pPr>
        <w:pStyle w:val="aBullet"/>
        <w:rPr>
          <w:sz w:val="24"/>
        </w:rPr>
      </w:pPr>
      <w:r w:rsidRPr="0B23DE20">
        <w:rPr>
          <w:sz w:val="24"/>
        </w:rPr>
        <w:t>where a weighbridge is</w:t>
      </w:r>
      <w:r w:rsidR="00EB625F" w:rsidRPr="0B23DE20">
        <w:rPr>
          <w:sz w:val="24"/>
        </w:rPr>
        <w:t xml:space="preserve"> </w:t>
      </w:r>
      <w:r w:rsidRPr="0B23DE20">
        <w:rPr>
          <w:sz w:val="24"/>
        </w:rPr>
        <w:t>n</w:t>
      </w:r>
      <w:r w:rsidR="00EB625F" w:rsidRPr="0B23DE20">
        <w:rPr>
          <w:sz w:val="24"/>
        </w:rPr>
        <w:t>o</w:t>
      </w:r>
      <w:r w:rsidRPr="0B23DE20">
        <w:rPr>
          <w:sz w:val="24"/>
        </w:rPr>
        <w:t xml:space="preserve">t </w:t>
      </w:r>
      <w:r w:rsidR="0063725F" w:rsidRPr="0B23DE20">
        <w:rPr>
          <w:sz w:val="24"/>
        </w:rPr>
        <w:t>used</w:t>
      </w:r>
      <w:r w:rsidRPr="0B23DE20">
        <w:rPr>
          <w:sz w:val="24"/>
        </w:rPr>
        <w:t xml:space="preserve"> </w:t>
      </w:r>
      <w:r w:rsidR="0063725F" w:rsidRPr="0B23DE20">
        <w:rPr>
          <w:sz w:val="24"/>
        </w:rPr>
        <w:t xml:space="preserve">a </w:t>
      </w:r>
      <w:r w:rsidRPr="0B23DE20">
        <w:rPr>
          <w:sz w:val="24"/>
        </w:rPr>
        <w:t>metric conversion factor for volume (cubic metres) to weight (tonnes) for each waste stream and</w:t>
      </w:r>
    </w:p>
    <w:p w14:paraId="0C698080" w14:textId="00B9E3C0" w:rsidR="003B01D9" w:rsidRPr="00033059" w:rsidRDefault="003B01D9" w:rsidP="003B01D9">
      <w:pPr>
        <w:pStyle w:val="aBullet"/>
        <w:rPr>
          <w:sz w:val="24"/>
        </w:rPr>
      </w:pPr>
      <w:r w:rsidRPr="00033059">
        <w:rPr>
          <w:sz w:val="24"/>
        </w:rPr>
        <w:t>the quantity of the waste to be imported; and</w:t>
      </w:r>
    </w:p>
    <w:p w14:paraId="3EF60F68" w14:textId="1D4C12B6" w:rsidR="003B01D9" w:rsidRPr="00033059" w:rsidRDefault="003B01D9" w:rsidP="73B0FFF6">
      <w:pPr>
        <w:pStyle w:val="aBullet"/>
        <w:rPr>
          <w:sz w:val="24"/>
        </w:rPr>
      </w:pPr>
      <w:r w:rsidRPr="73B0FFF6">
        <w:rPr>
          <w:sz w:val="24"/>
        </w:rPr>
        <w:t xml:space="preserve">evidence of compliance </w:t>
      </w:r>
      <w:r w:rsidR="0063725F" w:rsidRPr="73B0FFF6">
        <w:rPr>
          <w:sz w:val="24"/>
        </w:rPr>
        <w:t>with rule</w:t>
      </w:r>
      <w:r w:rsidRPr="73B0FFF6">
        <w:rPr>
          <w:sz w:val="24"/>
        </w:rPr>
        <w:t xml:space="preserve"> 2.</w:t>
      </w:r>
      <w:r w:rsidR="00CA4182" w:rsidRPr="73B0FFF6">
        <w:rPr>
          <w:sz w:val="24"/>
        </w:rPr>
        <w:t>3</w:t>
      </w:r>
      <w:r w:rsidRPr="73B0FFF6">
        <w:rPr>
          <w:sz w:val="24"/>
        </w:rPr>
        <w:t>.1</w:t>
      </w:r>
    </w:p>
    <w:p w14:paraId="53A1F9C6" w14:textId="72BC6876" w:rsidR="003B01D9" w:rsidRPr="00033059" w:rsidRDefault="003B01D9" w:rsidP="003B01D9">
      <w:pPr>
        <w:pStyle w:val="Bullet1"/>
        <w:rPr>
          <w:sz w:val="24"/>
        </w:rPr>
      </w:pPr>
      <w:r w:rsidRPr="00033059">
        <w:rPr>
          <w:sz w:val="24"/>
        </w:rPr>
        <w:t xml:space="preserve">The operator shall maintain records demonstrating compliance with condition 2.6.1, which shall be kept until the permit is surrendered. </w:t>
      </w:r>
    </w:p>
    <w:p w14:paraId="1A45618F" w14:textId="3ED9B3C7" w:rsidR="003B01D9" w:rsidRPr="00033059" w:rsidRDefault="003B01D9" w:rsidP="35F97428">
      <w:pPr>
        <w:pStyle w:val="Bullet1"/>
        <w:rPr>
          <w:sz w:val="24"/>
        </w:rPr>
      </w:pPr>
      <w:bookmarkStart w:id="11" w:name="_Hlk168661329"/>
      <w:r w:rsidRPr="29B24E39">
        <w:rPr>
          <w:sz w:val="24"/>
        </w:rPr>
        <w:t xml:space="preserve">The operator shall </w:t>
      </w:r>
      <w:r w:rsidR="0063725F">
        <w:rPr>
          <w:sz w:val="24"/>
        </w:rPr>
        <w:t>ensure</w:t>
      </w:r>
      <w:r w:rsidRPr="29B24E39">
        <w:rPr>
          <w:sz w:val="24"/>
        </w:rPr>
        <w:t xml:space="preserve"> that any waste accepted for recovery conforms to the information submitted by the holder required by </w:t>
      </w:r>
      <w:r w:rsidR="1A4437DD" w:rsidRPr="29B24E39">
        <w:rPr>
          <w:sz w:val="24"/>
        </w:rPr>
        <w:t>rule</w:t>
      </w:r>
      <w:r w:rsidRPr="29B24E39">
        <w:rPr>
          <w:sz w:val="24"/>
        </w:rPr>
        <w:t xml:space="preserve"> 2.6.1</w:t>
      </w:r>
      <w:r w:rsidR="002D6C05">
        <w:rPr>
          <w:sz w:val="24"/>
        </w:rPr>
        <w:t>.</w:t>
      </w:r>
      <w:r w:rsidRPr="29B24E39">
        <w:rPr>
          <w:sz w:val="24"/>
        </w:rPr>
        <w:t xml:space="preserve"> </w:t>
      </w:r>
      <w:bookmarkEnd w:id="11"/>
    </w:p>
    <w:p w14:paraId="39888553" w14:textId="54239577" w:rsidR="003B01D9" w:rsidRPr="00033059" w:rsidRDefault="003B01D9" w:rsidP="29B24E39">
      <w:pPr>
        <w:pStyle w:val="Bullet1"/>
        <w:rPr>
          <w:sz w:val="24"/>
        </w:rPr>
      </w:pPr>
      <w:r w:rsidRPr="29B24E39">
        <w:rPr>
          <w:sz w:val="24"/>
        </w:rPr>
        <w:t xml:space="preserve">The operator shall </w:t>
      </w:r>
      <w:r w:rsidR="5FB59476" w:rsidRPr="29B24E39">
        <w:rPr>
          <w:sz w:val="24"/>
        </w:rPr>
        <w:t>ensure</w:t>
      </w:r>
      <w:r w:rsidRPr="29B24E39">
        <w:rPr>
          <w:sz w:val="24"/>
        </w:rPr>
        <w:t xml:space="preserve"> that any waste accepted for recovery conforms to the information submitted by the holder required by </w:t>
      </w:r>
      <w:r w:rsidR="09529B52" w:rsidRPr="29B24E39">
        <w:rPr>
          <w:sz w:val="24"/>
        </w:rPr>
        <w:t>rule</w:t>
      </w:r>
      <w:r w:rsidRPr="29B24E39">
        <w:rPr>
          <w:sz w:val="24"/>
        </w:rPr>
        <w:t xml:space="preserve"> 2.6.1 and shall visually inspect</w:t>
      </w:r>
      <w:r w:rsidR="007F6867" w:rsidRPr="29B24E39">
        <w:rPr>
          <w:sz w:val="24"/>
        </w:rPr>
        <w:t>:</w:t>
      </w:r>
    </w:p>
    <w:p w14:paraId="13776B1E" w14:textId="1C4091A1" w:rsidR="007F6867" w:rsidRPr="00033059" w:rsidRDefault="00C54DDE" w:rsidP="007F6867">
      <w:pPr>
        <w:pStyle w:val="aBullet"/>
        <w:rPr>
          <w:sz w:val="24"/>
        </w:rPr>
      </w:pPr>
      <w:r>
        <w:rPr>
          <w:sz w:val="24"/>
        </w:rPr>
        <w:t>w</w:t>
      </w:r>
      <w:r w:rsidR="007F6867" w:rsidRPr="00033059">
        <w:rPr>
          <w:sz w:val="24"/>
        </w:rPr>
        <w:t xml:space="preserve">ithout unloading it, waste that is an open container or open vehicle on arrival at the site; and </w:t>
      </w:r>
    </w:p>
    <w:p w14:paraId="7E75DF4E" w14:textId="620DDE7D" w:rsidR="007F6867" w:rsidRPr="00033059" w:rsidRDefault="00691FC4" w:rsidP="29B24E39">
      <w:pPr>
        <w:pStyle w:val="aBullet"/>
        <w:rPr>
          <w:sz w:val="24"/>
        </w:rPr>
      </w:pPr>
      <w:r w:rsidRPr="6F8E85E6">
        <w:rPr>
          <w:sz w:val="24"/>
        </w:rPr>
        <w:t>w</w:t>
      </w:r>
      <w:r w:rsidR="007F6867" w:rsidRPr="6F8E85E6">
        <w:rPr>
          <w:sz w:val="24"/>
        </w:rPr>
        <w:t xml:space="preserve">aste </w:t>
      </w:r>
      <w:r w:rsidR="3FC3A4D7" w:rsidRPr="6F8E85E6">
        <w:rPr>
          <w:sz w:val="24"/>
        </w:rPr>
        <w:t xml:space="preserve">at </w:t>
      </w:r>
      <w:r w:rsidR="007F6867" w:rsidRPr="6F8E85E6">
        <w:rPr>
          <w:sz w:val="24"/>
        </w:rPr>
        <w:t xml:space="preserve">the point of </w:t>
      </w:r>
      <w:proofErr w:type="gramStart"/>
      <w:r w:rsidR="007F6867" w:rsidRPr="6F8E85E6">
        <w:rPr>
          <w:sz w:val="24"/>
        </w:rPr>
        <w:t>deposit;</w:t>
      </w:r>
      <w:proofErr w:type="gramEnd"/>
    </w:p>
    <w:p w14:paraId="66046580" w14:textId="138AD07E" w:rsidR="007F6867" w:rsidRPr="00033059" w:rsidRDefault="007F6867" w:rsidP="6F8E85E6">
      <w:pPr>
        <w:pStyle w:val="Bullet1"/>
        <w:rPr>
          <w:sz w:val="24"/>
        </w:rPr>
      </w:pPr>
      <w:r w:rsidRPr="6F8E85E6">
        <w:rPr>
          <w:sz w:val="24"/>
        </w:rPr>
        <w:lastRenderedPageBreak/>
        <w:t xml:space="preserve">Any waste that does not comply with </w:t>
      </w:r>
      <w:proofErr w:type="gramStart"/>
      <w:r w:rsidRPr="6F8E85E6">
        <w:rPr>
          <w:sz w:val="24"/>
        </w:rPr>
        <w:t>all of</w:t>
      </w:r>
      <w:proofErr w:type="gramEnd"/>
      <w:r w:rsidRPr="6F8E85E6">
        <w:rPr>
          <w:sz w:val="24"/>
        </w:rPr>
        <w:t xml:space="preserve"> the </w:t>
      </w:r>
      <w:r w:rsidR="0063725F" w:rsidRPr="6F8E85E6">
        <w:rPr>
          <w:sz w:val="24"/>
        </w:rPr>
        <w:t>requirements of</w:t>
      </w:r>
      <w:r w:rsidRPr="6F8E85E6">
        <w:rPr>
          <w:sz w:val="24"/>
        </w:rPr>
        <w:t xml:space="preserve"> </w:t>
      </w:r>
      <w:r w:rsidR="5A1540EA" w:rsidRPr="6F8E85E6">
        <w:rPr>
          <w:sz w:val="24"/>
        </w:rPr>
        <w:t xml:space="preserve">rule </w:t>
      </w:r>
      <w:r w:rsidRPr="6F8E85E6">
        <w:rPr>
          <w:sz w:val="24"/>
        </w:rPr>
        <w:t>2.</w:t>
      </w:r>
      <w:r w:rsidR="00033059" w:rsidRPr="6F8E85E6">
        <w:rPr>
          <w:sz w:val="24"/>
        </w:rPr>
        <w:t>3.1</w:t>
      </w:r>
      <w:r w:rsidRPr="6F8E85E6">
        <w:rPr>
          <w:sz w:val="24"/>
        </w:rPr>
        <w:t xml:space="preserve"> or fit the description of the waste recorded </w:t>
      </w:r>
      <w:r w:rsidR="5E4AD8AF" w:rsidRPr="6F8E85E6">
        <w:rPr>
          <w:sz w:val="24"/>
        </w:rPr>
        <w:t>under rule</w:t>
      </w:r>
      <w:r w:rsidRPr="6F8E85E6">
        <w:rPr>
          <w:sz w:val="24"/>
        </w:rPr>
        <w:t xml:space="preserve"> 2.6.1 shall be rejected and shall be:</w:t>
      </w:r>
    </w:p>
    <w:p w14:paraId="28B03A7E" w14:textId="7BD0A54A" w:rsidR="007F6867" w:rsidRPr="00033059" w:rsidRDefault="00C54DDE" w:rsidP="007F6867">
      <w:pPr>
        <w:pStyle w:val="aBullet"/>
        <w:rPr>
          <w:sz w:val="24"/>
        </w:rPr>
      </w:pPr>
      <w:r>
        <w:rPr>
          <w:sz w:val="24"/>
        </w:rPr>
        <w:t>r</w:t>
      </w:r>
      <w:r w:rsidR="007F6867" w:rsidRPr="00033059">
        <w:rPr>
          <w:sz w:val="24"/>
        </w:rPr>
        <w:t>emoved from the site; or</w:t>
      </w:r>
    </w:p>
    <w:p w14:paraId="5021B077" w14:textId="5B98A244" w:rsidR="007F6867" w:rsidRDefault="00C54DDE" w:rsidP="007F6867">
      <w:pPr>
        <w:pStyle w:val="aBullet"/>
        <w:rPr>
          <w:sz w:val="24"/>
        </w:rPr>
      </w:pPr>
      <w:r>
        <w:rPr>
          <w:sz w:val="24"/>
        </w:rPr>
        <w:t>m</w:t>
      </w:r>
      <w:r w:rsidR="007F6867" w:rsidRPr="007F6867">
        <w:rPr>
          <w:sz w:val="24"/>
        </w:rPr>
        <w:t>ove</w:t>
      </w:r>
      <w:r>
        <w:rPr>
          <w:sz w:val="24"/>
        </w:rPr>
        <w:t>d</w:t>
      </w:r>
      <w:r w:rsidR="007F6867" w:rsidRPr="007F6867">
        <w:rPr>
          <w:sz w:val="24"/>
        </w:rPr>
        <w:t xml:space="preserve"> to a designated quarantine area pending removal. </w:t>
      </w:r>
    </w:p>
    <w:p w14:paraId="7ED744AB" w14:textId="223CCFD1" w:rsidR="000848DA" w:rsidRPr="001C65C6" w:rsidRDefault="000848DA" w:rsidP="00071EE3">
      <w:pPr>
        <w:pStyle w:val="Bullet"/>
      </w:pPr>
      <w:r w:rsidRPr="001C65C6">
        <w:t>Emissions and monitoring</w:t>
      </w:r>
    </w:p>
    <w:p w14:paraId="5925E0A9" w14:textId="10FDD914" w:rsidR="00925C07" w:rsidRPr="001C65C6" w:rsidRDefault="00925C07" w:rsidP="001816FC">
      <w:pPr>
        <w:pStyle w:val="Bullet0"/>
      </w:pPr>
      <w:r w:rsidRPr="001C65C6">
        <w:t>Emissions to air, land and water</w:t>
      </w:r>
    </w:p>
    <w:p w14:paraId="1D289494" w14:textId="7B330C4F" w:rsidR="00925C07" w:rsidRPr="001C65C6" w:rsidRDefault="001816FC" w:rsidP="001816FC">
      <w:pPr>
        <w:pStyle w:val="Bullet1"/>
        <w:numPr>
          <w:ilvl w:val="0"/>
          <w:numId w:val="0"/>
        </w:numPr>
        <w:rPr>
          <w:rStyle w:val="Red"/>
          <w:color w:val="auto"/>
        </w:rPr>
      </w:pPr>
      <w:proofErr w:type="gramStart"/>
      <w:r w:rsidRPr="00853C2C">
        <w:rPr>
          <w:rStyle w:val="Red"/>
          <w:color w:val="auto"/>
          <w:sz w:val="24"/>
        </w:rPr>
        <w:t>3.1.1</w:t>
      </w:r>
      <w:r w:rsidR="00853C2C">
        <w:rPr>
          <w:rStyle w:val="Red"/>
          <w:color w:val="auto"/>
        </w:rPr>
        <w:t xml:space="preserve"> </w:t>
      </w:r>
      <w:r w:rsidR="007F6DC2">
        <w:rPr>
          <w:rStyle w:val="Red"/>
          <w:color w:val="auto"/>
        </w:rPr>
        <w:t xml:space="preserve"> </w:t>
      </w:r>
      <w:r w:rsidR="00925C07" w:rsidRPr="00853C2C">
        <w:rPr>
          <w:rStyle w:val="Red"/>
          <w:color w:val="auto"/>
          <w:sz w:val="24"/>
        </w:rPr>
        <w:t>There</w:t>
      </w:r>
      <w:proofErr w:type="gramEnd"/>
      <w:r w:rsidR="00925C07" w:rsidRPr="00853C2C">
        <w:rPr>
          <w:rStyle w:val="Red"/>
          <w:color w:val="auto"/>
          <w:sz w:val="24"/>
        </w:rPr>
        <w:t xml:space="preserve"> shall be no point source emissions to water, air or land</w:t>
      </w:r>
      <w:r w:rsidR="008841DE">
        <w:rPr>
          <w:rStyle w:val="Red"/>
          <w:color w:val="auto"/>
          <w:sz w:val="24"/>
        </w:rPr>
        <w:t>.</w:t>
      </w:r>
      <w:r w:rsidRPr="00853C2C">
        <w:rPr>
          <w:rStyle w:val="Red"/>
          <w:color w:val="auto"/>
          <w:sz w:val="24"/>
        </w:rPr>
        <w:t xml:space="preserve">  </w:t>
      </w:r>
    </w:p>
    <w:p w14:paraId="23726123" w14:textId="23207B1F" w:rsidR="000848DA" w:rsidRPr="001C65C6" w:rsidRDefault="000848DA" w:rsidP="00A51739">
      <w:pPr>
        <w:pStyle w:val="Bullet0"/>
        <w:numPr>
          <w:ilvl w:val="1"/>
          <w:numId w:val="15"/>
        </w:numPr>
      </w:pPr>
      <w:r w:rsidRPr="001C65C6">
        <w:t>Emissions of substances not controlled by emission limits</w:t>
      </w:r>
    </w:p>
    <w:p w14:paraId="76054FDB" w14:textId="77777777" w:rsidR="000848DA" w:rsidRPr="00853C2C" w:rsidRDefault="000848DA" w:rsidP="00071EE3">
      <w:pPr>
        <w:pStyle w:val="Bullet1"/>
        <w:rPr>
          <w:sz w:val="24"/>
        </w:rPr>
      </w:pPr>
      <w:r w:rsidRPr="00853C2C">
        <w:rPr>
          <w:sz w:val="24"/>
        </w:rPr>
        <w:t>Emissions of substances not controlled by emission limits (excluding odour) shall not cause pollution. The operator shall not be taken to have breached this condition if appropriate measures, including, but not limited to, those specified in any approved emissions management plan, have been taken to prevent or where that is not practicable, to minimise, those emissions.</w:t>
      </w:r>
    </w:p>
    <w:p w14:paraId="44D58416" w14:textId="77777777" w:rsidR="000848DA" w:rsidRPr="00853C2C" w:rsidRDefault="000848DA" w:rsidP="00B42932">
      <w:pPr>
        <w:pStyle w:val="Bullet1"/>
        <w:rPr>
          <w:sz w:val="24"/>
        </w:rPr>
      </w:pPr>
      <w:r w:rsidRPr="00853C2C">
        <w:rPr>
          <w:sz w:val="24"/>
        </w:rPr>
        <w:t>The operator shall:</w:t>
      </w:r>
    </w:p>
    <w:p w14:paraId="4E391FD3" w14:textId="77777777" w:rsidR="000848DA" w:rsidRPr="00853C2C" w:rsidRDefault="000848DA" w:rsidP="00B42932">
      <w:pPr>
        <w:pStyle w:val="aBullet"/>
        <w:rPr>
          <w:sz w:val="24"/>
        </w:rPr>
      </w:pPr>
      <w:r w:rsidRPr="00853C2C">
        <w:rPr>
          <w:sz w:val="24"/>
        </w:rPr>
        <w:t>if notified by the Environment Agency</w:t>
      </w:r>
      <w:r w:rsidR="005D7DE8" w:rsidRPr="00853C2C">
        <w:rPr>
          <w:sz w:val="24"/>
        </w:rPr>
        <w:t xml:space="preserve"> </w:t>
      </w:r>
      <w:r w:rsidRPr="00853C2C">
        <w:rPr>
          <w:sz w:val="24"/>
        </w:rPr>
        <w:t xml:space="preserve">that the activities are giving rise to pollution, submit to the Environment Agency for approval within the period specified, an emissions management plan which identifies and minimises the risks of pollution from emissions of substances not controlled by emission </w:t>
      </w:r>
      <w:proofErr w:type="gramStart"/>
      <w:r w:rsidRPr="00853C2C">
        <w:rPr>
          <w:sz w:val="24"/>
        </w:rPr>
        <w:t>limits;</w:t>
      </w:r>
      <w:proofErr w:type="gramEnd"/>
    </w:p>
    <w:p w14:paraId="0086C7B5" w14:textId="77777777" w:rsidR="000848DA" w:rsidRPr="00853C2C" w:rsidRDefault="000848DA" w:rsidP="00B42932">
      <w:pPr>
        <w:pStyle w:val="aBullet"/>
        <w:rPr>
          <w:sz w:val="24"/>
        </w:rPr>
      </w:pPr>
      <w:r w:rsidRPr="00853C2C">
        <w:rPr>
          <w:sz w:val="24"/>
        </w:rPr>
        <w:t>implement the approved emissions management plan, from the date of approval, unless otherwise agreed in writing by the Environment Agency.</w:t>
      </w:r>
    </w:p>
    <w:p w14:paraId="4DA82D5D" w14:textId="77777777" w:rsidR="000848DA" w:rsidRPr="00853C2C" w:rsidRDefault="000848DA" w:rsidP="00925C07">
      <w:pPr>
        <w:pStyle w:val="Bullet1"/>
        <w:rPr>
          <w:rStyle w:val="Red"/>
          <w:color w:val="auto"/>
          <w:sz w:val="24"/>
        </w:rPr>
      </w:pPr>
      <w:r w:rsidRPr="00853C2C">
        <w:rPr>
          <w:rStyle w:val="Red"/>
          <w:color w:val="auto"/>
          <w:sz w:val="24"/>
        </w:rPr>
        <w:t>All liquids in containers, whose emission to water or land could cause pollution, shall be provided with secondary containment, unless the operator has used other appropriate measures to prevent or where that is not practicable, to minimise, leakage and spillage from the primary container.</w:t>
      </w:r>
    </w:p>
    <w:p w14:paraId="25BA7194" w14:textId="77777777" w:rsidR="004E3260" w:rsidRPr="001C65C6" w:rsidRDefault="004E3260" w:rsidP="004E3260">
      <w:pPr>
        <w:pStyle w:val="Bullet0"/>
      </w:pPr>
      <w:r w:rsidRPr="001C65C6">
        <w:t>Odour</w:t>
      </w:r>
    </w:p>
    <w:p w14:paraId="7CA3FFEC" w14:textId="77777777" w:rsidR="004E3260" w:rsidRPr="00853C2C" w:rsidRDefault="004E3260" w:rsidP="004E3260">
      <w:pPr>
        <w:pStyle w:val="Bullet1"/>
        <w:rPr>
          <w:sz w:val="24"/>
        </w:rPr>
      </w:pPr>
      <w:r w:rsidRPr="00853C2C">
        <w:rPr>
          <w:sz w:val="24"/>
        </w:rPr>
        <w:t xml:space="preserve">Emissions from the activities shall be free from odour at levels likely to cause pollution outside the site, as perceived by an authorised officer of the Environment Agency, unless the operator has used appropriate measures, including, but not limited to, those specified in any approved odour management plan, to prevent or where that is not practicable to minimise the odour. </w:t>
      </w:r>
    </w:p>
    <w:p w14:paraId="3A9DF3AD" w14:textId="77777777" w:rsidR="004E3260" w:rsidRPr="00853C2C" w:rsidRDefault="004E3260" w:rsidP="004E3260">
      <w:pPr>
        <w:pStyle w:val="Bullet1"/>
        <w:rPr>
          <w:sz w:val="24"/>
        </w:rPr>
      </w:pPr>
      <w:r w:rsidRPr="00853C2C">
        <w:rPr>
          <w:sz w:val="24"/>
        </w:rPr>
        <w:t>The operator shall:</w:t>
      </w:r>
    </w:p>
    <w:p w14:paraId="5899FFE6" w14:textId="77777777" w:rsidR="004E3260" w:rsidRPr="00853C2C" w:rsidRDefault="004E3260" w:rsidP="004E3260">
      <w:pPr>
        <w:pStyle w:val="aBullet"/>
        <w:rPr>
          <w:sz w:val="24"/>
        </w:rPr>
      </w:pPr>
      <w:r w:rsidRPr="00853C2C">
        <w:rPr>
          <w:sz w:val="24"/>
        </w:rPr>
        <w:t xml:space="preserve">if notified by the Environment Agency that the activities are giving rise to pollution outside the site due to odour, submit to the Environment Agency for approval within the period specified, an odour management plan which identifies and minimises the risks of pollution from </w:t>
      </w:r>
      <w:proofErr w:type="gramStart"/>
      <w:r w:rsidRPr="00853C2C">
        <w:rPr>
          <w:sz w:val="24"/>
        </w:rPr>
        <w:t>odour;</w:t>
      </w:r>
      <w:proofErr w:type="gramEnd"/>
    </w:p>
    <w:p w14:paraId="26FB0268" w14:textId="77777777" w:rsidR="004E3260" w:rsidRPr="00853C2C" w:rsidRDefault="004E3260" w:rsidP="004E3260">
      <w:pPr>
        <w:pStyle w:val="aBullet"/>
        <w:rPr>
          <w:sz w:val="24"/>
        </w:rPr>
      </w:pPr>
      <w:r w:rsidRPr="00853C2C">
        <w:rPr>
          <w:sz w:val="24"/>
        </w:rPr>
        <w:lastRenderedPageBreak/>
        <w:t>implement the approved odour management plan, from the date of approval, unless otherwise agreed in writing by the Environment Agency.</w:t>
      </w:r>
    </w:p>
    <w:p w14:paraId="0698202F" w14:textId="77777777" w:rsidR="006C5A21" w:rsidRPr="001C65C6" w:rsidRDefault="006C5A21" w:rsidP="00F56258">
      <w:pPr>
        <w:pStyle w:val="Bullet0"/>
        <w:keepNext/>
      </w:pPr>
      <w:r w:rsidRPr="001C65C6">
        <w:t>Noise and vibration</w:t>
      </w:r>
    </w:p>
    <w:p w14:paraId="15175ABB" w14:textId="77777777" w:rsidR="006C5A21" w:rsidRPr="00853C2C" w:rsidRDefault="006C5A21" w:rsidP="00F56258">
      <w:pPr>
        <w:pStyle w:val="Bullet1"/>
        <w:keepNext/>
        <w:rPr>
          <w:sz w:val="24"/>
        </w:rPr>
      </w:pPr>
      <w:r w:rsidRPr="00853C2C">
        <w:rPr>
          <w:sz w:val="24"/>
        </w:rPr>
        <w:t>Emissions from the activities shall be free from noise and vibration at levels likely to cause pollution outside the site, as perceived by an authorised officer of the Environment Agency, unless the operator has used appropriate measures, including, but not limited to, those specified in any approved noise and vibration management plan to prevent or where that is not practicable to minimise the noise and vibration.</w:t>
      </w:r>
    </w:p>
    <w:p w14:paraId="3C007F7E" w14:textId="77777777" w:rsidR="006C5A21" w:rsidRPr="00853C2C" w:rsidRDefault="006C5A21" w:rsidP="009D7D2F">
      <w:pPr>
        <w:pStyle w:val="Bullet1"/>
        <w:rPr>
          <w:sz w:val="24"/>
        </w:rPr>
      </w:pPr>
      <w:r w:rsidRPr="00853C2C">
        <w:rPr>
          <w:sz w:val="24"/>
        </w:rPr>
        <w:t>The operator shall:</w:t>
      </w:r>
    </w:p>
    <w:p w14:paraId="7A27CA27" w14:textId="77777777" w:rsidR="006C5A21" w:rsidRPr="00853C2C" w:rsidRDefault="006C5A21" w:rsidP="001816FC">
      <w:pPr>
        <w:pStyle w:val="aBullet"/>
        <w:tabs>
          <w:tab w:val="num" w:pos="1134"/>
        </w:tabs>
        <w:rPr>
          <w:sz w:val="24"/>
        </w:rPr>
      </w:pPr>
      <w:r w:rsidRPr="00853C2C">
        <w:rPr>
          <w:sz w:val="24"/>
        </w:rPr>
        <w:t xml:space="preserve">if notified by the Environment Agency that the activities are giving rise to pollution outside the site due to noise and vibration, submit to the Environment Agency for approval within the period specified, a noise and vibration management plan which identifies and minimises the risks of pollution from noise and </w:t>
      </w:r>
      <w:proofErr w:type="gramStart"/>
      <w:r w:rsidRPr="00853C2C">
        <w:rPr>
          <w:sz w:val="24"/>
        </w:rPr>
        <w:t>vibration;</w:t>
      </w:r>
      <w:proofErr w:type="gramEnd"/>
    </w:p>
    <w:p w14:paraId="63834203" w14:textId="77777777" w:rsidR="006C5A21" w:rsidRPr="00853C2C" w:rsidRDefault="006C5A21" w:rsidP="001816FC">
      <w:pPr>
        <w:pStyle w:val="aBullet"/>
        <w:tabs>
          <w:tab w:val="num" w:pos="1134"/>
        </w:tabs>
        <w:rPr>
          <w:sz w:val="24"/>
        </w:rPr>
      </w:pPr>
      <w:r w:rsidRPr="00853C2C">
        <w:rPr>
          <w:sz w:val="24"/>
        </w:rPr>
        <w:t>implement the approved noise and vibration management plan, from the date of approval, unless otherwise agreed in writing by the Environment Agency.</w:t>
      </w:r>
    </w:p>
    <w:p w14:paraId="4C8AEE82" w14:textId="77777777" w:rsidR="000848DA" w:rsidRPr="001C65C6" w:rsidRDefault="000848DA" w:rsidP="00165920">
      <w:pPr>
        <w:pStyle w:val="Bullet"/>
      </w:pPr>
      <w:r w:rsidRPr="001C65C6">
        <w:t>Information</w:t>
      </w:r>
    </w:p>
    <w:p w14:paraId="08ECDE7A" w14:textId="77777777" w:rsidR="000848DA" w:rsidRPr="001C65C6" w:rsidRDefault="000848DA" w:rsidP="00165920">
      <w:pPr>
        <w:pStyle w:val="Bullet0"/>
      </w:pPr>
      <w:r w:rsidRPr="001C65C6">
        <w:t>Records</w:t>
      </w:r>
    </w:p>
    <w:p w14:paraId="021F9B5B" w14:textId="77777777" w:rsidR="000848DA" w:rsidRPr="00853C2C" w:rsidRDefault="000848DA" w:rsidP="00165920">
      <w:pPr>
        <w:pStyle w:val="Bullet1"/>
        <w:rPr>
          <w:sz w:val="24"/>
        </w:rPr>
      </w:pPr>
      <w:r w:rsidRPr="00853C2C">
        <w:rPr>
          <w:sz w:val="24"/>
        </w:rPr>
        <w:t xml:space="preserve">All records required to be made by </w:t>
      </w:r>
      <w:r w:rsidR="00287106" w:rsidRPr="00853C2C">
        <w:rPr>
          <w:sz w:val="24"/>
        </w:rPr>
        <w:t xml:space="preserve">these standard rules </w:t>
      </w:r>
      <w:r w:rsidRPr="00853C2C">
        <w:rPr>
          <w:sz w:val="24"/>
        </w:rPr>
        <w:t>shall:</w:t>
      </w:r>
    </w:p>
    <w:p w14:paraId="1197ABE8" w14:textId="77777777" w:rsidR="000848DA" w:rsidRPr="00853C2C" w:rsidRDefault="000848DA" w:rsidP="00AB71F7">
      <w:pPr>
        <w:pStyle w:val="aBullet"/>
        <w:rPr>
          <w:sz w:val="24"/>
        </w:rPr>
      </w:pPr>
      <w:r w:rsidRPr="00853C2C">
        <w:rPr>
          <w:sz w:val="24"/>
        </w:rPr>
        <w:t xml:space="preserve">be </w:t>
      </w:r>
      <w:proofErr w:type="gramStart"/>
      <w:r w:rsidRPr="00853C2C">
        <w:rPr>
          <w:sz w:val="24"/>
        </w:rPr>
        <w:t>legible;</w:t>
      </w:r>
      <w:proofErr w:type="gramEnd"/>
    </w:p>
    <w:p w14:paraId="02AA9F75" w14:textId="77777777" w:rsidR="000848DA" w:rsidRPr="00853C2C" w:rsidRDefault="000848DA" w:rsidP="00AB71F7">
      <w:pPr>
        <w:pStyle w:val="aBullet"/>
        <w:rPr>
          <w:sz w:val="24"/>
        </w:rPr>
      </w:pPr>
      <w:r w:rsidRPr="00853C2C">
        <w:rPr>
          <w:sz w:val="24"/>
        </w:rPr>
        <w:t xml:space="preserve">be made as soon as reasonably </w:t>
      </w:r>
      <w:proofErr w:type="gramStart"/>
      <w:r w:rsidRPr="00853C2C">
        <w:rPr>
          <w:sz w:val="24"/>
        </w:rPr>
        <w:t>practicable;</w:t>
      </w:r>
      <w:proofErr w:type="gramEnd"/>
    </w:p>
    <w:p w14:paraId="66B3EA26" w14:textId="77777777" w:rsidR="000848DA" w:rsidRPr="00853C2C" w:rsidRDefault="000848DA" w:rsidP="00AB71F7">
      <w:pPr>
        <w:pStyle w:val="aBullet"/>
        <w:rPr>
          <w:sz w:val="24"/>
        </w:rPr>
      </w:pPr>
      <w:r w:rsidRPr="00853C2C">
        <w:rPr>
          <w:sz w:val="24"/>
        </w:rPr>
        <w:t>if amended, be amended in such a way that the original and any subsequent amendments remain legible, or are capable of retrieval; and</w:t>
      </w:r>
    </w:p>
    <w:p w14:paraId="1F2A98D0" w14:textId="77777777" w:rsidR="000848DA" w:rsidRPr="00853C2C" w:rsidRDefault="000848DA" w:rsidP="00925C07">
      <w:pPr>
        <w:pStyle w:val="aBullet"/>
        <w:rPr>
          <w:rStyle w:val="Red"/>
          <w:color w:val="auto"/>
          <w:sz w:val="24"/>
        </w:rPr>
      </w:pPr>
      <w:r w:rsidRPr="00853C2C">
        <w:rPr>
          <w:sz w:val="24"/>
        </w:rPr>
        <w:t xml:space="preserve">be retained, unless otherwise agreed in writing by the Environment Agency, for at least 6 years from the date when the records were made, </w:t>
      </w:r>
      <w:r w:rsidRPr="00853C2C">
        <w:rPr>
          <w:rStyle w:val="Red"/>
          <w:color w:val="auto"/>
          <w:sz w:val="24"/>
        </w:rPr>
        <w:t>or in the case of the following records until permit surrender:</w:t>
      </w:r>
    </w:p>
    <w:p w14:paraId="40352859" w14:textId="77777777" w:rsidR="000848DA" w:rsidRPr="00853C2C" w:rsidRDefault="000848DA" w:rsidP="00165920">
      <w:pPr>
        <w:pStyle w:val="aiBullet"/>
        <w:rPr>
          <w:rStyle w:val="Red"/>
          <w:color w:val="auto"/>
          <w:sz w:val="24"/>
        </w:rPr>
      </w:pPr>
      <w:r w:rsidRPr="00853C2C">
        <w:rPr>
          <w:rStyle w:val="Red"/>
          <w:color w:val="auto"/>
          <w:sz w:val="24"/>
        </w:rPr>
        <w:t>off-site environmental effects; and</w:t>
      </w:r>
    </w:p>
    <w:p w14:paraId="5259AE6E" w14:textId="7AD8D23A" w:rsidR="000848DA" w:rsidRDefault="000848DA" w:rsidP="00165920">
      <w:pPr>
        <w:pStyle w:val="aiBullet"/>
        <w:rPr>
          <w:rStyle w:val="Red"/>
          <w:color w:val="auto"/>
          <w:sz w:val="24"/>
        </w:rPr>
      </w:pPr>
      <w:r w:rsidRPr="00853C2C">
        <w:rPr>
          <w:rStyle w:val="Red"/>
          <w:color w:val="auto"/>
          <w:sz w:val="24"/>
        </w:rPr>
        <w:t xml:space="preserve">matters which affect the condition of the land and </w:t>
      </w:r>
      <w:proofErr w:type="gramStart"/>
      <w:r w:rsidRPr="00853C2C">
        <w:rPr>
          <w:rStyle w:val="Red"/>
          <w:color w:val="auto"/>
          <w:sz w:val="24"/>
        </w:rPr>
        <w:t>groundwater</w:t>
      </w:r>
      <w:r w:rsidR="002D6C05">
        <w:rPr>
          <w:rStyle w:val="Red"/>
          <w:color w:val="auto"/>
          <w:sz w:val="24"/>
        </w:rPr>
        <w:t>;</w:t>
      </w:r>
      <w:proofErr w:type="gramEnd"/>
    </w:p>
    <w:p w14:paraId="5D0A3AD5" w14:textId="7A3F832E" w:rsidR="002D6C05" w:rsidRPr="00853C2C" w:rsidRDefault="002D6C05" w:rsidP="00165920">
      <w:pPr>
        <w:pStyle w:val="aiBullet"/>
        <w:rPr>
          <w:rStyle w:val="Red"/>
          <w:color w:val="auto"/>
          <w:sz w:val="24"/>
        </w:rPr>
      </w:pPr>
      <w:r w:rsidRPr="002D6C05">
        <w:rPr>
          <w:rStyle w:val="Red"/>
          <w:color w:val="auto"/>
          <w:sz w:val="24"/>
        </w:rPr>
        <w:t xml:space="preserve">information about the characteristics of each waste stream </w:t>
      </w:r>
      <w:r>
        <w:rPr>
          <w:rStyle w:val="Red"/>
          <w:color w:val="auto"/>
          <w:sz w:val="24"/>
        </w:rPr>
        <w:t>as required by rule 2.6.1</w:t>
      </w:r>
    </w:p>
    <w:p w14:paraId="0050DDA4" w14:textId="4F620666" w:rsidR="000848DA" w:rsidRPr="00853C2C" w:rsidRDefault="00292389" w:rsidP="005E66AF">
      <w:pPr>
        <w:pStyle w:val="Bullet1"/>
        <w:rPr>
          <w:rStyle w:val="Red"/>
          <w:color w:val="auto"/>
          <w:sz w:val="24"/>
        </w:rPr>
      </w:pPr>
      <w:r w:rsidRPr="00853C2C">
        <w:rPr>
          <w:rStyle w:val="Red"/>
          <w:color w:val="auto"/>
          <w:sz w:val="24"/>
        </w:rPr>
        <w:t>The operator shall maintain convenient access, in either electronic or hard copy, to the records, plans and management system required to be maintained by this permit.</w:t>
      </w:r>
    </w:p>
    <w:p w14:paraId="528000A7" w14:textId="77777777" w:rsidR="000848DA" w:rsidRPr="001C65C6" w:rsidRDefault="000848DA" w:rsidP="00165920">
      <w:pPr>
        <w:pStyle w:val="Bullet0"/>
      </w:pPr>
      <w:r w:rsidRPr="001C65C6">
        <w:t>Reporting</w:t>
      </w:r>
    </w:p>
    <w:p w14:paraId="13A5DA4A" w14:textId="77777777" w:rsidR="000848DA" w:rsidRPr="00853C2C" w:rsidRDefault="000848DA" w:rsidP="00165920">
      <w:pPr>
        <w:pStyle w:val="Bullet1"/>
        <w:rPr>
          <w:sz w:val="24"/>
        </w:rPr>
      </w:pPr>
      <w:r w:rsidRPr="00853C2C">
        <w:rPr>
          <w:sz w:val="24"/>
        </w:rPr>
        <w:lastRenderedPageBreak/>
        <w:t>The operator shall send all reports and noti</w:t>
      </w:r>
      <w:r w:rsidR="00292C0D" w:rsidRPr="00853C2C">
        <w:rPr>
          <w:sz w:val="24"/>
        </w:rPr>
        <w:t>fications required by these standard rules</w:t>
      </w:r>
      <w:r w:rsidRPr="00853C2C">
        <w:rPr>
          <w:sz w:val="24"/>
        </w:rPr>
        <w:t xml:space="preserve"> to the Environment Agency using the contact details supplied in writing by the Environment Agency.</w:t>
      </w:r>
    </w:p>
    <w:p w14:paraId="5CB417A2" w14:textId="77777777" w:rsidR="00370F30" w:rsidRDefault="00370F30" w:rsidP="009D7D2F">
      <w:pPr>
        <w:pStyle w:val="Bullet1"/>
        <w:rPr>
          <w:rStyle w:val="Red"/>
          <w:color w:val="auto"/>
          <w:sz w:val="24"/>
        </w:rPr>
      </w:pPr>
      <w:r w:rsidRPr="00853C2C">
        <w:rPr>
          <w:rStyle w:val="Red"/>
          <w:color w:val="auto"/>
          <w:sz w:val="24"/>
        </w:rPr>
        <w:t>Within one month of the end of each quarter, the operator shall submit to the Environment Agency using the form made available for the purpose, the information specified on the form relating to the site and the waste accepted and removed from it during the previous quarter.</w:t>
      </w:r>
    </w:p>
    <w:p w14:paraId="73C0E6D6" w14:textId="11A3954D" w:rsidR="00691FC4" w:rsidRDefault="00691FC4" w:rsidP="009D7D2F">
      <w:pPr>
        <w:pStyle w:val="Bullet1"/>
        <w:rPr>
          <w:rStyle w:val="Red"/>
          <w:color w:val="auto"/>
          <w:sz w:val="24"/>
        </w:rPr>
      </w:pPr>
      <w:r>
        <w:rPr>
          <w:rStyle w:val="Red"/>
          <w:color w:val="auto"/>
          <w:sz w:val="24"/>
        </w:rPr>
        <w:t>The operator shall:</w:t>
      </w:r>
    </w:p>
    <w:p w14:paraId="4A64A1E4" w14:textId="428FC0AA" w:rsidR="00691FC4" w:rsidRDefault="0063725F" w:rsidP="71D29686">
      <w:pPr>
        <w:pStyle w:val="aBullet"/>
        <w:rPr>
          <w:rStyle w:val="Red"/>
          <w:color w:val="auto"/>
          <w:sz w:val="24"/>
        </w:rPr>
      </w:pPr>
      <w:r>
        <w:rPr>
          <w:rStyle w:val="Red"/>
          <w:color w:val="auto"/>
          <w:sz w:val="24"/>
        </w:rPr>
        <w:t>s</w:t>
      </w:r>
      <w:r w:rsidR="00691FC4" w:rsidRPr="71D29686">
        <w:rPr>
          <w:rStyle w:val="Red"/>
          <w:color w:val="auto"/>
          <w:sz w:val="24"/>
        </w:rPr>
        <w:t xml:space="preserve">ubmit the plan required under rule 2.2.3 from the survey </w:t>
      </w:r>
      <w:r w:rsidR="00402596">
        <w:rPr>
          <w:rStyle w:val="Red"/>
          <w:color w:val="auto"/>
          <w:sz w:val="24"/>
        </w:rPr>
        <w:t xml:space="preserve">or measurement </w:t>
      </w:r>
      <w:r w:rsidR="00691FC4" w:rsidRPr="71D29686">
        <w:rPr>
          <w:rStyle w:val="Red"/>
          <w:color w:val="auto"/>
          <w:sz w:val="24"/>
        </w:rPr>
        <w:t xml:space="preserve">required by rule 2.2.2 (a) to the Environment Agency prior to commencement of operations unless otherwise agreed in </w:t>
      </w:r>
      <w:r w:rsidR="002E0B7D" w:rsidRPr="71D29686">
        <w:rPr>
          <w:rStyle w:val="Red"/>
          <w:color w:val="auto"/>
          <w:sz w:val="24"/>
        </w:rPr>
        <w:t xml:space="preserve">writing by the Environment Agency. </w:t>
      </w:r>
    </w:p>
    <w:p w14:paraId="7E97E9F7" w14:textId="559C892E" w:rsidR="002E0B7D" w:rsidRDefault="0063725F" w:rsidP="71D29686">
      <w:pPr>
        <w:pStyle w:val="aBullet"/>
        <w:rPr>
          <w:rStyle w:val="Red"/>
          <w:color w:val="auto"/>
          <w:sz w:val="24"/>
        </w:rPr>
      </w:pPr>
      <w:r>
        <w:rPr>
          <w:rStyle w:val="Red"/>
          <w:color w:val="auto"/>
          <w:sz w:val="24"/>
        </w:rPr>
        <w:t>s</w:t>
      </w:r>
      <w:r w:rsidR="002E0B7D" w:rsidRPr="71D29686">
        <w:rPr>
          <w:rStyle w:val="Red"/>
          <w:color w:val="auto"/>
          <w:sz w:val="24"/>
        </w:rPr>
        <w:t xml:space="preserve">ubmit the plan required under rule 2.2.3 from the survey </w:t>
      </w:r>
      <w:r w:rsidR="00402596">
        <w:rPr>
          <w:rStyle w:val="Red"/>
          <w:color w:val="auto"/>
          <w:sz w:val="24"/>
        </w:rPr>
        <w:t xml:space="preserve">or measurement </w:t>
      </w:r>
      <w:r w:rsidR="002E0B7D" w:rsidRPr="71D29686">
        <w:rPr>
          <w:rStyle w:val="Red"/>
          <w:color w:val="auto"/>
          <w:sz w:val="24"/>
        </w:rPr>
        <w:t xml:space="preserve">required by rule 2.2.2 (b) to the Environment Agency within one month of the completion of the recovery activity unless otherwise agreed in writing by the Environment Agency. </w:t>
      </w:r>
    </w:p>
    <w:p w14:paraId="00009420" w14:textId="77777777" w:rsidR="000848DA" w:rsidRDefault="000848DA" w:rsidP="00FB5556">
      <w:pPr>
        <w:pStyle w:val="Bullet0"/>
      </w:pPr>
      <w:r w:rsidRPr="001C65C6">
        <w:t>Notifications</w:t>
      </w:r>
    </w:p>
    <w:p w14:paraId="4860C204" w14:textId="121F1684" w:rsidR="002E0B7D" w:rsidRDefault="002E0B7D" w:rsidP="002E0B7D">
      <w:pPr>
        <w:pStyle w:val="Bullet1"/>
      </w:pPr>
      <w:r w:rsidRPr="002E0B7D">
        <w:rPr>
          <w:sz w:val="24"/>
        </w:rPr>
        <w:t>The operator shall notify the Environment Agency in writing:</w:t>
      </w:r>
    </w:p>
    <w:p w14:paraId="42FFF0E4" w14:textId="45FFC150" w:rsidR="002E0B7D" w:rsidRPr="002E0B7D" w:rsidRDefault="0063725F" w:rsidP="5AB6C348">
      <w:pPr>
        <w:pStyle w:val="aBullet"/>
        <w:rPr>
          <w:rStyle w:val="Red"/>
          <w:color w:val="auto"/>
          <w:sz w:val="24"/>
        </w:rPr>
      </w:pPr>
      <w:r>
        <w:rPr>
          <w:rStyle w:val="Red"/>
          <w:color w:val="auto"/>
          <w:sz w:val="24"/>
        </w:rPr>
        <w:t>a</w:t>
      </w:r>
      <w:r w:rsidR="002E0B7D" w:rsidRPr="5AB6C348">
        <w:rPr>
          <w:rStyle w:val="Red"/>
          <w:color w:val="auto"/>
          <w:sz w:val="24"/>
        </w:rPr>
        <w:t>t least 14 days before the commence</w:t>
      </w:r>
      <w:r>
        <w:rPr>
          <w:rStyle w:val="Red"/>
          <w:color w:val="auto"/>
          <w:sz w:val="24"/>
        </w:rPr>
        <w:t>ment</w:t>
      </w:r>
      <w:r w:rsidR="002E0B7D" w:rsidRPr="5AB6C348">
        <w:rPr>
          <w:rStyle w:val="Red"/>
          <w:color w:val="auto"/>
          <w:sz w:val="24"/>
        </w:rPr>
        <w:t xml:space="preserve"> of the recovery operation; and </w:t>
      </w:r>
    </w:p>
    <w:p w14:paraId="48706BAB" w14:textId="677BAB27" w:rsidR="002E0B7D" w:rsidRPr="002E0B7D" w:rsidRDefault="0063725F" w:rsidP="5AB6C348">
      <w:pPr>
        <w:pStyle w:val="aBullet"/>
        <w:rPr>
          <w:rStyle w:val="Red"/>
          <w:color w:val="auto"/>
          <w:sz w:val="24"/>
        </w:rPr>
      </w:pPr>
      <w:r>
        <w:rPr>
          <w:rStyle w:val="Red"/>
          <w:color w:val="auto"/>
          <w:sz w:val="24"/>
        </w:rPr>
        <w:t>w</w:t>
      </w:r>
      <w:r w:rsidR="002E0B7D" w:rsidRPr="5AB6C348">
        <w:rPr>
          <w:rStyle w:val="Red"/>
          <w:color w:val="auto"/>
          <w:sz w:val="24"/>
        </w:rPr>
        <w:t>ithin 14 days of completion of the recovery operation.</w:t>
      </w:r>
    </w:p>
    <w:p w14:paraId="7E55D1AA" w14:textId="3F6448E0" w:rsidR="00E70191" w:rsidRDefault="00FB5556" w:rsidP="00FB5556">
      <w:pPr>
        <w:pStyle w:val="Bullet1"/>
        <w:rPr>
          <w:sz w:val="24"/>
        </w:rPr>
      </w:pPr>
      <w:r>
        <w:rPr>
          <w:sz w:val="24"/>
        </w:rPr>
        <w:t>In the event:</w:t>
      </w:r>
    </w:p>
    <w:p w14:paraId="5ADBDAC3" w14:textId="5136F426" w:rsidR="00FB5556" w:rsidRPr="00FB5556" w:rsidRDefault="00FB5556" w:rsidP="00FB5556">
      <w:pPr>
        <w:pStyle w:val="aBullet"/>
        <w:rPr>
          <w:sz w:val="24"/>
        </w:rPr>
      </w:pPr>
      <w:r>
        <w:rPr>
          <w:sz w:val="24"/>
        </w:rPr>
        <w:t>t</w:t>
      </w:r>
      <w:r w:rsidRPr="00FB5556">
        <w:rPr>
          <w:sz w:val="24"/>
        </w:rPr>
        <w:t>hat the operation of the activities gives rise to an incident or accident which significantly affects or may significantly affect the environment, the operator must immediately-</w:t>
      </w:r>
    </w:p>
    <w:p w14:paraId="186B6B0B" w14:textId="159C80CC" w:rsidR="00FB5556" w:rsidRPr="00FB5556" w:rsidRDefault="00FB5556" w:rsidP="00FB5556">
      <w:pPr>
        <w:pStyle w:val="aiBullet"/>
        <w:rPr>
          <w:sz w:val="24"/>
        </w:rPr>
      </w:pPr>
      <w:r>
        <w:rPr>
          <w:sz w:val="24"/>
        </w:rPr>
        <w:t>i</w:t>
      </w:r>
      <w:r w:rsidRPr="00FB5556">
        <w:rPr>
          <w:sz w:val="24"/>
        </w:rPr>
        <w:t>nform the Environment Agency,</w:t>
      </w:r>
    </w:p>
    <w:p w14:paraId="002E6F61" w14:textId="6BCBE17D" w:rsidR="00FB5556" w:rsidRPr="00FB5556" w:rsidRDefault="00FB5556" w:rsidP="00FB5556">
      <w:pPr>
        <w:pStyle w:val="aiBullet"/>
        <w:rPr>
          <w:sz w:val="24"/>
        </w:rPr>
      </w:pPr>
      <w:r>
        <w:rPr>
          <w:sz w:val="24"/>
        </w:rPr>
        <w:t>t</w:t>
      </w:r>
      <w:r w:rsidRPr="00FB5556">
        <w:rPr>
          <w:sz w:val="24"/>
        </w:rPr>
        <w:t>ake the measures necessary to limit the environmental consequences of such an incident or accident, and</w:t>
      </w:r>
    </w:p>
    <w:p w14:paraId="54D06FCF" w14:textId="2F0A970E" w:rsidR="00FB5556" w:rsidRPr="00FB5556" w:rsidRDefault="00FB5556" w:rsidP="00FB5556">
      <w:pPr>
        <w:pStyle w:val="aiBullet"/>
        <w:rPr>
          <w:sz w:val="24"/>
        </w:rPr>
      </w:pPr>
      <w:r>
        <w:rPr>
          <w:sz w:val="24"/>
        </w:rPr>
        <w:t>t</w:t>
      </w:r>
      <w:r w:rsidRPr="00FB5556">
        <w:rPr>
          <w:sz w:val="24"/>
        </w:rPr>
        <w:t xml:space="preserve">ake the measures necessary to prevent further possible incidents or </w:t>
      </w:r>
      <w:proofErr w:type="gramStart"/>
      <w:r w:rsidRPr="00FB5556">
        <w:rPr>
          <w:sz w:val="24"/>
        </w:rPr>
        <w:t>accidents;</w:t>
      </w:r>
      <w:proofErr w:type="gramEnd"/>
    </w:p>
    <w:p w14:paraId="0CF4D9F9" w14:textId="3572B03A" w:rsidR="00FB5556" w:rsidRPr="00FB5556" w:rsidRDefault="00FB5556" w:rsidP="00FB5556">
      <w:pPr>
        <w:pStyle w:val="aBullet"/>
        <w:rPr>
          <w:sz w:val="24"/>
        </w:rPr>
      </w:pPr>
      <w:r w:rsidRPr="00FB5556">
        <w:rPr>
          <w:sz w:val="24"/>
        </w:rPr>
        <w:t xml:space="preserve">of a breach of any permit condition the operator must immediately- </w:t>
      </w:r>
    </w:p>
    <w:p w14:paraId="2DF1EF36" w14:textId="28E4693A" w:rsidR="00FB5556" w:rsidRPr="00FB5556" w:rsidRDefault="00FB5556" w:rsidP="00FB5556">
      <w:pPr>
        <w:pStyle w:val="aiBullet"/>
        <w:rPr>
          <w:sz w:val="24"/>
        </w:rPr>
      </w:pPr>
      <w:r w:rsidRPr="00FB5556">
        <w:rPr>
          <w:sz w:val="24"/>
        </w:rPr>
        <w:t>inform the Environment Agency, and</w:t>
      </w:r>
    </w:p>
    <w:p w14:paraId="426146C2" w14:textId="273A00C0" w:rsidR="00FB5556" w:rsidRPr="00FB5556" w:rsidRDefault="00FB5556" w:rsidP="00FB5556">
      <w:pPr>
        <w:pStyle w:val="aiBullet"/>
        <w:rPr>
          <w:sz w:val="24"/>
        </w:rPr>
      </w:pPr>
      <w:r w:rsidRPr="00FB5556">
        <w:rPr>
          <w:sz w:val="24"/>
        </w:rPr>
        <w:t xml:space="preserve">take the measures necessary to ensure that compliance is restored within the shortest possible </w:t>
      </w:r>
      <w:proofErr w:type="gramStart"/>
      <w:r w:rsidRPr="00FB5556">
        <w:rPr>
          <w:sz w:val="24"/>
        </w:rPr>
        <w:t>time;</w:t>
      </w:r>
      <w:proofErr w:type="gramEnd"/>
    </w:p>
    <w:p w14:paraId="58B808E4" w14:textId="50788FE1" w:rsidR="00FB5556" w:rsidRPr="00FB5556" w:rsidRDefault="00FB5556" w:rsidP="00FB5556">
      <w:pPr>
        <w:pStyle w:val="aBullet"/>
        <w:rPr>
          <w:sz w:val="24"/>
        </w:rPr>
      </w:pPr>
      <w:r w:rsidRPr="00FB5556">
        <w:rPr>
          <w:sz w:val="24"/>
        </w:rPr>
        <w:t xml:space="preserve">of a breach of permit condition which poses an immediate danger to human health or threatens to cause an immediate significant adverse effect on the environment, the operator must immediately suspend the operation of the activities or the relevant part of it until compliance with the permit conditions has been restored. </w:t>
      </w:r>
    </w:p>
    <w:p w14:paraId="7010CC07" w14:textId="77777777" w:rsidR="000848DA" w:rsidRPr="00853C2C" w:rsidRDefault="000848DA" w:rsidP="00292C0D">
      <w:pPr>
        <w:pStyle w:val="Bullet1"/>
        <w:rPr>
          <w:sz w:val="24"/>
        </w:rPr>
      </w:pPr>
      <w:r w:rsidRPr="00853C2C">
        <w:rPr>
          <w:sz w:val="24"/>
        </w:rPr>
        <w:lastRenderedPageBreak/>
        <w:t>Where the Environment Agency has requested in writing that it shall be notified when the operator is to undertake monitoring and/or spot sampling, the operator shall inform the Environment Agency when the relevant monitoring and/or spot sampling is to take place. The operator shall provide this information to the Environment Agency at least 14 days before the date the monitoring is to be undertaken.</w:t>
      </w:r>
    </w:p>
    <w:p w14:paraId="18B628BA" w14:textId="77777777" w:rsidR="00FA1A55" w:rsidRPr="00853C2C" w:rsidRDefault="000848DA" w:rsidP="00FA1A55">
      <w:pPr>
        <w:pStyle w:val="Bullet1"/>
        <w:rPr>
          <w:sz w:val="24"/>
        </w:rPr>
      </w:pPr>
      <w:r w:rsidRPr="00853C2C">
        <w:rPr>
          <w:sz w:val="24"/>
        </w:rPr>
        <w:t>The Environment Agency shall be notified within 14 days of the occurrence of the following matters, except where such disclosure is proh</w:t>
      </w:r>
      <w:r w:rsidR="00FA1A55" w:rsidRPr="00853C2C">
        <w:rPr>
          <w:sz w:val="24"/>
        </w:rPr>
        <w:t>ibited by Stock Exchange rules:</w:t>
      </w:r>
    </w:p>
    <w:p w14:paraId="1F4535F3" w14:textId="77777777" w:rsidR="000848DA" w:rsidRPr="00853C2C" w:rsidRDefault="000848DA" w:rsidP="00770865">
      <w:pPr>
        <w:pStyle w:val="ListParagraph"/>
        <w:numPr>
          <w:ilvl w:val="0"/>
          <w:numId w:val="26"/>
        </w:numPr>
        <w:rPr>
          <w:sz w:val="24"/>
        </w:rPr>
      </w:pPr>
      <w:r w:rsidRPr="00853C2C">
        <w:rPr>
          <w:sz w:val="24"/>
        </w:rPr>
        <w:t>Where the operator is a registered company:</w:t>
      </w:r>
    </w:p>
    <w:p w14:paraId="3D335E9B" w14:textId="77777777" w:rsidR="000848DA" w:rsidRPr="00853C2C" w:rsidRDefault="000848DA" w:rsidP="00770865">
      <w:pPr>
        <w:pStyle w:val="aBullet"/>
        <w:numPr>
          <w:ilvl w:val="0"/>
          <w:numId w:val="27"/>
        </w:numPr>
        <w:ind w:left="1418" w:hanging="284"/>
        <w:rPr>
          <w:sz w:val="24"/>
        </w:rPr>
      </w:pPr>
      <w:r w:rsidRPr="00853C2C">
        <w:rPr>
          <w:sz w:val="24"/>
        </w:rPr>
        <w:t>any change in the operator’s trading name, registered name or registered office address; and</w:t>
      </w:r>
    </w:p>
    <w:p w14:paraId="76C1240A" w14:textId="77777777" w:rsidR="00FA1A55" w:rsidRPr="00853C2C" w:rsidRDefault="000848DA" w:rsidP="00770865">
      <w:pPr>
        <w:pStyle w:val="aBullet"/>
        <w:numPr>
          <w:ilvl w:val="0"/>
          <w:numId w:val="27"/>
        </w:numPr>
        <w:ind w:left="1418" w:hanging="284"/>
        <w:rPr>
          <w:sz w:val="24"/>
        </w:rPr>
      </w:pPr>
      <w:r w:rsidRPr="00853C2C">
        <w:rPr>
          <w:sz w:val="24"/>
        </w:rPr>
        <w:t xml:space="preserve">any steps taken with a view to the operator going into administration, </w:t>
      </w:r>
      <w:proofErr w:type="gramStart"/>
      <w:r w:rsidRPr="00853C2C">
        <w:rPr>
          <w:sz w:val="24"/>
        </w:rPr>
        <w:t>entering into</w:t>
      </w:r>
      <w:proofErr w:type="gramEnd"/>
      <w:r w:rsidRPr="00853C2C">
        <w:rPr>
          <w:sz w:val="24"/>
        </w:rPr>
        <w:t xml:space="preserve"> a company voluntary arrangement or being wound up.</w:t>
      </w:r>
    </w:p>
    <w:p w14:paraId="6A909BA0" w14:textId="77777777" w:rsidR="000848DA" w:rsidRPr="00853C2C" w:rsidRDefault="000848DA" w:rsidP="00770865">
      <w:pPr>
        <w:pStyle w:val="ListParagraph"/>
        <w:numPr>
          <w:ilvl w:val="0"/>
          <w:numId w:val="26"/>
        </w:numPr>
        <w:rPr>
          <w:sz w:val="24"/>
        </w:rPr>
      </w:pPr>
      <w:r w:rsidRPr="00853C2C">
        <w:rPr>
          <w:sz w:val="24"/>
        </w:rPr>
        <w:t>Where the operator is a corporate body other than a registered company:</w:t>
      </w:r>
    </w:p>
    <w:p w14:paraId="48AF3D0A" w14:textId="77777777" w:rsidR="000848DA" w:rsidRPr="00853C2C" w:rsidRDefault="000848DA" w:rsidP="00770865">
      <w:pPr>
        <w:pStyle w:val="aBullet"/>
        <w:numPr>
          <w:ilvl w:val="0"/>
          <w:numId w:val="28"/>
        </w:numPr>
        <w:rPr>
          <w:sz w:val="24"/>
        </w:rPr>
      </w:pPr>
      <w:r w:rsidRPr="00853C2C">
        <w:rPr>
          <w:sz w:val="24"/>
        </w:rPr>
        <w:t>any change in the operator’s name or address; and</w:t>
      </w:r>
    </w:p>
    <w:p w14:paraId="05C58267" w14:textId="77777777" w:rsidR="000848DA" w:rsidRPr="00853C2C" w:rsidRDefault="000848DA" w:rsidP="00770865">
      <w:pPr>
        <w:pStyle w:val="aBullet"/>
        <w:numPr>
          <w:ilvl w:val="0"/>
          <w:numId w:val="28"/>
        </w:numPr>
        <w:rPr>
          <w:sz w:val="24"/>
        </w:rPr>
      </w:pPr>
      <w:r w:rsidRPr="00853C2C">
        <w:rPr>
          <w:sz w:val="24"/>
        </w:rPr>
        <w:t>any steps taken with a view to the dissolution of the operator.</w:t>
      </w:r>
    </w:p>
    <w:p w14:paraId="05284DC3" w14:textId="77777777" w:rsidR="00370F30" w:rsidRPr="00853C2C" w:rsidRDefault="00370F30" w:rsidP="00770865">
      <w:pPr>
        <w:pStyle w:val="ListParagraph"/>
        <w:numPr>
          <w:ilvl w:val="0"/>
          <w:numId w:val="26"/>
        </w:numPr>
        <w:rPr>
          <w:rStyle w:val="Red"/>
          <w:color w:val="auto"/>
          <w:sz w:val="24"/>
        </w:rPr>
      </w:pPr>
      <w:r w:rsidRPr="00853C2C">
        <w:rPr>
          <w:rStyle w:val="Red"/>
          <w:color w:val="auto"/>
          <w:sz w:val="24"/>
        </w:rPr>
        <w:t xml:space="preserve">In any other case: </w:t>
      </w:r>
    </w:p>
    <w:p w14:paraId="763BE8FC" w14:textId="77777777" w:rsidR="00370F30" w:rsidRPr="00853C2C" w:rsidRDefault="00370F30" w:rsidP="00770865">
      <w:pPr>
        <w:pStyle w:val="aBullet"/>
        <w:numPr>
          <w:ilvl w:val="0"/>
          <w:numId w:val="29"/>
        </w:numPr>
        <w:ind w:left="1418" w:hanging="284"/>
        <w:rPr>
          <w:rStyle w:val="Red"/>
          <w:color w:val="auto"/>
          <w:sz w:val="24"/>
        </w:rPr>
      </w:pPr>
      <w:r w:rsidRPr="00853C2C">
        <w:rPr>
          <w:rStyle w:val="Red"/>
          <w:color w:val="auto"/>
          <w:sz w:val="24"/>
        </w:rPr>
        <w:t>the death of any of the named operators (where the operator consists of more than one named individual</w:t>
      </w:r>
      <w:proofErr w:type="gramStart"/>
      <w:r w:rsidRPr="00853C2C">
        <w:rPr>
          <w:rStyle w:val="Red"/>
          <w:color w:val="auto"/>
          <w:sz w:val="24"/>
        </w:rPr>
        <w:t>);</w:t>
      </w:r>
      <w:proofErr w:type="gramEnd"/>
    </w:p>
    <w:p w14:paraId="7365FFC2" w14:textId="77777777" w:rsidR="00370F30" w:rsidRPr="00853C2C" w:rsidRDefault="00370F30" w:rsidP="00770865">
      <w:pPr>
        <w:pStyle w:val="aBullet"/>
        <w:numPr>
          <w:ilvl w:val="0"/>
          <w:numId w:val="29"/>
        </w:numPr>
        <w:ind w:left="1418" w:hanging="284"/>
        <w:rPr>
          <w:rStyle w:val="Red"/>
          <w:color w:val="auto"/>
          <w:sz w:val="24"/>
        </w:rPr>
      </w:pPr>
      <w:r w:rsidRPr="00853C2C">
        <w:rPr>
          <w:rStyle w:val="Red"/>
          <w:color w:val="auto"/>
          <w:sz w:val="24"/>
        </w:rPr>
        <w:t>any change in the operator’s name(s) or address(es); and</w:t>
      </w:r>
    </w:p>
    <w:p w14:paraId="2B11AB31" w14:textId="77777777" w:rsidR="00370F30" w:rsidRPr="00853C2C" w:rsidRDefault="00370F30" w:rsidP="00770865">
      <w:pPr>
        <w:pStyle w:val="aBullet"/>
        <w:numPr>
          <w:ilvl w:val="0"/>
          <w:numId w:val="29"/>
        </w:numPr>
        <w:ind w:left="1418" w:hanging="284"/>
        <w:rPr>
          <w:rStyle w:val="Red"/>
          <w:color w:val="auto"/>
          <w:sz w:val="24"/>
        </w:rPr>
      </w:pPr>
      <w:r w:rsidRPr="00853C2C">
        <w:rPr>
          <w:rStyle w:val="Red"/>
          <w:color w:val="auto"/>
          <w:sz w:val="24"/>
        </w:rPr>
        <w:t xml:space="preserve">any steps taken with a view to the operator, or any one of them, going into bankruptcy, </w:t>
      </w:r>
      <w:proofErr w:type="gramStart"/>
      <w:r w:rsidRPr="00853C2C">
        <w:rPr>
          <w:rStyle w:val="Red"/>
          <w:color w:val="auto"/>
          <w:sz w:val="24"/>
        </w:rPr>
        <w:t>entering into</w:t>
      </w:r>
      <w:proofErr w:type="gramEnd"/>
      <w:r w:rsidRPr="00853C2C">
        <w:rPr>
          <w:rStyle w:val="Red"/>
          <w:color w:val="auto"/>
          <w:sz w:val="24"/>
        </w:rPr>
        <w:t xml:space="preserve"> a composition or arrangement with creditors, or, in the case of them being in a partnership, dissolving the partnership.</w:t>
      </w:r>
    </w:p>
    <w:p w14:paraId="5FE13810" w14:textId="77777777" w:rsidR="000848DA" w:rsidRPr="007660F0" w:rsidRDefault="000848DA" w:rsidP="00FA1A55">
      <w:pPr>
        <w:pStyle w:val="Bullet0"/>
      </w:pPr>
      <w:r w:rsidRPr="007660F0">
        <w:t>Interpretation</w:t>
      </w:r>
    </w:p>
    <w:p w14:paraId="5E309FAB" w14:textId="2135F569" w:rsidR="000848DA" w:rsidRPr="00853C2C" w:rsidRDefault="000848DA" w:rsidP="00FA1A55">
      <w:pPr>
        <w:pStyle w:val="Bullet1"/>
        <w:rPr>
          <w:sz w:val="24"/>
        </w:rPr>
      </w:pPr>
      <w:r w:rsidRPr="00853C2C">
        <w:rPr>
          <w:sz w:val="24"/>
        </w:rPr>
        <w:t xml:space="preserve">In </w:t>
      </w:r>
      <w:r w:rsidR="00287106" w:rsidRPr="00853C2C">
        <w:rPr>
          <w:sz w:val="24"/>
        </w:rPr>
        <w:t>these standard rules</w:t>
      </w:r>
      <w:r w:rsidRPr="00853C2C">
        <w:rPr>
          <w:sz w:val="24"/>
        </w:rPr>
        <w:t xml:space="preserve"> the expressions listed</w:t>
      </w:r>
      <w:r w:rsidR="00287106" w:rsidRPr="00853C2C">
        <w:rPr>
          <w:sz w:val="24"/>
        </w:rPr>
        <w:t xml:space="preserve"> below shall have the meaning given</w:t>
      </w:r>
    </w:p>
    <w:p w14:paraId="0A6A4581" w14:textId="1D6FE7D4" w:rsidR="000848DA" w:rsidRDefault="000848DA" w:rsidP="00FA1A55">
      <w:pPr>
        <w:pStyle w:val="Bullet1"/>
        <w:rPr>
          <w:sz w:val="24"/>
        </w:rPr>
      </w:pPr>
      <w:r w:rsidRPr="00853C2C">
        <w:rPr>
          <w:sz w:val="24"/>
        </w:rPr>
        <w:t xml:space="preserve">In </w:t>
      </w:r>
      <w:r w:rsidR="00287106" w:rsidRPr="00853C2C">
        <w:rPr>
          <w:sz w:val="24"/>
        </w:rPr>
        <w:t xml:space="preserve">these standard rules </w:t>
      </w:r>
      <w:r w:rsidRPr="00853C2C">
        <w:rPr>
          <w:sz w:val="24"/>
        </w:rPr>
        <w:t xml:space="preserve">references to reports and notifications mean written reports and notifications, except where reference is made to notification being made </w:t>
      </w:r>
      <w:r w:rsidR="00077A0C" w:rsidRPr="00853C2C">
        <w:rPr>
          <w:sz w:val="24"/>
        </w:rPr>
        <w:t xml:space="preserve">as soon as possible </w:t>
      </w:r>
      <w:r w:rsidRPr="00853C2C">
        <w:rPr>
          <w:sz w:val="24"/>
        </w:rPr>
        <w:t>in which case i</w:t>
      </w:r>
      <w:r w:rsidR="00FA1A55" w:rsidRPr="00853C2C">
        <w:rPr>
          <w:sz w:val="24"/>
        </w:rPr>
        <w:t>t may be provided by telephone.</w:t>
      </w:r>
    </w:p>
    <w:p w14:paraId="489E5385" w14:textId="0ACE004B" w:rsidR="000848DA" w:rsidRDefault="0036251D" w:rsidP="000848DA">
      <w:pPr>
        <w:rPr>
          <w:rStyle w:val="Pink"/>
          <w:color w:val="auto"/>
          <w:sz w:val="24"/>
        </w:rPr>
      </w:pPr>
      <w:r w:rsidRPr="00853C2C">
        <w:rPr>
          <w:rStyle w:val="Pink"/>
          <w:color w:val="auto"/>
          <w:sz w:val="24"/>
        </w:rPr>
        <w:t>“accident” means an accident that may result in pollution</w:t>
      </w:r>
    </w:p>
    <w:p w14:paraId="3F2A09CE" w14:textId="77777777" w:rsidR="006F4C4C" w:rsidRPr="00E85CFF" w:rsidRDefault="006F4C4C" w:rsidP="006F4C4C">
      <w:pPr>
        <w:rPr>
          <w:sz w:val="24"/>
        </w:rPr>
      </w:pPr>
      <w:r w:rsidRPr="00E85CFF">
        <w:rPr>
          <w:sz w:val="24"/>
        </w:rPr>
        <w:t>“</w:t>
      </w:r>
      <w:proofErr w:type="gramStart"/>
      <w:r w:rsidRPr="00E85CFF">
        <w:rPr>
          <w:sz w:val="24"/>
        </w:rPr>
        <w:t>air</w:t>
      </w:r>
      <w:proofErr w:type="gramEnd"/>
      <w:r w:rsidRPr="00E85CFF">
        <w:rPr>
          <w:sz w:val="24"/>
        </w:rPr>
        <w:t xml:space="preserve"> quality management area” means within the meaning of the Environment Act 1995 an area which has been designated by the Local Authority where it has concerns that the Air Quality Objectives will not be met and needs to put in a Local Air Quality action plan.</w:t>
      </w:r>
    </w:p>
    <w:p w14:paraId="1A4E8F6E" w14:textId="297EE502" w:rsidR="00E85CFF" w:rsidRDefault="00E85CFF" w:rsidP="000848DA">
      <w:pPr>
        <w:rPr>
          <w:rStyle w:val="Pink"/>
          <w:color w:val="auto"/>
          <w:sz w:val="24"/>
        </w:rPr>
      </w:pPr>
      <w:r w:rsidRPr="00E85CFF">
        <w:rPr>
          <w:rStyle w:val="Pink"/>
          <w:color w:val="auto"/>
          <w:sz w:val="24"/>
        </w:rPr>
        <w:t>“</w:t>
      </w:r>
      <w:proofErr w:type="gramStart"/>
      <w:r w:rsidRPr="00E85CFF">
        <w:rPr>
          <w:rStyle w:val="Pink"/>
          <w:color w:val="auto"/>
          <w:sz w:val="24"/>
        </w:rPr>
        <w:t>approved</w:t>
      </w:r>
      <w:proofErr w:type="gramEnd"/>
      <w:r w:rsidRPr="00E85CFF">
        <w:rPr>
          <w:rStyle w:val="Pink"/>
          <w:color w:val="auto"/>
          <w:sz w:val="24"/>
        </w:rPr>
        <w:t xml:space="preserve"> waste recovery plan” means a plan that has been approved by the Environment Agency that demonstrates and gives evidence that the operation carried out under these standard rules meets the definition of waste recovery, and will continue to do so throughout the duration of the permitted operation.</w:t>
      </w:r>
    </w:p>
    <w:p w14:paraId="4E79AE98" w14:textId="77777777" w:rsidR="006F4C4C" w:rsidRDefault="006F4C4C" w:rsidP="006F4C4C">
      <w:pPr>
        <w:rPr>
          <w:sz w:val="24"/>
        </w:rPr>
      </w:pPr>
      <w:r w:rsidRPr="00E85CFF">
        <w:rPr>
          <w:sz w:val="24"/>
        </w:rPr>
        <w:lastRenderedPageBreak/>
        <w:t>“aquifer” means subsurface layer or layers of rock or other geological strata of sufficient porosity and permeability to allow either a significant flow of groundwater or the abstraction of significant quantities of groundwater.</w:t>
      </w:r>
    </w:p>
    <w:p w14:paraId="51829435" w14:textId="4B1B89A3" w:rsidR="0036251D" w:rsidRDefault="0096661C" w:rsidP="000848DA">
      <w:pPr>
        <w:rPr>
          <w:sz w:val="24"/>
        </w:rPr>
      </w:pPr>
      <w:r w:rsidRPr="00853C2C">
        <w:rPr>
          <w:sz w:val="24"/>
        </w:rPr>
        <w:t>“</w:t>
      </w:r>
      <w:proofErr w:type="gramStart"/>
      <w:r w:rsidRPr="00853C2C">
        <w:rPr>
          <w:sz w:val="24"/>
        </w:rPr>
        <w:t>authorised</w:t>
      </w:r>
      <w:proofErr w:type="gramEnd"/>
      <w:r w:rsidRPr="00853C2C">
        <w:rPr>
          <w:sz w:val="24"/>
        </w:rPr>
        <w:t xml:space="preserve"> officer” means any person authorised by the Environment Agency under section 108(1) of The Environment Act 1995 to exercise, in accordance with the terms of any such authorisation, any power specified in section 108(4) of that Act.</w:t>
      </w:r>
    </w:p>
    <w:p w14:paraId="3BF1F2D0" w14:textId="2D2BEE83" w:rsidR="00E85CFF" w:rsidRDefault="00E85CFF" w:rsidP="000848DA">
      <w:pPr>
        <w:rPr>
          <w:sz w:val="24"/>
          <w:szCs w:val="20"/>
        </w:rPr>
      </w:pPr>
      <w:r w:rsidRPr="00880266">
        <w:rPr>
          <w:sz w:val="24"/>
          <w:szCs w:val="20"/>
        </w:rPr>
        <w:t>“</w:t>
      </w:r>
      <w:proofErr w:type="gramStart"/>
      <w:r w:rsidRPr="00880266">
        <w:rPr>
          <w:sz w:val="24"/>
          <w:szCs w:val="20"/>
        </w:rPr>
        <w:t>construction</w:t>
      </w:r>
      <w:proofErr w:type="gramEnd"/>
      <w:r w:rsidRPr="00880266">
        <w:rPr>
          <w:sz w:val="24"/>
          <w:szCs w:val="20"/>
        </w:rPr>
        <w:t xml:space="preserve"> work” means the carrying out of any building, civil engineering or engineering work and includes the building, alteration, conversion, repair, upkeep or other maintenance of a structure and the preparation of a site for an intended structure. It includes drainage works.</w:t>
      </w:r>
    </w:p>
    <w:p w14:paraId="3BA249B1" w14:textId="6DADCD5A" w:rsidR="00244450" w:rsidRPr="00880266" w:rsidRDefault="00244450" w:rsidP="000848DA">
      <w:pPr>
        <w:rPr>
          <w:sz w:val="24"/>
        </w:rPr>
      </w:pPr>
      <w:r>
        <w:rPr>
          <w:sz w:val="24"/>
          <w:szCs w:val="20"/>
        </w:rPr>
        <w:t>“days” means calendar days (not working days)</w:t>
      </w:r>
    </w:p>
    <w:p w14:paraId="095E4476" w14:textId="0969E3A5" w:rsidR="0096661C" w:rsidRPr="00853C2C" w:rsidRDefault="0096661C" w:rsidP="000848DA">
      <w:pPr>
        <w:rPr>
          <w:rStyle w:val="Red"/>
          <w:color w:val="auto"/>
          <w:sz w:val="24"/>
        </w:rPr>
      </w:pPr>
      <w:r w:rsidRPr="00853C2C">
        <w:rPr>
          <w:rStyle w:val="Red"/>
          <w:color w:val="auto"/>
          <w:sz w:val="24"/>
        </w:rPr>
        <w:t>“disposal” means any of the operations provided for in Annex IIA to Directive 2006/12/EC of the European Parliament and of the Council of 5 April 2006 on Waste.</w:t>
      </w:r>
    </w:p>
    <w:p w14:paraId="148529CF" w14:textId="10AD3D71" w:rsidR="00E85CFF" w:rsidRPr="00880266" w:rsidRDefault="00E85CFF" w:rsidP="00880266">
      <w:pPr>
        <w:rPr>
          <w:sz w:val="24"/>
        </w:rPr>
      </w:pPr>
      <w:r w:rsidRPr="00880266">
        <w:rPr>
          <w:sz w:val="24"/>
        </w:rPr>
        <w:t>“</w:t>
      </w:r>
      <w:proofErr w:type="gramStart"/>
      <w:r w:rsidRPr="00880266">
        <w:rPr>
          <w:sz w:val="24"/>
        </w:rPr>
        <w:t>ecological</w:t>
      </w:r>
      <w:proofErr w:type="gramEnd"/>
      <w:r w:rsidRPr="00880266">
        <w:rPr>
          <w:sz w:val="24"/>
        </w:rPr>
        <w:t xml:space="preserve"> improvement” means providing, maintaining or improving the soils ability to provide a growing medium including for growth of vegetation on landscaping and for recreational and amenity uses. </w:t>
      </w:r>
    </w:p>
    <w:p w14:paraId="5BDAAE42" w14:textId="73B55884" w:rsidR="0036251D" w:rsidRPr="00853C2C" w:rsidRDefault="0096661C" w:rsidP="000848DA">
      <w:pPr>
        <w:rPr>
          <w:sz w:val="24"/>
        </w:rPr>
      </w:pPr>
      <w:r w:rsidRPr="00853C2C">
        <w:rPr>
          <w:sz w:val="24"/>
        </w:rPr>
        <w:t>“</w:t>
      </w:r>
      <w:proofErr w:type="gramStart"/>
      <w:r w:rsidRPr="00853C2C">
        <w:rPr>
          <w:sz w:val="24"/>
        </w:rPr>
        <w:t>emissions</w:t>
      </w:r>
      <w:proofErr w:type="gramEnd"/>
      <w:r w:rsidRPr="00853C2C">
        <w:rPr>
          <w:sz w:val="24"/>
        </w:rPr>
        <w:t xml:space="preserve"> of substances not controlled by emission limits” means emissions of substances to air, water or land from the activities, either from the emission points specified in these standard rules or from other localised or diffuse sources, which are not controlled by an emission </w:t>
      </w:r>
      <w:r w:rsidRPr="00853C2C">
        <w:rPr>
          <w:rStyle w:val="Red"/>
          <w:color w:val="auto"/>
          <w:sz w:val="24"/>
        </w:rPr>
        <w:t>or background concentration</w:t>
      </w:r>
      <w:r w:rsidRPr="00853C2C">
        <w:rPr>
          <w:sz w:val="24"/>
        </w:rPr>
        <w:t xml:space="preserve"> limit.</w:t>
      </w:r>
    </w:p>
    <w:p w14:paraId="62765F22" w14:textId="02F11998" w:rsidR="0096661C" w:rsidRDefault="0096661C" w:rsidP="000848DA">
      <w:pPr>
        <w:rPr>
          <w:rStyle w:val="Red"/>
          <w:color w:val="auto"/>
          <w:sz w:val="24"/>
        </w:rPr>
      </w:pPr>
      <w:r w:rsidRPr="00853C2C">
        <w:rPr>
          <w:rStyle w:val="Red"/>
          <w:color w:val="auto"/>
          <w:sz w:val="24"/>
        </w:rPr>
        <w:t>“</w:t>
      </w:r>
      <w:proofErr w:type="gramStart"/>
      <w:r w:rsidRPr="00853C2C">
        <w:rPr>
          <w:rStyle w:val="Red"/>
          <w:color w:val="auto"/>
          <w:sz w:val="24"/>
        </w:rPr>
        <w:t>emissions</w:t>
      </w:r>
      <w:proofErr w:type="gramEnd"/>
      <w:r w:rsidRPr="00853C2C">
        <w:rPr>
          <w:rStyle w:val="Red"/>
          <w:color w:val="auto"/>
          <w:sz w:val="24"/>
        </w:rPr>
        <w:t xml:space="preserve"> to land” means includes emissions to groundwater.</w:t>
      </w:r>
    </w:p>
    <w:p w14:paraId="5F01290E" w14:textId="77777777" w:rsidR="006F4C4C" w:rsidRDefault="006F4C4C" w:rsidP="006F4C4C">
      <w:pPr>
        <w:rPr>
          <w:sz w:val="24"/>
        </w:rPr>
      </w:pPr>
      <w:r w:rsidRPr="00853C2C">
        <w:rPr>
          <w:sz w:val="24"/>
        </w:rPr>
        <w:t>“EP Regulations” means The Environmental Permitting (England and Wales) Regulations SI 2010 No.675 and words and expressions used in this permit which are also used in the Regulations have the same meanings as in those Regulations.</w:t>
      </w:r>
    </w:p>
    <w:p w14:paraId="766F9337" w14:textId="550F0D4E" w:rsidR="0096661C" w:rsidRDefault="0096661C" w:rsidP="000848DA">
      <w:pPr>
        <w:rPr>
          <w:rStyle w:val="Red"/>
          <w:color w:val="auto"/>
          <w:sz w:val="24"/>
        </w:rPr>
      </w:pPr>
      <w:r w:rsidRPr="00853C2C">
        <w:rPr>
          <w:rStyle w:val="Red"/>
          <w:color w:val="auto"/>
          <w:sz w:val="24"/>
        </w:rPr>
        <w:t>“</w:t>
      </w:r>
      <w:proofErr w:type="spellStart"/>
      <w:proofErr w:type="gramStart"/>
      <w:r w:rsidR="00853C2C">
        <w:rPr>
          <w:rStyle w:val="Red"/>
          <w:color w:val="auto"/>
          <w:sz w:val="24"/>
        </w:rPr>
        <w:t>e</w:t>
      </w:r>
      <w:r w:rsidRPr="00853C2C">
        <w:rPr>
          <w:rStyle w:val="Red"/>
          <w:color w:val="auto"/>
          <w:sz w:val="24"/>
        </w:rPr>
        <w:t>uropean</w:t>
      </w:r>
      <w:proofErr w:type="spellEnd"/>
      <w:proofErr w:type="gramEnd"/>
      <w:r w:rsidRPr="00853C2C">
        <w:rPr>
          <w:rStyle w:val="Red"/>
          <w:color w:val="auto"/>
          <w:sz w:val="24"/>
        </w:rPr>
        <w:t xml:space="preserve"> site”</w:t>
      </w:r>
      <w:r w:rsidR="00853C2C">
        <w:rPr>
          <w:rStyle w:val="Red"/>
          <w:color w:val="auto"/>
          <w:sz w:val="24"/>
        </w:rPr>
        <w:t xml:space="preserve"> </w:t>
      </w:r>
      <w:r w:rsidRPr="00853C2C">
        <w:rPr>
          <w:rStyle w:val="Red"/>
          <w:color w:val="auto"/>
          <w:sz w:val="24"/>
        </w:rPr>
        <w:t xml:space="preserve">means a European site within the meaning of Regulation 8 of the Conservation of Habitats and Species Regulations 2017. </w:t>
      </w:r>
    </w:p>
    <w:p w14:paraId="6B2DEC6F" w14:textId="1B8D34EB" w:rsidR="006A6312" w:rsidRDefault="006A6312" w:rsidP="000848DA">
      <w:pPr>
        <w:rPr>
          <w:rStyle w:val="Red"/>
          <w:color w:val="auto"/>
          <w:sz w:val="24"/>
        </w:rPr>
      </w:pPr>
      <w:r>
        <w:rPr>
          <w:rStyle w:val="Red"/>
          <w:color w:val="auto"/>
          <w:sz w:val="24"/>
        </w:rPr>
        <w:t>“</w:t>
      </w:r>
      <w:proofErr w:type="gramStart"/>
      <w:r w:rsidRPr="006A6312">
        <w:rPr>
          <w:rStyle w:val="Red"/>
          <w:color w:val="auto"/>
          <w:sz w:val="24"/>
        </w:rPr>
        <w:t>good</w:t>
      </w:r>
      <w:proofErr w:type="gramEnd"/>
      <w:r w:rsidRPr="006A6312">
        <w:rPr>
          <w:rStyle w:val="Red"/>
          <w:color w:val="auto"/>
          <w:sz w:val="24"/>
        </w:rPr>
        <w:t xml:space="preserve"> habitat” means rough (especially tussocky) grassland, scrub and woodland.</w:t>
      </w:r>
    </w:p>
    <w:p w14:paraId="6F5C03EC" w14:textId="14A48270" w:rsidR="0036251D" w:rsidRDefault="0096661C" w:rsidP="000848DA">
      <w:pPr>
        <w:rPr>
          <w:sz w:val="24"/>
        </w:rPr>
      </w:pPr>
      <w:r w:rsidRPr="00853C2C">
        <w:rPr>
          <w:sz w:val="24"/>
        </w:rPr>
        <w:t>“groundwater” means all water, which is below the surface of the ground in the saturation zone and in direct contact with the ground or subsoil.</w:t>
      </w:r>
    </w:p>
    <w:p w14:paraId="7CCABB52" w14:textId="7B9667BD" w:rsidR="00E85CFF" w:rsidRDefault="00E85CFF" w:rsidP="000848DA">
      <w:pPr>
        <w:rPr>
          <w:sz w:val="24"/>
        </w:rPr>
      </w:pPr>
      <w:r w:rsidRPr="00880266">
        <w:rPr>
          <w:sz w:val="24"/>
        </w:rPr>
        <w:t>“</w:t>
      </w:r>
      <w:proofErr w:type="gramStart"/>
      <w:r w:rsidRPr="00880266">
        <w:rPr>
          <w:sz w:val="24"/>
        </w:rPr>
        <w:t>groundwater</w:t>
      </w:r>
      <w:proofErr w:type="gramEnd"/>
      <w:r w:rsidRPr="00880266">
        <w:rPr>
          <w:sz w:val="24"/>
        </w:rPr>
        <w:t xml:space="preserve"> Source Protection Zone” has the meaning given </w:t>
      </w:r>
      <w:r w:rsidR="00F32049">
        <w:rPr>
          <w:sz w:val="24"/>
        </w:rPr>
        <w:t xml:space="preserve">in the </w:t>
      </w:r>
      <w:r w:rsidR="001B5D63">
        <w:rPr>
          <w:sz w:val="24"/>
        </w:rPr>
        <w:t xml:space="preserve">position statement document </w:t>
      </w:r>
      <w:r w:rsidRPr="00880266">
        <w:rPr>
          <w:sz w:val="24"/>
        </w:rPr>
        <w:t>“</w:t>
      </w:r>
      <w:r w:rsidR="001B5D63">
        <w:rPr>
          <w:sz w:val="24"/>
        </w:rPr>
        <w:t>The Environment Agency’s approach to g</w:t>
      </w:r>
      <w:r w:rsidR="00F32049">
        <w:rPr>
          <w:sz w:val="24"/>
        </w:rPr>
        <w:t>roundwater protection</w:t>
      </w:r>
      <w:r w:rsidRPr="00880266">
        <w:rPr>
          <w:sz w:val="24"/>
        </w:rPr>
        <w:t xml:space="preserve">” published by the Environment Agency in </w:t>
      </w:r>
      <w:r w:rsidR="001B5D63">
        <w:rPr>
          <w:sz w:val="24"/>
        </w:rPr>
        <w:t xml:space="preserve">March </w:t>
      </w:r>
      <w:r w:rsidRPr="00880266">
        <w:rPr>
          <w:sz w:val="24"/>
        </w:rPr>
        <w:t>201</w:t>
      </w:r>
      <w:r w:rsidR="001B5D63">
        <w:rPr>
          <w:sz w:val="24"/>
        </w:rPr>
        <w:t>8</w:t>
      </w:r>
      <w:r w:rsidRPr="00880266">
        <w:rPr>
          <w:sz w:val="24"/>
        </w:rPr>
        <w:t>.</w:t>
      </w:r>
    </w:p>
    <w:p w14:paraId="161042FA" w14:textId="17AAC1FA" w:rsidR="00E85CFF" w:rsidRPr="001B5D63" w:rsidRDefault="00E85CFF" w:rsidP="001B5D63">
      <w:pPr>
        <w:rPr>
          <w:rStyle w:val="Pink"/>
          <w:color w:val="auto"/>
          <w:sz w:val="24"/>
        </w:rPr>
      </w:pPr>
      <w:r w:rsidRPr="001B5D63">
        <w:rPr>
          <w:rStyle w:val="Pink"/>
          <w:color w:val="auto"/>
          <w:sz w:val="24"/>
        </w:rPr>
        <w:t>“</w:t>
      </w:r>
      <w:proofErr w:type="gramStart"/>
      <w:r w:rsidRPr="001B5D63">
        <w:rPr>
          <w:rStyle w:val="Pink"/>
          <w:color w:val="auto"/>
          <w:sz w:val="24"/>
        </w:rPr>
        <w:t>historical</w:t>
      </w:r>
      <w:proofErr w:type="gramEnd"/>
      <w:r w:rsidRPr="001B5D63">
        <w:rPr>
          <w:rStyle w:val="Pink"/>
          <w:color w:val="auto"/>
          <w:sz w:val="24"/>
        </w:rPr>
        <w:t xml:space="preserve"> landfill” means any area of land previously used for the disposal of waste that is no longer regulated by an environmental permit. </w:t>
      </w:r>
    </w:p>
    <w:p w14:paraId="36F95B95" w14:textId="77777777" w:rsidR="007C202A" w:rsidRDefault="007C202A" w:rsidP="007C202A">
      <w:pPr>
        <w:rPr>
          <w:rFonts w:eastAsiaTheme="majorEastAsia"/>
          <w:sz w:val="24"/>
        </w:rPr>
      </w:pPr>
      <w:r w:rsidRPr="00853C2C">
        <w:rPr>
          <w:sz w:val="24"/>
        </w:rPr>
        <w:t xml:space="preserve">“List of Wastes” means </w:t>
      </w:r>
      <w:r w:rsidRPr="00853C2C">
        <w:rPr>
          <w:rFonts w:eastAsiaTheme="majorEastAsia"/>
          <w:sz w:val="24"/>
        </w:rPr>
        <w:t xml:space="preserve">the list of wastes established by Commission Decision </w:t>
      </w:r>
      <w:hyperlink r:id="rId12" w:tooltip="Go to item of legislation" w:history="1">
        <w:r w:rsidRPr="00853C2C">
          <w:rPr>
            <w:rFonts w:ascii="Arial" w:eastAsiaTheme="majorEastAsia" w:hAnsi="Arial" w:cs="Arial"/>
            <w:sz w:val="24"/>
          </w:rPr>
          <w:t>2000/532/EC</w:t>
        </w:r>
      </w:hyperlink>
      <w:r w:rsidRPr="00853C2C">
        <w:rPr>
          <w:rFonts w:eastAsiaTheme="majorEastAsia"/>
          <w:sz w:val="24"/>
        </w:rPr>
        <w:t xml:space="preserve"> replacing Decision </w:t>
      </w:r>
      <w:hyperlink r:id="rId13" w:tooltip="Go to item of legislation" w:history="1">
        <w:r w:rsidRPr="00853C2C">
          <w:rPr>
            <w:rFonts w:ascii="Arial" w:eastAsiaTheme="majorEastAsia" w:hAnsi="Arial" w:cs="Arial"/>
            <w:sz w:val="24"/>
          </w:rPr>
          <w:t>94/3/EC</w:t>
        </w:r>
      </w:hyperlink>
      <w:r w:rsidRPr="00853C2C">
        <w:rPr>
          <w:rFonts w:eastAsiaTheme="majorEastAsia"/>
          <w:sz w:val="24"/>
        </w:rPr>
        <w:t xml:space="preserve"> establishing a list of wastes pursuant to Article 1(a) of Council Directive </w:t>
      </w:r>
      <w:hyperlink r:id="rId14" w:tooltip="Go to item of legislation" w:history="1">
        <w:r w:rsidRPr="00853C2C">
          <w:rPr>
            <w:rFonts w:ascii="Arial" w:eastAsiaTheme="majorEastAsia" w:hAnsi="Arial" w:cs="Arial"/>
            <w:sz w:val="24"/>
          </w:rPr>
          <w:t>75/442/EEC</w:t>
        </w:r>
      </w:hyperlink>
      <w:r w:rsidRPr="00853C2C">
        <w:rPr>
          <w:rFonts w:eastAsiaTheme="majorEastAsia"/>
          <w:sz w:val="24"/>
        </w:rPr>
        <w:t xml:space="preserve"> on waste and Council Decision </w:t>
      </w:r>
      <w:hyperlink r:id="rId15" w:tooltip="Go to item of legislation" w:history="1">
        <w:r w:rsidRPr="00853C2C">
          <w:rPr>
            <w:rFonts w:ascii="Arial" w:eastAsiaTheme="majorEastAsia" w:hAnsi="Arial" w:cs="Arial"/>
            <w:sz w:val="24"/>
          </w:rPr>
          <w:t>94/904/EC</w:t>
        </w:r>
      </w:hyperlink>
      <w:r w:rsidRPr="00853C2C">
        <w:rPr>
          <w:rFonts w:eastAsiaTheme="majorEastAsia"/>
          <w:sz w:val="24"/>
        </w:rPr>
        <w:t xml:space="preserve"> establishing a list of hazardous waste pursuant to Article 1(4) of Council Directive </w:t>
      </w:r>
      <w:hyperlink r:id="rId16" w:tooltip="Go to item of legislation" w:history="1">
        <w:r w:rsidRPr="00853C2C">
          <w:rPr>
            <w:rFonts w:ascii="Arial" w:eastAsiaTheme="majorEastAsia" w:hAnsi="Arial" w:cs="Arial"/>
            <w:sz w:val="24"/>
          </w:rPr>
          <w:t>91/689/EEC</w:t>
        </w:r>
      </w:hyperlink>
      <w:r w:rsidRPr="00853C2C">
        <w:rPr>
          <w:rFonts w:eastAsiaTheme="majorEastAsia"/>
          <w:sz w:val="24"/>
        </w:rPr>
        <w:t xml:space="preserve"> on hazardous waste, as amended from time to time (including by decision 2014/955/EU).</w:t>
      </w:r>
    </w:p>
    <w:p w14:paraId="68A40373" w14:textId="0908C368" w:rsidR="00B763D3" w:rsidRDefault="00B763D3" w:rsidP="000848DA">
      <w:pPr>
        <w:rPr>
          <w:rStyle w:val="Red"/>
          <w:color w:val="auto"/>
          <w:sz w:val="24"/>
        </w:rPr>
      </w:pPr>
      <w:r w:rsidRPr="00853C2C">
        <w:rPr>
          <w:rStyle w:val="Red"/>
          <w:color w:val="auto"/>
          <w:sz w:val="24"/>
        </w:rPr>
        <w:lastRenderedPageBreak/>
        <w:t>“</w:t>
      </w:r>
      <w:proofErr w:type="gramStart"/>
      <w:r w:rsidRPr="00853C2C">
        <w:rPr>
          <w:rStyle w:val="Red"/>
          <w:color w:val="auto"/>
          <w:sz w:val="24"/>
        </w:rPr>
        <w:t>nearest</w:t>
      </w:r>
      <w:proofErr w:type="gramEnd"/>
      <w:r w:rsidRPr="00853C2C">
        <w:rPr>
          <w:rStyle w:val="Red"/>
          <w:color w:val="auto"/>
          <w:sz w:val="24"/>
        </w:rPr>
        <w:t xml:space="preserve"> sensitive receptor” means The nearest place to the permitted activities where people are likely to be for prolonged periods. This term would therefore apply to dwellings (including any associated gardens) and to many types of workplaces. We would not normally regard a place where people are likely to be present for less than 6 hours at one time as being a sensitive receptor. The term does not apply to the operators of the permitted facility, their staff when they are at work or to visitors to the facility, as their health is covered by Health and Safety at Work legislation. N.B. the term would apply to dwellings occupied by an operator’s family.</w:t>
      </w:r>
    </w:p>
    <w:p w14:paraId="4CDC1F87" w14:textId="5AC32DC0" w:rsidR="00D51348" w:rsidRDefault="00D51348" w:rsidP="000848DA">
      <w:pPr>
        <w:rPr>
          <w:rStyle w:val="Red"/>
          <w:color w:val="auto"/>
          <w:sz w:val="24"/>
        </w:rPr>
      </w:pPr>
      <w:r>
        <w:rPr>
          <w:rStyle w:val="Red"/>
          <w:color w:val="auto"/>
          <w:sz w:val="24"/>
        </w:rPr>
        <w:t>“</w:t>
      </w:r>
      <w:proofErr w:type="gramStart"/>
      <w:r>
        <w:rPr>
          <w:rStyle w:val="Red"/>
          <w:color w:val="auto"/>
          <w:sz w:val="24"/>
        </w:rPr>
        <w:t>p</w:t>
      </w:r>
      <w:r w:rsidRPr="00D51348">
        <w:rPr>
          <w:rStyle w:val="Red"/>
          <w:color w:val="auto"/>
          <w:sz w:val="24"/>
        </w:rPr>
        <w:t>ipe</w:t>
      </w:r>
      <w:proofErr w:type="gramEnd"/>
      <w:r w:rsidRPr="00D51348">
        <w:rPr>
          <w:rStyle w:val="Red"/>
          <w:color w:val="auto"/>
          <w:sz w:val="24"/>
        </w:rPr>
        <w:t xml:space="preserve"> bedding</w:t>
      </w:r>
      <w:r>
        <w:rPr>
          <w:rStyle w:val="Red"/>
          <w:color w:val="auto"/>
          <w:sz w:val="24"/>
        </w:rPr>
        <w:t>”</w:t>
      </w:r>
      <w:r w:rsidRPr="00D51348">
        <w:rPr>
          <w:rStyle w:val="Red"/>
          <w:color w:val="auto"/>
          <w:sz w:val="24"/>
        </w:rPr>
        <w:t xml:space="preserve"> is material laid in the bottom of a trench that has been excavated for drainage pipes or other pipelines.</w:t>
      </w:r>
    </w:p>
    <w:p w14:paraId="50462126" w14:textId="51246F86" w:rsidR="00B763D3" w:rsidRPr="00853C2C" w:rsidRDefault="00B763D3" w:rsidP="00B763D3">
      <w:pPr>
        <w:rPr>
          <w:rStyle w:val="Red"/>
          <w:color w:val="auto"/>
          <w:sz w:val="24"/>
        </w:rPr>
      </w:pPr>
      <w:r w:rsidRPr="00853C2C">
        <w:rPr>
          <w:rStyle w:val="Red"/>
          <w:color w:val="auto"/>
          <w:sz w:val="24"/>
        </w:rPr>
        <w:t xml:space="preserve">“pollution” means Emissions </w:t>
      </w:r>
      <w:proofErr w:type="gramStart"/>
      <w:r w:rsidRPr="00853C2C">
        <w:rPr>
          <w:rStyle w:val="Red"/>
          <w:color w:val="auto"/>
          <w:sz w:val="24"/>
        </w:rPr>
        <w:t>as a result of</w:t>
      </w:r>
      <w:proofErr w:type="gramEnd"/>
      <w:r w:rsidRPr="00853C2C">
        <w:rPr>
          <w:rStyle w:val="Red"/>
          <w:color w:val="auto"/>
          <w:sz w:val="24"/>
        </w:rPr>
        <w:t xml:space="preserve"> human activity which may – </w:t>
      </w:r>
    </w:p>
    <w:p w14:paraId="2D7294C9" w14:textId="77777777" w:rsidR="00B763D3" w:rsidRPr="00853C2C" w:rsidRDefault="00B763D3" w:rsidP="00B763D3">
      <w:pPr>
        <w:pStyle w:val="AlphaBulletL1"/>
        <w:numPr>
          <w:ilvl w:val="0"/>
          <w:numId w:val="6"/>
        </w:numPr>
        <w:ind w:left="85" w:hanging="85"/>
        <w:rPr>
          <w:rStyle w:val="Red"/>
          <w:color w:val="auto"/>
          <w:sz w:val="24"/>
        </w:rPr>
      </w:pPr>
      <w:r w:rsidRPr="00853C2C">
        <w:rPr>
          <w:rStyle w:val="Red"/>
          <w:color w:val="auto"/>
          <w:sz w:val="24"/>
        </w:rPr>
        <w:t>be harmful to human health or the quality of the environment</w:t>
      </w:r>
    </w:p>
    <w:p w14:paraId="1FC29EAA" w14:textId="77777777" w:rsidR="00B763D3" w:rsidRPr="00853C2C" w:rsidRDefault="00B763D3" w:rsidP="00B763D3">
      <w:pPr>
        <w:pStyle w:val="AlphaBulletL1"/>
        <w:numPr>
          <w:ilvl w:val="0"/>
          <w:numId w:val="6"/>
        </w:numPr>
        <w:ind w:left="85" w:hanging="85"/>
        <w:rPr>
          <w:rStyle w:val="Red"/>
          <w:color w:val="auto"/>
          <w:sz w:val="24"/>
        </w:rPr>
      </w:pPr>
      <w:r w:rsidRPr="00853C2C">
        <w:rPr>
          <w:rStyle w:val="Red"/>
          <w:color w:val="auto"/>
          <w:sz w:val="24"/>
        </w:rPr>
        <w:t>cause offence to a human sense</w:t>
      </w:r>
    </w:p>
    <w:p w14:paraId="1BC84883" w14:textId="77777777" w:rsidR="00B763D3" w:rsidRPr="00853C2C" w:rsidRDefault="00B763D3" w:rsidP="00B763D3">
      <w:pPr>
        <w:pStyle w:val="AlphaBulletL1"/>
        <w:numPr>
          <w:ilvl w:val="0"/>
          <w:numId w:val="6"/>
        </w:numPr>
        <w:ind w:left="85" w:hanging="85"/>
        <w:rPr>
          <w:rStyle w:val="Red"/>
          <w:color w:val="auto"/>
          <w:sz w:val="24"/>
        </w:rPr>
      </w:pPr>
      <w:r w:rsidRPr="00853C2C">
        <w:rPr>
          <w:rStyle w:val="Red"/>
          <w:color w:val="auto"/>
          <w:sz w:val="24"/>
        </w:rPr>
        <w:t>result in damage to material property, or</w:t>
      </w:r>
    </w:p>
    <w:p w14:paraId="2702F04A" w14:textId="0331FD08" w:rsidR="00B763D3" w:rsidRPr="00853C2C" w:rsidRDefault="00B763D3" w:rsidP="00B763D3">
      <w:pPr>
        <w:pStyle w:val="AlphaBulletL1"/>
        <w:numPr>
          <w:ilvl w:val="0"/>
          <w:numId w:val="6"/>
        </w:numPr>
        <w:ind w:left="85" w:hanging="85"/>
        <w:rPr>
          <w:rStyle w:val="Red"/>
          <w:color w:val="auto"/>
          <w:sz w:val="24"/>
        </w:rPr>
      </w:pPr>
      <w:r w:rsidRPr="00853C2C">
        <w:rPr>
          <w:rStyle w:val="Red"/>
          <w:color w:val="auto"/>
          <w:sz w:val="24"/>
        </w:rPr>
        <w:t>impair or interfere with amenities and other legitimate uses of the environment.</w:t>
      </w:r>
    </w:p>
    <w:p w14:paraId="2FC4DC32" w14:textId="726EA27F" w:rsidR="00B763D3" w:rsidRPr="00853C2C" w:rsidRDefault="00B763D3" w:rsidP="00B763D3">
      <w:pPr>
        <w:pStyle w:val="AlphaBulletL1"/>
        <w:numPr>
          <w:ilvl w:val="0"/>
          <w:numId w:val="0"/>
        </w:numPr>
        <w:ind w:left="85"/>
        <w:rPr>
          <w:rStyle w:val="Red"/>
          <w:color w:val="auto"/>
          <w:sz w:val="24"/>
        </w:rPr>
      </w:pPr>
      <w:r w:rsidRPr="00853C2C">
        <w:rPr>
          <w:rStyle w:val="Red"/>
          <w:color w:val="auto"/>
          <w:sz w:val="24"/>
        </w:rPr>
        <w:t>“quarter” means a calendar year quarter commencing on 1 January, 1 April, 1 July or 1 October.</w:t>
      </w:r>
    </w:p>
    <w:p w14:paraId="4EBAE1A0" w14:textId="61ADBE1A" w:rsidR="00B763D3" w:rsidRPr="00853C2C" w:rsidRDefault="00B763D3" w:rsidP="00B763D3">
      <w:pPr>
        <w:pStyle w:val="AlphaBulletL1"/>
        <w:numPr>
          <w:ilvl w:val="0"/>
          <w:numId w:val="0"/>
        </w:numPr>
        <w:ind w:left="85"/>
        <w:rPr>
          <w:rStyle w:val="Red"/>
          <w:color w:val="auto"/>
          <w:sz w:val="24"/>
        </w:rPr>
      </w:pPr>
      <w:r w:rsidRPr="00853C2C">
        <w:rPr>
          <w:rStyle w:val="Red"/>
          <w:color w:val="auto"/>
          <w:sz w:val="24"/>
        </w:rPr>
        <w:t>“R</w:t>
      </w:r>
      <w:r w:rsidR="000403E2">
        <w:rPr>
          <w:rStyle w:val="Red"/>
          <w:color w:val="auto"/>
          <w:sz w:val="24"/>
        </w:rPr>
        <w:t xml:space="preserve">” </w:t>
      </w:r>
      <w:r w:rsidRPr="00853C2C">
        <w:rPr>
          <w:rStyle w:val="Red"/>
          <w:color w:val="auto"/>
          <w:sz w:val="24"/>
        </w:rPr>
        <w:t>means a recovery operation provided for in Annex II to Directive 2008/98/EC of the European Parliament and of the Council of 19 November 2008 on Waste.</w:t>
      </w:r>
    </w:p>
    <w:p w14:paraId="7780CFF4" w14:textId="603CFA4C" w:rsidR="00B763D3" w:rsidRDefault="00B763D3" w:rsidP="00B763D3">
      <w:pPr>
        <w:pStyle w:val="AlphaBulletL1"/>
        <w:numPr>
          <w:ilvl w:val="0"/>
          <w:numId w:val="0"/>
        </w:numPr>
        <w:ind w:left="85"/>
        <w:rPr>
          <w:rStyle w:val="Red"/>
          <w:color w:val="auto"/>
          <w:sz w:val="24"/>
        </w:rPr>
      </w:pPr>
      <w:r w:rsidRPr="00853C2C">
        <w:rPr>
          <w:rStyle w:val="Red"/>
          <w:color w:val="auto"/>
          <w:sz w:val="24"/>
        </w:rPr>
        <w:t>“recovery” means any of the operations provided for in Annex IIB to Directive 2006/12/EC of the European Parliament and of the Council of 5 April 2006 on Waste.</w:t>
      </w:r>
    </w:p>
    <w:p w14:paraId="2CF1F73F" w14:textId="77777777" w:rsidR="007C202A" w:rsidRPr="00853C2C" w:rsidRDefault="007C202A" w:rsidP="007C202A">
      <w:pPr>
        <w:rPr>
          <w:sz w:val="24"/>
        </w:rPr>
      </w:pPr>
      <w:r w:rsidRPr="00853C2C">
        <w:rPr>
          <w:sz w:val="24"/>
        </w:rPr>
        <w:t>“secure” means that all reasonable precautions are taken to ensure that the waste cannot escape and that members of the public are unable to gain access to the waste.</w:t>
      </w:r>
    </w:p>
    <w:p w14:paraId="765D1035" w14:textId="77777777" w:rsidR="007C202A" w:rsidRDefault="007C202A" w:rsidP="007C202A">
      <w:pPr>
        <w:rPr>
          <w:rStyle w:val="Pink"/>
          <w:color w:val="auto"/>
          <w:sz w:val="24"/>
        </w:rPr>
      </w:pPr>
      <w:r w:rsidRPr="001B5D63">
        <w:rPr>
          <w:rStyle w:val="Pink"/>
          <w:color w:val="auto"/>
          <w:sz w:val="24"/>
        </w:rPr>
        <w:t xml:space="preserve">“sub-water table” is any location below the typical maximum upper level of the saturated layer of an unconfined aquifer. “Typical” in this context would employ a representative winter water table level, based on hydrogeological records and/or expert opinion, and discounting extremes in weather, or artificial suppression by engineering techniques e.g. pumping. </w:t>
      </w:r>
    </w:p>
    <w:p w14:paraId="63517C6E" w14:textId="5FA2DE1A" w:rsidR="00707745" w:rsidRPr="00707745" w:rsidRDefault="00707745" w:rsidP="00707745">
      <w:pPr>
        <w:rPr>
          <w:rStyle w:val="Pink"/>
          <w:color w:val="auto"/>
          <w:sz w:val="24"/>
        </w:rPr>
      </w:pPr>
      <w:r>
        <w:rPr>
          <w:rStyle w:val="Pink"/>
          <w:color w:val="auto"/>
          <w:sz w:val="24"/>
        </w:rPr>
        <w:t>“</w:t>
      </w:r>
      <w:proofErr w:type="gramStart"/>
      <w:r w:rsidRPr="00707745">
        <w:rPr>
          <w:rStyle w:val="Pink"/>
          <w:color w:val="auto"/>
          <w:sz w:val="24"/>
        </w:rPr>
        <w:t>surface</w:t>
      </w:r>
      <w:proofErr w:type="gramEnd"/>
      <w:r w:rsidRPr="00707745">
        <w:rPr>
          <w:rStyle w:val="Pink"/>
          <w:color w:val="auto"/>
          <w:sz w:val="24"/>
        </w:rPr>
        <w:t xml:space="preserve"> water body</w:t>
      </w:r>
      <w:r>
        <w:rPr>
          <w:rStyle w:val="Pink"/>
          <w:color w:val="auto"/>
          <w:sz w:val="24"/>
        </w:rPr>
        <w:t>”</w:t>
      </w:r>
      <w:r w:rsidRPr="00707745">
        <w:rPr>
          <w:rStyle w:val="Pink"/>
          <w:color w:val="auto"/>
          <w:sz w:val="24"/>
        </w:rPr>
        <w:t xml:space="preserve"> is a relevant territorial water, coastal water, or inland freshwater (as defined by the Water Resources Act 1991).</w:t>
      </w:r>
    </w:p>
    <w:p w14:paraId="757630C6" w14:textId="5DDCD4C8" w:rsidR="00707745" w:rsidRDefault="00D51348" w:rsidP="00D51348">
      <w:pPr>
        <w:rPr>
          <w:rStyle w:val="Pink"/>
          <w:color w:val="auto"/>
          <w:sz w:val="24"/>
        </w:rPr>
      </w:pPr>
      <w:r>
        <w:rPr>
          <w:rStyle w:val="Pink"/>
          <w:color w:val="auto"/>
          <w:sz w:val="24"/>
        </w:rPr>
        <w:t>“</w:t>
      </w:r>
      <w:proofErr w:type="gramStart"/>
      <w:r>
        <w:rPr>
          <w:rStyle w:val="Pink"/>
          <w:color w:val="auto"/>
          <w:sz w:val="24"/>
        </w:rPr>
        <w:t>s</w:t>
      </w:r>
      <w:r w:rsidR="00707745" w:rsidRPr="00707745">
        <w:rPr>
          <w:rStyle w:val="Pink"/>
          <w:color w:val="auto"/>
          <w:sz w:val="24"/>
        </w:rPr>
        <w:t>tructural</w:t>
      </w:r>
      <w:proofErr w:type="gramEnd"/>
      <w:r w:rsidR="00707745" w:rsidRPr="00707745">
        <w:rPr>
          <w:rStyle w:val="Pink"/>
          <w:color w:val="auto"/>
          <w:sz w:val="24"/>
        </w:rPr>
        <w:t xml:space="preserve"> platform</w:t>
      </w:r>
      <w:r>
        <w:rPr>
          <w:rStyle w:val="Pink"/>
          <w:color w:val="auto"/>
          <w:sz w:val="24"/>
        </w:rPr>
        <w:t>”</w:t>
      </w:r>
      <w:r w:rsidR="00707745" w:rsidRPr="00707745">
        <w:rPr>
          <w:rStyle w:val="Pink"/>
          <w:color w:val="auto"/>
          <w:sz w:val="24"/>
        </w:rPr>
        <w:t xml:space="preserve"> is an engineered base for an overlying construction feature, for example a</w:t>
      </w:r>
      <w:r>
        <w:rPr>
          <w:rStyle w:val="Pink"/>
          <w:color w:val="auto"/>
          <w:sz w:val="24"/>
        </w:rPr>
        <w:t xml:space="preserve"> </w:t>
      </w:r>
      <w:r w:rsidR="00707745" w:rsidRPr="00707745">
        <w:rPr>
          <w:rStyle w:val="Pink"/>
          <w:color w:val="auto"/>
          <w:sz w:val="24"/>
        </w:rPr>
        <w:t>building</w:t>
      </w:r>
      <w:r>
        <w:rPr>
          <w:rStyle w:val="Pink"/>
          <w:color w:val="auto"/>
          <w:sz w:val="24"/>
        </w:rPr>
        <w:t xml:space="preserve">, </w:t>
      </w:r>
      <w:r w:rsidR="00707745" w:rsidRPr="00707745">
        <w:rPr>
          <w:rStyle w:val="Pink"/>
          <w:color w:val="auto"/>
          <w:sz w:val="24"/>
        </w:rPr>
        <w:t>car park</w:t>
      </w:r>
      <w:r>
        <w:rPr>
          <w:rStyle w:val="Pink"/>
          <w:color w:val="auto"/>
          <w:sz w:val="24"/>
        </w:rPr>
        <w:t>, r</w:t>
      </w:r>
      <w:r w:rsidR="00707745" w:rsidRPr="00707745">
        <w:rPr>
          <w:rStyle w:val="Pink"/>
          <w:color w:val="auto"/>
          <w:sz w:val="24"/>
        </w:rPr>
        <w:t>etaining wall</w:t>
      </w:r>
      <w:r>
        <w:rPr>
          <w:rStyle w:val="Pink"/>
          <w:color w:val="auto"/>
          <w:sz w:val="24"/>
        </w:rPr>
        <w:t xml:space="preserve">, </w:t>
      </w:r>
      <w:r w:rsidR="00707745" w:rsidRPr="00707745">
        <w:rPr>
          <w:rStyle w:val="Pink"/>
          <w:color w:val="auto"/>
          <w:sz w:val="24"/>
        </w:rPr>
        <w:t>storage tank</w:t>
      </w:r>
      <w:r>
        <w:rPr>
          <w:rStyle w:val="Pink"/>
          <w:color w:val="auto"/>
          <w:sz w:val="24"/>
        </w:rPr>
        <w:t xml:space="preserve">, </w:t>
      </w:r>
      <w:r w:rsidR="00707745" w:rsidRPr="00707745">
        <w:rPr>
          <w:rStyle w:val="Pink"/>
          <w:color w:val="auto"/>
          <w:sz w:val="24"/>
        </w:rPr>
        <w:t>road or pavement</w:t>
      </w:r>
      <w:r>
        <w:rPr>
          <w:rStyle w:val="Pink"/>
          <w:color w:val="auto"/>
          <w:sz w:val="24"/>
        </w:rPr>
        <w:t>.</w:t>
      </w:r>
    </w:p>
    <w:p w14:paraId="651D2C55" w14:textId="7EE61B6D" w:rsidR="00402596" w:rsidRDefault="00402596" w:rsidP="00D51348">
      <w:pPr>
        <w:rPr>
          <w:rStyle w:val="Pink"/>
          <w:color w:val="auto"/>
          <w:sz w:val="24"/>
        </w:rPr>
      </w:pPr>
      <w:r>
        <w:rPr>
          <w:rStyle w:val="Pink"/>
          <w:color w:val="auto"/>
          <w:sz w:val="24"/>
        </w:rPr>
        <w:t>“</w:t>
      </w:r>
      <w:proofErr w:type="gramStart"/>
      <w:r>
        <w:rPr>
          <w:rStyle w:val="Pink"/>
          <w:color w:val="auto"/>
          <w:sz w:val="24"/>
        </w:rPr>
        <w:t>topographical</w:t>
      </w:r>
      <w:proofErr w:type="gramEnd"/>
      <w:r>
        <w:rPr>
          <w:rStyle w:val="Pink"/>
          <w:color w:val="auto"/>
          <w:sz w:val="24"/>
        </w:rPr>
        <w:t xml:space="preserve"> survey or other form of measurement” is the means by which the levels </w:t>
      </w:r>
      <w:r w:rsidRPr="005B53E5">
        <w:rPr>
          <w:rStyle w:val="Pink"/>
          <w:color w:val="auto"/>
          <w:sz w:val="24"/>
        </w:rPr>
        <w:t>prior to commencement of the recovery activity</w:t>
      </w:r>
      <w:r>
        <w:rPr>
          <w:rStyle w:val="Pink"/>
          <w:color w:val="auto"/>
          <w:sz w:val="24"/>
        </w:rPr>
        <w:t xml:space="preserve"> </w:t>
      </w:r>
      <w:r w:rsidRPr="005B53E5">
        <w:rPr>
          <w:rStyle w:val="Pink"/>
          <w:color w:val="auto"/>
          <w:sz w:val="24"/>
        </w:rPr>
        <w:t xml:space="preserve">and </w:t>
      </w:r>
      <w:r>
        <w:rPr>
          <w:rStyle w:val="Pink"/>
          <w:color w:val="auto"/>
          <w:sz w:val="24"/>
        </w:rPr>
        <w:t>on c</w:t>
      </w:r>
      <w:r w:rsidRPr="005B53E5">
        <w:rPr>
          <w:rStyle w:val="Pink"/>
          <w:color w:val="auto"/>
          <w:sz w:val="24"/>
        </w:rPr>
        <w:t>ompletion</w:t>
      </w:r>
      <w:r>
        <w:rPr>
          <w:rStyle w:val="Pink"/>
          <w:color w:val="auto"/>
          <w:sz w:val="24"/>
        </w:rPr>
        <w:t xml:space="preserve"> are determined</w:t>
      </w:r>
      <w:r w:rsidRPr="005B53E5">
        <w:rPr>
          <w:rStyle w:val="Pink"/>
          <w:color w:val="auto"/>
          <w:sz w:val="24"/>
        </w:rPr>
        <w:t>.</w:t>
      </w:r>
      <w:r>
        <w:rPr>
          <w:rStyle w:val="Pink"/>
          <w:color w:val="auto"/>
          <w:sz w:val="24"/>
        </w:rPr>
        <w:t xml:space="preserve">  This is then used to produce a plan for submission to the Environment Agency</w:t>
      </w:r>
      <w:r w:rsidR="00CC42DB">
        <w:rPr>
          <w:rStyle w:val="Pink"/>
          <w:color w:val="auto"/>
          <w:sz w:val="24"/>
        </w:rPr>
        <w:t xml:space="preserve"> to demonstrate compliance with the approved waste recovery plan.</w:t>
      </w:r>
    </w:p>
    <w:p w14:paraId="3F211759" w14:textId="5C75F8CD" w:rsidR="00AA24CF" w:rsidRPr="00853C2C" w:rsidRDefault="00AA24CF" w:rsidP="00AA24CF">
      <w:pPr>
        <w:rPr>
          <w:rStyle w:val="Red"/>
          <w:color w:val="auto"/>
          <w:sz w:val="24"/>
        </w:rPr>
      </w:pPr>
      <w:r w:rsidRPr="00853C2C">
        <w:rPr>
          <w:rStyle w:val="Red"/>
          <w:color w:val="auto"/>
          <w:sz w:val="24"/>
        </w:rPr>
        <w:t>“</w:t>
      </w:r>
      <w:proofErr w:type="gramStart"/>
      <w:r w:rsidRPr="00853C2C">
        <w:rPr>
          <w:rStyle w:val="Red"/>
          <w:color w:val="auto"/>
          <w:sz w:val="24"/>
        </w:rPr>
        <w:t>waste</w:t>
      </w:r>
      <w:proofErr w:type="gramEnd"/>
      <w:r w:rsidRPr="00853C2C">
        <w:rPr>
          <w:rStyle w:val="Red"/>
          <w:color w:val="auto"/>
          <w:sz w:val="24"/>
        </w:rPr>
        <w:t xml:space="preserve"> code” means the six digit code referable to a type of waste in accordance with the List of Wastes and in relation to hazardous waste, includes the asterisk. </w:t>
      </w:r>
    </w:p>
    <w:p w14:paraId="3271CEE6" w14:textId="5F78D315" w:rsidR="00B0434D" w:rsidRDefault="00B0434D" w:rsidP="00AA24CF">
      <w:pPr>
        <w:rPr>
          <w:rStyle w:val="Red"/>
          <w:color w:val="auto"/>
          <w:sz w:val="24"/>
        </w:rPr>
      </w:pPr>
      <w:r w:rsidRPr="00853C2C">
        <w:rPr>
          <w:rStyle w:val="Red"/>
          <w:color w:val="auto"/>
          <w:sz w:val="24"/>
        </w:rPr>
        <w:lastRenderedPageBreak/>
        <w:t>“WFD” Waste Framework Directive 2008/98/EC of the European Parliament and of the Council on waste.</w:t>
      </w:r>
    </w:p>
    <w:p w14:paraId="3A4DD4F4" w14:textId="77777777" w:rsidR="001B5D63" w:rsidRPr="001B5D63" w:rsidRDefault="001B5D63" w:rsidP="001B5D63">
      <w:pPr>
        <w:rPr>
          <w:rStyle w:val="Pink"/>
          <w:color w:val="auto"/>
          <w:sz w:val="24"/>
        </w:rPr>
      </w:pPr>
      <w:r w:rsidRPr="001B5D63">
        <w:rPr>
          <w:rStyle w:val="Pink"/>
          <w:color w:val="auto"/>
          <w:sz w:val="24"/>
        </w:rPr>
        <w:t>“</w:t>
      </w:r>
      <w:proofErr w:type="gramStart"/>
      <w:r w:rsidRPr="001B5D63">
        <w:rPr>
          <w:rStyle w:val="Pink"/>
          <w:color w:val="auto"/>
          <w:sz w:val="24"/>
        </w:rPr>
        <w:t>water</w:t>
      </w:r>
      <w:proofErr w:type="gramEnd"/>
      <w:r w:rsidRPr="001B5D63">
        <w:rPr>
          <w:rStyle w:val="Pink"/>
          <w:color w:val="auto"/>
          <w:sz w:val="24"/>
        </w:rPr>
        <w:t xml:space="preserve"> body” the whole (or part) of a stream, river or canal, lake or reservoir, transitional water (estuary) or stretch of coastal water. A ‘body of groundwater’ is a distinct volume of groundwater within an aquifer or aquifers. </w:t>
      </w:r>
    </w:p>
    <w:p w14:paraId="56EF63D7" w14:textId="77777777" w:rsidR="001B5D63" w:rsidRPr="001B5D63" w:rsidRDefault="001B5D63" w:rsidP="001B5D63">
      <w:pPr>
        <w:rPr>
          <w:rStyle w:val="Pink"/>
          <w:color w:val="auto"/>
          <w:sz w:val="24"/>
        </w:rPr>
      </w:pPr>
      <w:r w:rsidRPr="001B5D63">
        <w:rPr>
          <w:rStyle w:val="Pink"/>
          <w:color w:val="auto"/>
          <w:sz w:val="24"/>
        </w:rPr>
        <w:t xml:space="preserve">“watercourse” means all rivers (including underground and artificial rivers), streams, estuaries, canals, lakes, ponds, and ditches as far out as the fresh-water limit. </w:t>
      </w:r>
    </w:p>
    <w:p w14:paraId="3D401BD7" w14:textId="7AAA94A1" w:rsidR="00B0434D" w:rsidRPr="00853C2C" w:rsidRDefault="00B0434D" w:rsidP="00AA24CF">
      <w:pPr>
        <w:rPr>
          <w:rStyle w:val="Pink"/>
          <w:b/>
          <w:color w:val="auto"/>
          <w:sz w:val="24"/>
        </w:rPr>
      </w:pPr>
      <w:r w:rsidRPr="00853C2C">
        <w:rPr>
          <w:sz w:val="24"/>
        </w:rPr>
        <w:t>“year” means calendar year ending 31 December.</w:t>
      </w:r>
    </w:p>
    <w:p w14:paraId="3CC3419B" w14:textId="68E6F540" w:rsidR="00E02580" w:rsidRPr="00853C2C" w:rsidRDefault="00E02580" w:rsidP="00B966B0">
      <w:pPr>
        <w:rPr>
          <w:rStyle w:val="Bold"/>
          <w:sz w:val="24"/>
        </w:rPr>
      </w:pPr>
    </w:p>
    <w:p w14:paraId="6C17311B" w14:textId="77777777" w:rsidR="00287106" w:rsidRPr="00853C2C" w:rsidRDefault="00287106" w:rsidP="00B966B0">
      <w:pPr>
        <w:rPr>
          <w:rStyle w:val="Bold"/>
          <w:sz w:val="24"/>
        </w:rPr>
      </w:pPr>
      <w:r w:rsidRPr="00853C2C">
        <w:rPr>
          <w:rStyle w:val="Bold"/>
          <w:sz w:val="24"/>
        </w:rPr>
        <w:t>End of standard rules</w:t>
      </w:r>
    </w:p>
    <w:sectPr w:rsidR="00287106" w:rsidRPr="00853C2C" w:rsidSect="00A347BE">
      <w:headerReference w:type="even" r:id="rId17"/>
      <w:headerReference w:type="default" r:id="rId18"/>
      <w:footerReference w:type="default" r:id="rId19"/>
      <w:headerReference w:type="first" r:id="rId20"/>
      <w:pgSz w:w="11906" w:h="16838" w:code="9"/>
      <w:pgMar w:top="1134"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B7AEC" w14:textId="77777777" w:rsidR="00B561B8" w:rsidRDefault="00B561B8" w:rsidP="00FF16FF">
      <w:pPr>
        <w:spacing w:before="0" w:after="0" w:line="240" w:lineRule="auto"/>
      </w:pPr>
      <w:r>
        <w:separator/>
      </w:r>
    </w:p>
  </w:endnote>
  <w:endnote w:type="continuationSeparator" w:id="0">
    <w:p w14:paraId="632C4C2B" w14:textId="77777777" w:rsidR="00B561B8" w:rsidRDefault="00B561B8" w:rsidP="00FF16FF">
      <w:pPr>
        <w:spacing w:before="0" w:after="0" w:line="240" w:lineRule="auto"/>
      </w:pPr>
      <w:r>
        <w:continuationSeparator/>
      </w:r>
    </w:p>
  </w:endnote>
  <w:endnote w:type="continuationNotice" w:id="1">
    <w:p w14:paraId="18289D5F" w14:textId="77777777" w:rsidR="00B561B8" w:rsidRDefault="00B561B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BC989" w14:textId="0762F4DF" w:rsidR="00487592" w:rsidRDefault="00487592" w:rsidP="00DB4800">
    <w:pPr>
      <w:pStyle w:val="Footer"/>
    </w:pPr>
    <w:r>
      <w:t>SR2</w:t>
    </w:r>
    <w:r w:rsidRPr="00BC3C7D">
      <w:t>0</w:t>
    </w:r>
    <w:r w:rsidR="008D101F">
      <w:rPr>
        <w:rStyle w:val="Red"/>
        <w:color w:val="auto"/>
      </w:rPr>
      <w:t>24</w:t>
    </w:r>
    <w:r>
      <w:t xml:space="preserve"> </w:t>
    </w:r>
    <w:proofErr w:type="spellStart"/>
    <w:r>
      <w:t>No</w:t>
    </w:r>
    <w:r w:rsidR="00363306">
      <w:t>X</w:t>
    </w:r>
    <w:proofErr w:type="spellEnd"/>
    <w:r>
      <w:t xml:space="preserve"> v</w:t>
    </w:r>
    <w:r w:rsidR="00A65D5B">
      <w:t>5</w:t>
    </w:r>
    <w:r w:rsidR="00BC3C7D">
      <w:t>.0</w:t>
    </w:r>
    <w:r>
      <w:ptab w:relativeTo="margin" w:alignment="right" w:leader="none"/>
    </w:r>
    <w:sdt>
      <w:sdtPr>
        <w:id w:val="11940524"/>
        <w:docPartObj>
          <w:docPartGallery w:val="Page Numbers (Bottom of Page)"/>
          <w:docPartUnique/>
        </w:docPartObj>
      </w:sdtPr>
      <w:sdtEndPr/>
      <w:sdtContent>
        <w:r>
          <w:fldChar w:fldCharType="begin"/>
        </w:r>
        <w:r>
          <w:instrText xml:space="preserve"> PAGE   \* MERGEFORMAT </w:instrText>
        </w:r>
        <w:r>
          <w:fldChar w:fldCharType="separate"/>
        </w:r>
        <w:r w:rsidR="004A39B3">
          <w:rPr>
            <w:noProof/>
          </w:rPr>
          <w:t>16</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0834E" w14:textId="77777777" w:rsidR="00B561B8" w:rsidRDefault="00B561B8" w:rsidP="00FF16FF">
      <w:pPr>
        <w:spacing w:before="0" w:after="0" w:line="240" w:lineRule="auto"/>
      </w:pPr>
      <w:r>
        <w:separator/>
      </w:r>
    </w:p>
  </w:footnote>
  <w:footnote w:type="continuationSeparator" w:id="0">
    <w:p w14:paraId="475EFDF6" w14:textId="77777777" w:rsidR="00B561B8" w:rsidRDefault="00B561B8" w:rsidP="00FF16FF">
      <w:pPr>
        <w:spacing w:before="0" w:after="0" w:line="240" w:lineRule="auto"/>
      </w:pPr>
      <w:r>
        <w:continuationSeparator/>
      </w:r>
    </w:p>
  </w:footnote>
  <w:footnote w:type="continuationNotice" w:id="1">
    <w:p w14:paraId="4B04FEEB" w14:textId="77777777" w:rsidR="00B561B8" w:rsidRDefault="00B561B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0C640" w14:textId="6010CE2B" w:rsidR="00FB4577" w:rsidRDefault="004C66F5">
    <w:pPr>
      <w:pStyle w:val="Header"/>
    </w:pPr>
    <w:r>
      <w:rPr>
        <w:noProof/>
      </w:rPr>
      <w:pict w14:anchorId="68F026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9438" o:spid="_x0000_s1026" type="#_x0000_t136" style="position:absolute;margin-left:0;margin-top:0;width:485.3pt;height:194.1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05F65" w14:textId="4AE0DE01" w:rsidR="00FB4577" w:rsidRDefault="004C66F5">
    <w:pPr>
      <w:pStyle w:val="Header"/>
    </w:pPr>
    <w:r>
      <w:rPr>
        <w:noProof/>
      </w:rPr>
      <w:pict w14:anchorId="7DB95A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9439" o:spid="_x0000_s1027" type="#_x0000_t136" style="position:absolute;margin-left:0;margin-top:0;width:485.3pt;height:194.1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64CC6" w14:textId="193A0618" w:rsidR="00FB4577" w:rsidRDefault="004C66F5">
    <w:pPr>
      <w:pStyle w:val="Header"/>
    </w:pPr>
    <w:r>
      <w:rPr>
        <w:noProof/>
      </w:rPr>
      <w:pict w14:anchorId="46D94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9437" o:spid="_x0000_s1025"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92E1B"/>
    <w:multiLevelType w:val="hybridMultilevel"/>
    <w:tmpl w:val="37541446"/>
    <w:lvl w:ilvl="0" w:tplc="08090001">
      <w:start w:val="1"/>
      <w:numFmt w:val="bullet"/>
      <w:lvlText w:val=""/>
      <w:lvlJc w:val="left"/>
      <w:pPr>
        <w:ind w:left="700" w:hanging="360"/>
      </w:pPr>
      <w:rPr>
        <w:rFonts w:ascii="Symbol" w:hAnsi="Symbol" w:hint="default"/>
      </w:rPr>
    </w:lvl>
    <w:lvl w:ilvl="1" w:tplc="08090003">
      <w:start w:val="1"/>
      <w:numFmt w:val="bullet"/>
      <w:lvlText w:val="o"/>
      <w:lvlJc w:val="left"/>
      <w:pPr>
        <w:ind w:left="1420" w:hanging="360"/>
      </w:pPr>
      <w:rPr>
        <w:rFonts w:ascii="Courier New" w:hAnsi="Courier New" w:cs="Courier New" w:hint="default"/>
      </w:rPr>
    </w:lvl>
    <w:lvl w:ilvl="2" w:tplc="08090005">
      <w:start w:val="1"/>
      <w:numFmt w:val="bullet"/>
      <w:lvlText w:val=""/>
      <w:lvlJc w:val="left"/>
      <w:pPr>
        <w:ind w:left="2140" w:hanging="360"/>
      </w:pPr>
      <w:rPr>
        <w:rFonts w:ascii="Wingdings" w:hAnsi="Wingdings" w:hint="default"/>
      </w:rPr>
    </w:lvl>
    <w:lvl w:ilvl="3" w:tplc="08090001">
      <w:start w:val="1"/>
      <w:numFmt w:val="bullet"/>
      <w:lvlText w:val=""/>
      <w:lvlJc w:val="left"/>
      <w:pPr>
        <w:ind w:left="2860" w:hanging="360"/>
      </w:pPr>
      <w:rPr>
        <w:rFonts w:ascii="Symbol" w:hAnsi="Symbol" w:hint="default"/>
      </w:rPr>
    </w:lvl>
    <w:lvl w:ilvl="4" w:tplc="08090003">
      <w:start w:val="1"/>
      <w:numFmt w:val="bullet"/>
      <w:lvlText w:val="o"/>
      <w:lvlJc w:val="left"/>
      <w:pPr>
        <w:ind w:left="3580" w:hanging="360"/>
      </w:pPr>
      <w:rPr>
        <w:rFonts w:ascii="Courier New" w:hAnsi="Courier New" w:cs="Courier New" w:hint="default"/>
      </w:rPr>
    </w:lvl>
    <w:lvl w:ilvl="5" w:tplc="08090005">
      <w:start w:val="1"/>
      <w:numFmt w:val="bullet"/>
      <w:lvlText w:val=""/>
      <w:lvlJc w:val="left"/>
      <w:pPr>
        <w:ind w:left="4300" w:hanging="360"/>
      </w:pPr>
      <w:rPr>
        <w:rFonts w:ascii="Wingdings" w:hAnsi="Wingdings" w:hint="default"/>
      </w:rPr>
    </w:lvl>
    <w:lvl w:ilvl="6" w:tplc="08090001">
      <w:start w:val="1"/>
      <w:numFmt w:val="bullet"/>
      <w:lvlText w:val=""/>
      <w:lvlJc w:val="left"/>
      <w:pPr>
        <w:ind w:left="5020" w:hanging="360"/>
      </w:pPr>
      <w:rPr>
        <w:rFonts w:ascii="Symbol" w:hAnsi="Symbol" w:hint="default"/>
      </w:rPr>
    </w:lvl>
    <w:lvl w:ilvl="7" w:tplc="08090003">
      <w:start w:val="1"/>
      <w:numFmt w:val="bullet"/>
      <w:lvlText w:val="o"/>
      <w:lvlJc w:val="left"/>
      <w:pPr>
        <w:ind w:left="5740" w:hanging="360"/>
      </w:pPr>
      <w:rPr>
        <w:rFonts w:ascii="Courier New" w:hAnsi="Courier New" w:cs="Courier New" w:hint="default"/>
      </w:rPr>
    </w:lvl>
    <w:lvl w:ilvl="8" w:tplc="08090005">
      <w:start w:val="1"/>
      <w:numFmt w:val="bullet"/>
      <w:lvlText w:val=""/>
      <w:lvlJc w:val="left"/>
      <w:pPr>
        <w:ind w:left="6460" w:hanging="360"/>
      </w:pPr>
      <w:rPr>
        <w:rFonts w:ascii="Wingdings" w:hAnsi="Wingdings" w:hint="default"/>
      </w:rPr>
    </w:lvl>
  </w:abstractNum>
  <w:abstractNum w:abstractNumId="1" w15:restartNumberingAfterBreak="0">
    <w:nsid w:val="07405CFE"/>
    <w:multiLevelType w:val="multilevel"/>
    <w:tmpl w:val="78FCE504"/>
    <w:styleLink w:val="EARomanBullets"/>
    <w:lvl w:ilvl="0">
      <w:start w:val="1"/>
      <w:numFmt w:val="lowerRoman"/>
      <w:pStyle w:val="RomanBulletL1"/>
      <w:lvlText w:val="(%1)"/>
      <w:lvlJc w:val="left"/>
      <w:pPr>
        <w:tabs>
          <w:tab w:val="num" w:pos="340"/>
        </w:tabs>
        <w:ind w:left="340" w:hanging="340"/>
      </w:pPr>
      <w:rPr>
        <w:rFonts w:hint="default"/>
      </w:rPr>
    </w:lvl>
    <w:lvl w:ilvl="1">
      <w:start w:val="1"/>
      <w:numFmt w:val="lowerRoman"/>
      <w:pStyle w:val="RomanBulletL2"/>
      <w:lvlText w:val="(%2)"/>
      <w:lvlJc w:val="left"/>
      <w:pPr>
        <w:tabs>
          <w:tab w:val="num" w:pos="680"/>
        </w:tabs>
        <w:ind w:left="680" w:hanging="340"/>
      </w:pPr>
      <w:rPr>
        <w:rFonts w:hint="default"/>
      </w:rPr>
    </w:lvl>
    <w:lvl w:ilvl="2">
      <w:start w:val="1"/>
      <w:numFmt w:val="lowerRoman"/>
      <w:pStyle w:val="RomanBulletL3"/>
      <w:lvlText w:val="(%3)"/>
      <w:lvlJc w:val="left"/>
      <w:pPr>
        <w:tabs>
          <w:tab w:val="num" w:pos="1134"/>
        </w:tabs>
        <w:ind w:left="1134" w:hanging="454"/>
      </w:pPr>
      <w:rPr>
        <w:rFonts w:hint="default"/>
      </w:rPr>
    </w:lvl>
    <w:lvl w:ilvl="3">
      <w:start w:val="1"/>
      <w:numFmt w:val="lowerRoman"/>
      <w:pStyle w:val="RomanBulletL4"/>
      <w:lvlText w:val="(%4)"/>
      <w:lvlJc w:val="left"/>
      <w:pPr>
        <w:tabs>
          <w:tab w:val="num" w:pos="1588"/>
        </w:tabs>
        <w:ind w:left="1588" w:hanging="454"/>
      </w:pPr>
      <w:rPr>
        <w:rFonts w:hint="default"/>
      </w:rPr>
    </w:lvl>
    <w:lvl w:ilvl="4">
      <w:start w:val="1"/>
      <w:numFmt w:val="lowerLetter"/>
      <w:lvlText w:val="(%5)"/>
      <w:lvlJc w:val="left"/>
      <w:pPr>
        <w:ind w:left="2140" w:hanging="360"/>
      </w:pPr>
      <w:rPr>
        <w:rFonts w:hint="default"/>
      </w:rPr>
    </w:lvl>
    <w:lvl w:ilvl="5">
      <w:start w:val="1"/>
      <w:numFmt w:val="lowerRoman"/>
      <w:lvlText w:val="(%6)"/>
      <w:lvlJc w:val="left"/>
      <w:pPr>
        <w:ind w:left="2500" w:hanging="360"/>
      </w:pPr>
      <w:rPr>
        <w:rFonts w:hint="default"/>
      </w:rPr>
    </w:lvl>
    <w:lvl w:ilvl="6">
      <w:start w:val="1"/>
      <w:numFmt w:val="decimal"/>
      <w:lvlText w:val="%7."/>
      <w:lvlJc w:val="left"/>
      <w:pPr>
        <w:ind w:left="2860" w:hanging="360"/>
      </w:pPr>
      <w:rPr>
        <w:rFonts w:hint="default"/>
      </w:rPr>
    </w:lvl>
    <w:lvl w:ilvl="7">
      <w:start w:val="1"/>
      <w:numFmt w:val="lowerLetter"/>
      <w:lvlText w:val="%8."/>
      <w:lvlJc w:val="left"/>
      <w:pPr>
        <w:ind w:left="3220" w:hanging="360"/>
      </w:pPr>
      <w:rPr>
        <w:rFonts w:hint="default"/>
      </w:rPr>
    </w:lvl>
    <w:lvl w:ilvl="8">
      <w:start w:val="1"/>
      <w:numFmt w:val="lowerRoman"/>
      <w:lvlText w:val="%9."/>
      <w:lvlJc w:val="left"/>
      <w:pPr>
        <w:ind w:left="3580" w:hanging="360"/>
      </w:pPr>
      <w:rPr>
        <w:rFonts w:hint="default"/>
      </w:rPr>
    </w:lvl>
  </w:abstractNum>
  <w:abstractNum w:abstractNumId="2" w15:restartNumberingAfterBreak="0">
    <w:nsid w:val="08BB305E"/>
    <w:multiLevelType w:val="hybridMultilevel"/>
    <w:tmpl w:val="78EA377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3754FE"/>
    <w:multiLevelType w:val="hybridMultilevel"/>
    <w:tmpl w:val="15B88BD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 w15:restartNumberingAfterBreak="0">
    <w:nsid w:val="0D0D50CC"/>
    <w:multiLevelType w:val="hybridMultilevel"/>
    <w:tmpl w:val="A39E5BC8"/>
    <w:lvl w:ilvl="0" w:tplc="767AC95A">
      <w:start w:val="1"/>
      <w:numFmt w:val="decimal"/>
      <w:lvlText w:val="%1."/>
      <w:lvlJc w:val="right"/>
      <w:pPr>
        <w:ind w:left="1145" w:hanging="360"/>
      </w:pPr>
      <w:rPr>
        <w:rFonts w:asciiTheme="minorHAnsi" w:eastAsiaTheme="majorEastAsia" w:hAnsiTheme="minorHAnsi" w:cstheme="minorHAnsi"/>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5" w15:restartNumberingAfterBreak="0">
    <w:nsid w:val="0F1C4E84"/>
    <w:multiLevelType w:val="hybridMultilevel"/>
    <w:tmpl w:val="CB948A8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28793D"/>
    <w:multiLevelType w:val="hybridMultilevel"/>
    <w:tmpl w:val="DB061E16"/>
    <w:lvl w:ilvl="0" w:tplc="AF92039C">
      <w:start w:val="2"/>
      <w:numFmt w:val="bullet"/>
      <w:lvlText w:val="-"/>
      <w:lvlJc w:val="left"/>
      <w:pPr>
        <w:ind w:left="1080" w:hanging="360"/>
      </w:pPr>
      <w:rPr>
        <w:rFonts w:ascii="Aptos" w:eastAsia="Aptos" w:hAnsi="Aptos" w:cs="Apto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4174212"/>
    <w:multiLevelType w:val="multilevel"/>
    <w:tmpl w:val="55C835B8"/>
    <w:numStyleLink w:val="EATableBullets"/>
  </w:abstractNum>
  <w:abstractNum w:abstractNumId="8" w15:restartNumberingAfterBreak="0">
    <w:nsid w:val="25B677A9"/>
    <w:multiLevelType w:val="multilevel"/>
    <w:tmpl w:val="AA3A16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AC10C9"/>
    <w:multiLevelType w:val="multilevel"/>
    <w:tmpl w:val="908AAAE4"/>
    <w:lvl w:ilvl="0">
      <w:start w:val="1"/>
      <w:numFmt w:val="decimal"/>
      <w:pStyle w:val="Bullet"/>
      <w:lvlText w:val="%1"/>
      <w:lvlJc w:val="left"/>
      <w:pPr>
        <w:tabs>
          <w:tab w:val="num" w:pos="680"/>
        </w:tabs>
        <w:ind w:left="680" w:hanging="680"/>
      </w:pPr>
      <w:rPr>
        <w:rFonts w:hint="default"/>
      </w:rPr>
    </w:lvl>
    <w:lvl w:ilvl="1">
      <w:start w:val="1"/>
      <w:numFmt w:val="decimal"/>
      <w:pStyle w:val="Bullet0"/>
      <w:lvlText w:val="%1.%2"/>
      <w:lvlJc w:val="left"/>
      <w:pPr>
        <w:tabs>
          <w:tab w:val="num" w:pos="680"/>
        </w:tabs>
        <w:ind w:left="680" w:hanging="680"/>
      </w:pPr>
      <w:rPr>
        <w:rFonts w:hint="default"/>
      </w:rPr>
    </w:lvl>
    <w:lvl w:ilvl="2">
      <w:start w:val="1"/>
      <w:numFmt w:val="decimal"/>
      <w:pStyle w:val="Bullet1"/>
      <w:lvlText w:val="%1.%2.%3"/>
      <w:lvlJc w:val="left"/>
      <w:pPr>
        <w:tabs>
          <w:tab w:val="num" w:pos="680"/>
        </w:tabs>
        <w:ind w:left="680" w:hanging="680"/>
      </w:pPr>
      <w:rPr>
        <w:rFonts w:hint="default"/>
        <w:sz w:val="24"/>
        <w:szCs w:val="24"/>
      </w:rPr>
    </w:lvl>
    <w:lvl w:ilvl="3">
      <w:start w:val="1"/>
      <w:numFmt w:val="lowerLetter"/>
      <w:pStyle w:val="aBullet"/>
      <w:lvlText w:val="(%4)"/>
      <w:lvlJc w:val="left"/>
      <w:pPr>
        <w:tabs>
          <w:tab w:val="num" w:pos="1134"/>
        </w:tabs>
        <w:ind w:left="1134" w:hanging="454"/>
      </w:pPr>
      <w:rPr>
        <w:rFonts w:hint="default"/>
      </w:rPr>
    </w:lvl>
    <w:lvl w:ilvl="4">
      <w:start w:val="1"/>
      <w:numFmt w:val="lowerRoman"/>
      <w:pStyle w:val="aiBullet"/>
      <w:lvlText w:val="(%5)"/>
      <w:lvlJc w:val="left"/>
      <w:pPr>
        <w:tabs>
          <w:tab w:val="num" w:pos="1588"/>
        </w:tabs>
        <w:ind w:left="1588" w:hanging="45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C11384"/>
    <w:multiLevelType w:val="multilevel"/>
    <w:tmpl w:val="55C835B8"/>
    <w:styleLink w:val="EATableBullets"/>
    <w:lvl w:ilvl="0">
      <w:start w:val="1"/>
      <w:numFmt w:val="bullet"/>
      <w:pStyle w:val="TableBulletL1"/>
      <w:lvlText w:val="•"/>
      <w:lvlJc w:val="left"/>
      <w:pPr>
        <w:tabs>
          <w:tab w:val="num" w:pos="425"/>
        </w:tabs>
        <w:ind w:left="425" w:hanging="340"/>
      </w:pPr>
      <w:rPr>
        <w:rFonts w:asciiTheme="minorHAnsi" w:hAnsiTheme="minorHAnsi" w:cs="Times New Roman" w:hint="default"/>
        <w:color w:val="auto"/>
      </w:rPr>
    </w:lvl>
    <w:lvl w:ilvl="1">
      <w:start w:val="1"/>
      <w:numFmt w:val="lowerLetter"/>
      <w:pStyle w:val="TableBulletL2"/>
      <w:lvlText w:val="(%2)"/>
      <w:lvlJc w:val="left"/>
      <w:pPr>
        <w:tabs>
          <w:tab w:val="num" w:pos="879"/>
        </w:tabs>
        <w:ind w:left="879" w:hanging="454"/>
      </w:pPr>
      <w:rPr>
        <w:rFonts w:hint="default"/>
      </w:rPr>
    </w:lvl>
    <w:lvl w:ilvl="2">
      <w:start w:val="1"/>
      <w:numFmt w:val="bullet"/>
      <w:pStyle w:val="TableBulletL3"/>
      <w:lvlText w:val="–"/>
      <w:lvlJc w:val="left"/>
      <w:pPr>
        <w:tabs>
          <w:tab w:val="num" w:pos="1219"/>
        </w:tabs>
        <w:ind w:left="1219" w:hanging="340"/>
      </w:pPr>
      <w:rPr>
        <w:rFonts w:asciiTheme="minorHAnsi" w:hAnsiTheme="minorHAnsi"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38A749B"/>
    <w:multiLevelType w:val="hybridMultilevel"/>
    <w:tmpl w:val="F1FCE8B0"/>
    <w:lvl w:ilvl="0" w:tplc="CC985EB6">
      <w:start w:val="1"/>
      <w:numFmt w:val="lowerLetter"/>
      <w:lvlText w:val="%1)"/>
      <w:lvlJc w:val="left"/>
      <w:pPr>
        <w:ind w:left="445" w:hanging="360"/>
      </w:pPr>
    </w:lvl>
    <w:lvl w:ilvl="1" w:tplc="08090019">
      <w:start w:val="1"/>
      <w:numFmt w:val="lowerLetter"/>
      <w:lvlText w:val="%2."/>
      <w:lvlJc w:val="left"/>
      <w:pPr>
        <w:ind w:left="1165" w:hanging="360"/>
      </w:pPr>
    </w:lvl>
    <w:lvl w:ilvl="2" w:tplc="0809001B">
      <w:start w:val="1"/>
      <w:numFmt w:val="lowerRoman"/>
      <w:lvlText w:val="%3."/>
      <w:lvlJc w:val="right"/>
      <w:pPr>
        <w:ind w:left="1885" w:hanging="180"/>
      </w:pPr>
    </w:lvl>
    <w:lvl w:ilvl="3" w:tplc="0809000F">
      <w:start w:val="1"/>
      <w:numFmt w:val="decimal"/>
      <w:lvlText w:val="%4."/>
      <w:lvlJc w:val="left"/>
      <w:pPr>
        <w:ind w:left="2605" w:hanging="360"/>
      </w:pPr>
    </w:lvl>
    <w:lvl w:ilvl="4" w:tplc="08090019">
      <w:start w:val="1"/>
      <w:numFmt w:val="lowerLetter"/>
      <w:lvlText w:val="%5."/>
      <w:lvlJc w:val="left"/>
      <w:pPr>
        <w:ind w:left="3325" w:hanging="360"/>
      </w:pPr>
    </w:lvl>
    <w:lvl w:ilvl="5" w:tplc="0809001B">
      <w:start w:val="1"/>
      <w:numFmt w:val="lowerRoman"/>
      <w:lvlText w:val="%6."/>
      <w:lvlJc w:val="right"/>
      <w:pPr>
        <w:ind w:left="4045" w:hanging="180"/>
      </w:pPr>
    </w:lvl>
    <w:lvl w:ilvl="6" w:tplc="0809000F">
      <w:start w:val="1"/>
      <w:numFmt w:val="decimal"/>
      <w:lvlText w:val="%7."/>
      <w:lvlJc w:val="left"/>
      <w:pPr>
        <w:ind w:left="4765" w:hanging="360"/>
      </w:pPr>
    </w:lvl>
    <w:lvl w:ilvl="7" w:tplc="08090019">
      <w:start w:val="1"/>
      <w:numFmt w:val="lowerLetter"/>
      <w:lvlText w:val="%8."/>
      <w:lvlJc w:val="left"/>
      <w:pPr>
        <w:ind w:left="5485" w:hanging="360"/>
      </w:pPr>
    </w:lvl>
    <w:lvl w:ilvl="8" w:tplc="0809001B">
      <w:start w:val="1"/>
      <w:numFmt w:val="lowerRoman"/>
      <w:lvlText w:val="%9."/>
      <w:lvlJc w:val="right"/>
      <w:pPr>
        <w:ind w:left="6205" w:hanging="180"/>
      </w:pPr>
    </w:lvl>
  </w:abstractNum>
  <w:abstractNum w:abstractNumId="12" w15:restartNumberingAfterBreak="0">
    <w:nsid w:val="437C1CDC"/>
    <w:multiLevelType w:val="multilevel"/>
    <w:tmpl w:val="71A2B7D8"/>
    <w:styleLink w:val="EAAlphaBullets"/>
    <w:lvl w:ilvl="0">
      <w:start w:val="1"/>
      <w:numFmt w:val="lowerLetter"/>
      <w:pStyle w:val="AlphaBulletL1"/>
      <w:lvlText w:val="(%1)"/>
      <w:lvlJc w:val="left"/>
      <w:pPr>
        <w:tabs>
          <w:tab w:val="num" w:pos="340"/>
        </w:tabs>
        <w:ind w:left="340" w:hanging="340"/>
      </w:pPr>
      <w:rPr>
        <w:rFonts w:hint="default"/>
      </w:rPr>
    </w:lvl>
    <w:lvl w:ilvl="1">
      <w:start w:val="1"/>
      <w:numFmt w:val="lowerLetter"/>
      <w:pStyle w:val="AlphaBulletL2"/>
      <w:lvlText w:val="(%2)"/>
      <w:lvlJc w:val="left"/>
      <w:pPr>
        <w:tabs>
          <w:tab w:val="num" w:pos="680"/>
        </w:tabs>
        <w:ind w:left="680" w:hanging="340"/>
      </w:pPr>
      <w:rPr>
        <w:rFonts w:hint="default"/>
      </w:rPr>
    </w:lvl>
    <w:lvl w:ilvl="2">
      <w:start w:val="1"/>
      <w:numFmt w:val="lowerLetter"/>
      <w:pStyle w:val="AlphaBulletL3"/>
      <w:lvlText w:val="(%3)"/>
      <w:lvlJc w:val="left"/>
      <w:pPr>
        <w:tabs>
          <w:tab w:val="num" w:pos="1134"/>
        </w:tabs>
        <w:ind w:left="1134" w:hanging="454"/>
      </w:pPr>
      <w:rPr>
        <w:rFonts w:hint="default"/>
      </w:rPr>
    </w:lvl>
    <w:lvl w:ilvl="3">
      <w:start w:val="1"/>
      <w:numFmt w:val="lowerLetter"/>
      <w:pStyle w:val="AlphaBulletL4"/>
      <w:lvlText w:val="(%4)"/>
      <w:lvlJc w:val="left"/>
      <w:pPr>
        <w:tabs>
          <w:tab w:val="num" w:pos="1588"/>
        </w:tabs>
        <w:ind w:left="1588"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FF0AB6"/>
    <w:multiLevelType w:val="hybridMultilevel"/>
    <w:tmpl w:val="4808AADA"/>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4" w15:restartNumberingAfterBreak="0">
    <w:nsid w:val="4ED473BC"/>
    <w:multiLevelType w:val="multilevel"/>
    <w:tmpl w:val="0D3C16D2"/>
    <w:styleLink w:val="EANumBullets"/>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lowerLetter"/>
      <w:lvlText w:val="(%4)"/>
      <w:lvlJc w:val="left"/>
      <w:pPr>
        <w:tabs>
          <w:tab w:val="num" w:pos="1134"/>
        </w:tabs>
        <w:ind w:left="1134" w:hanging="454"/>
      </w:pPr>
      <w:rPr>
        <w:rFonts w:hint="default"/>
      </w:rPr>
    </w:lvl>
    <w:lvl w:ilvl="4">
      <w:start w:val="1"/>
      <w:numFmt w:val="lowerRoman"/>
      <w:lvlText w:val="(%5)"/>
      <w:lvlJc w:val="left"/>
      <w:pPr>
        <w:tabs>
          <w:tab w:val="num" w:pos="1588"/>
        </w:tabs>
        <w:ind w:left="1588" w:hanging="45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09072E1"/>
    <w:multiLevelType w:val="hybridMultilevel"/>
    <w:tmpl w:val="DBEA340C"/>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16" w15:restartNumberingAfterBreak="0">
    <w:nsid w:val="559869B3"/>
    <w:multiLevelType w:val="hybridMultilevel"/>
    <w:tmpl w:val="78EA377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91B395B"/>
    <w:multiLevelType w:val="multilevel"/>
    <w:tmpl w:val="C1D834F4"/>
    <w:styleLink w:val="EARoundBullets"/>
    <w:lvl w:ilvl="0">
      <w:start w:val="1"/>
      <w:numFmt w:val="bullet"/>
      <w:pStyle w:val="RoundBulletL1"/>
      <w:lvlText w:val="•"/>
      <w:lvlJc w:val="left"/>
      <w:pPr>
        <w:tabs>
          <w:tab w:val="num" w:pos="340"/>
        </w:tabs>
        <w:ind w:left="340" w:hanging="340"/>
      </w:pPr>
      <w:rPr>
        <w:rFonts w:ascii="Times New Roman" w:hAnsi="Times New Roman" w:cs="Times New Roman" w:hint="default"/>
        <w:color w:val="auto"/>
      </w:rPr>
    </w:lvl>
    <w:lvl w:ilvl="1">
      <w:start w:val="1"/>
      <w:numFmt w:val="bullet"/>
      <w:pStyle w:val="RoundBulletL2"/>
      <w:lvlText w:val="•"/>
      <w:lvlJc w:val="left"/>
      <w:pPr>
        <w:tabs>
          <w:tab w:val="num" w:pos="680"/>
        </w:tabs>
        <w:ind w:left="680" w:hanging="340"/>
      </w:pPr>
      <w:rPr>
        <w:rFonts w:asciiTheme="minorHAnsi" w:hAnsiTheme="minorHAnsi" w:cs="Times New Roman" w:hint="default"/>
        <w:color w:val="auto"/>
      </w:rPr>
    </w:lvl>
    <w:lvl w:ilvl="2">
      <w:start w:val="1"/>
      <w:numFmt w:val="bullet"/>
      <w:pStyle w:val="RoundBulletL3"/>
      <w:lvlText w:val="•"/>
      <w:lvlJc w:val="left"/>
      <w:pPr>
        <w:tabs>
          <w:tab w:val="num" w:pos="1134"/>
        </w:tabs>
        <w:ind w:left="1134" w:hanging="454"/>
      </w:pPr>
      <w:rPr>
        <w:rFonts w:asciiTheme="minorHAnsi" w:hAnsiTheme="minorHAnsi" w:cs="Times New Roman" w:hint="default"/>
        <w:color w:val="auto"/>
      </w:rPr>
    </w:lvl>
    <w:lvl w:ilvl="3">
      <w:start w:val="1"/>
      <w:numFmt w:val="bullet"/>
      <w:pStyle w:val="RoundBulletL4"/>
      <w:lvlText w:val="•"/>
      <w:lvlJc w:val="left"/>
      <w:pPr>
        <w:tabs>
          <w:tab w:val="num" w:pos="1588"/>
        </w:tabs>
        <w:ind w:left="1588" w:hanging="454"/>
      </w:pPr>
      <w:rPr>
        <w:rFonts w:asciiTheme="minorHAnsi" w:hAnsiTheme="minorHAns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E757A1B"/>
    <w:multiLevelType w:val="multilevel"/>
    <w:tmpl w:val="C1D834F4"/>
    <w:numStyleLink w:val="EARoundBullets"/>
  </w:abstractNum>
  <w:abstractNum w:abstractNumId="19" w15:restartNumberingAfterBreak="0">
    <w:nsid w:val="5E8A30B6"/>
    <w:multiLevelType w:val="hybridMultilevel"/>
    <w:tmpl w:val="C94E6B26"/>
    <w:lvl w:ilvl="0" w:tplc="0809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0" w15:restartNumberingAfterBreak="0">
    <w:nsid w:val="6329646E"/>
    <w:multiLevelType w:val="hybridMultilevel"/>
    <w:tmpl w:val="B360E954"/>
    <w:lvl w:ilvl="0" w:tplc="0809001B">
      <w:start w:val="1"/>
      <w:numFmt w:val="lowerRoman"/>
      <w:lvlText w:val="%1."/>
      <w:lvlJc w:val="right"/>
      <w:pPr>
        <w:ind w:left="857" w:hanging="360"/>
      </w:pPr>
    </w:lvl>
    <w:lvl w:ilvl="1" w:tplc="08090019" w:tentative="1">
      <w:start w:val="1"/>
      <w:numFmt w:val="lowerLetter"/>
      <w:lvlText w:val="%2."/>
      <w:lvlJc w:val="left"/>
      <w:pPr>
        <w:ind w:left="1577" w:hanging="360"/>
      </w:pPr>
    </w:lvl>
    <w:lvl w:ilvl="2" w:tplc="0809001B" w:tentative="1">
      <w:start w:val="1"/>
      <w:numFmt w:val="lowerRoman"/>
      <w:lvlText w:val="%3."/>
      <w:lvlJc w:val="right"/>
      <w:pPr>
        <w:ind w:left="2297" w:hanging="180"/>
      </w:pPr>
    </w:lvl>
    <w:lvl w:ilvl="3" w:tplc="0809000F" w:tentative="1">
      <w:start w:val="1"/>
      <w:numFmt w:val="decimal"/>
      <w:lvlText w:val="%4."/>
      <w:lvlJc w:val="left"/>
      <w:pPr>
        <w:ind w:left="3017" w:hanging="360"/>
      </w:pPr>
    </w:lvl>
    <w:lvl w:ilvl="4" w:tplc="08090019" w:tentative="1">
      <w:start w:val="1"/>
      <w:numFmt w:val="lowerLetter"/>
      <w:lvlText w:val="%5."/>
      <w:lvlJc w:val="left"/>
      <w:pPr>
        <w:ind w:left="3737" w:hanging="360"/>
      </w:pPr>
    </w:lvl>
    <w:lvl w:ilvl="5" w:tplc="0809001B" w:tentative="1">
      <w:start w:val="1"/>
      <w:numFmt w:val="lowerRoman"/>
      <w:lvlText w:val="%6."/>
      <w:lvlJc w:val="right"/>
      <w:pPr>
        <w:ind w:left="4457" w:hanging="180"/>
      </w:pPr>
    </w:lvl>
    <w:lvl w:ilvl="6" w:tplc="0809000F" w:tentative="1">
      <w:start w:val="1"/>
      <w:numFmt w:val="decimal"/>
      <w:lvlText w:val="%7."/>
      <w:lvlJc w:val="left"/>
      <w:pPr>
        <w:ind w:left="5177" w:hanging="360"/>
      </w:pPr>
    </w:lvl>
    <w:lvl w:ilvl="7" w:tplc="08090019" w:tentative="1">
      <w:start w:val="1"/>
      <w:numFmt w:val="lowerLetter"/>
      <w:lvlText w:val="%8."/>
      <w:lvlJc w:val="left"/>
      <w:pPr>
        <w:ind w:left="5897" w:hanging="360"/>
      </w:pPr>
    </w:lvl>
    <w:lvl w:ilvl="8" w:tplc="0809001B" w:tentative="1">
      <w:start w:val="1"/>
      <w:numFmt w:val="lowerRoman"/>
      <w:lvlText w:val="%9."/>
      <w:lvlJc w:val="right"/>
      <w:pPr>
        <w:ind w:left="6617" w:hanging="180"/>
      </w:pPr>
    </w:lvl>
  </w:abstractNum>
  <w:abstractNum w:abstractNumId="21" w15:restartNumberingAfterBreak="0">
    <w:nsid w:val="698C67AB"/>
    <w:multiLevelType w:val="hybridMultilevel"/>
    <w:tmpl w:val="28709BF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6F487BA6"/>
    <w:multiLevelType w:val="hybridMultilevel"/>
    <w:tmpl w:val="3C480464"/>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3" w15:restartNumberingAfterBreak="0">
    <w:nsid w:val="704C5E0D"/>
    <w:multiLevelType w:val="hybridMultilevel"/>
    <w:tmpl w:val="665402F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2A3222C"/>
    <w:multiLevelType w:val="hybridMultilevel"/>
    <w:tmpl w:val="6682F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5254499">
    <w:abstractNumId w:val="14"/>
    <w:lvlOverride w:ilvl="0">
      <w:lvl w:ilvl="0">
        <w:start w:val="1"/>
        <w:numFmt w:val="decimal"/>
        <w:lvlText w:val="%1"/>
        <w:lvlJc w:val="left"/>
        <w:pPr>
          <w:tabs>
            <w:tab w:val="num" w:pos="680"/>
          </w:tabs>
          <w:ind w:left="680" w:hanging="680"/>
        </w:pPr>
        <w:rPr>
          <w:rFonts w:hint="default"/>
        </w:rPr>
      </w:lvl>
    </w:lvlOverride>
    <w:lvlOverride w:ilvl="1">
      <w:lvl w:ilvl="1">
        <w:start w:val="1"/>
        <w:numFmt w:val="decimal"/>
        <w:lvlText w:val="%1.%2"/>
        <w:lvlJc w:val="left"/>
        <w:pPr>
          <w:tabs>
            <w:tab w:val="num" w:pos="680"/>
          </w:tabs>
          <w:ind w:left="680" w:hanging="680"/>
        </w:pPr>
        <w:rPr>
          <w:rFonts w:hint="default"/>
        </w:rPr>
      </w:lvl>
    </w:lvlOverride>
    <w:lvlOverride w:ilvl="2">
      <w:lvl w:ilvl="2">
        <w:start w:val="1"/>
        <w:numFmt w:val="decimal"/>
        <w:lvlText w:val="%1.%2.%3"/>
        <w:lvlJc w:val="left"/>
        <w:pPr>
          <w:tabs>
            <w:tab w:val="num" w:pos="680"/>
          </w:tabs>
          <w:ind w:left="680" w:hanging="680"/>
        </w:pPr>
        <w:rPr>
          <w:rFonts w:hint="default"/>
        </w:rPr>
      </w:lvl>
    </w:lvlOverride>
    <w:lvlOverride w:ilvl="3">
      <w:lvl w:ilvl="3">
        <w:start w:val="1"/>
        <w:numFmt w:val="lowerLetter"/>
        <w:lvlText w:val="(%4)"/>
        <w:lvlJc w:val="left"/>
        <w:pPr>
          <w:tabs>
            <w:tab w:val="num" w:pos="1134"/>
          </w:tabs>
          <w:ind w:left="1134" w:hanging="454"/>
        </w:pPr>
        <w:rPr>
          <w:rFonts w:hint="default"/>
        </w:rPr>
      </w:lvl>
    </w:lvlOverride>
    <w:lvlOverride w:ilvl="4">
      <w:lvl w:ilvl="4">
        <w:start w:val="1"/>
        <w:numFmt w:val="lowerRoman"/>
        <w:lvlText w:val="(%5)"/>
        <w:lvlJc w:val="left"/>
        <w:pPr>
          <w:tabs>
            <w:tab w:val="num" w:pos="1588"/>
          </w:tabs>
          <w:ind w:left="1588" w:hanging="454"/>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 w16cid:durableId="5459184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682417">
    <w:abstractNumId w:val="17"/>
  </w:num>
  <w:num w:numId="4" w16cid:durableId="182670277">
    <w:abstractNumId w:val="10"/>
  </w:num>
  <w:num w:numId="5" w16cid:durableId="590705696">
    <w:abstractNumId w:val="12"/>
  </w:num>
  <w:num w:numId="6" w16cid:durableId="10446442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2065062">
    <w:abstractNumId w:val="1"/>
  </w:num>
  <w:num w:numId="8" w16cid:durableId="1481461721">
    <w:abstractNumId w:val="18"/>
  </w:num>
  <w:num w:numId="9" w16cid:durableId="97918558">
    <w:abstractNumId w:val="7"/>
  </w:num>
  <w:num w:numId="10" w16cid:durableId="832722908">
    <w:abstractNumId w:val="14"/>
    <w:lvlOverride w:ilvl="0">
      <w:lvl w:ilvl="0">
        <w:start w:val="1"/>
        <w:numFmt w:val="decimal"/>
        <w:lvlText w:val="%1"/>
        <w:lvlJc w:val="left"/>
        <w:pPr>
          <w:tabs>
            <w:tab w:val="num" w:pos="680"/>
          </w:tabs>
          <w:ind w:left="680" w:hanging="680"/>
        </w:pPr>
        <w:rPr>
          <w:rFonts w:hint="default"/>
        </w:rPr>
      </w:lvl>
    </w:lvlOverride>
    <w:lvlOverride w:ilvl="1">
      <w:lvl w:ilvl="1">
        <w:start w:val="1"/>
        <w:numFmt w:val="decimal"/>
        <w:lvlText w:val="%1.%2"/>
        <w:lvlJc w:val="left"/>
        <w:pPr>
          <w:tabs>
            <w:tab w:val="num" w:pos="680"/>
          </w:tabs>
          <w:ind w:left="680" w:hanging="680"/>
        </w:pPr>
        <w:rPr>
          <w:rFonts w:hint="default"/>
        </w:rPr>
      </w:lvl>
    </w:lvlOverride>
    <w:lvlOverride w:ilvl="2">
      <w:lvl w:ilvl="2">
        <w:start w:val="1"/>
        <w:numFmt w:val="decimal"/>
        <w:lvlText w:val="%1.%2.%3"/>
        <w:lvlJc w:val="left"/>
        <w:pPr>
          <w:tabs>
            <w:tab w:val="num" w:pos="680"/>
          </w:tabs>
          <w:ind w:left="680" w:hanging="680"/>
        </w:pPr>
        <w:rPr>
          <w:rFonts w:hint="default"/>
        </w:rPr>
      </w:lvl>
    </w:lvlOverride>
    <w:lvlOverride w:ilvl="3">
      <w:lvl w:ilvl="3">
        <w:start w:val="1"/>
        <w:numFmt w:val="lowerLetter"/>
        <w:lvlText w:val="(%4)"/>
        <w:lvlJc w:val="left"/>
        <w:pPr>
          <w:tabs>
            <w:tab w:val="num" w:pos="1134"/>
          </w:tabs>
          <w:ind w:left="1134" w:hanging="454"/>
        </w:pPr>
        <w:rPr>
          <w:rFonts w:hint="default"/>
        </w:rPr>
      </w:lvl>
    </w:lvlOverride>
    <w:lvlOverride w:ilvl="4">
      <w:lvl w:ilvl="4">
        <w:start w:val="1"/>
        <w:numFmt w:val="lowerRoman"/>
        <w:lvlText w:val="(%5)"/>
        <w:lvlJc w:val="left"/>
        <w:pPr>
          <w:tabs>
            <w:tab w:val="num" w:pos="1588"/>
          </w:tabs>
          <w:ind w:left="1588" w:hanging="454"/>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813452072">
    <w:abstractNumId w:val="9"/>
  </w:num>
  <w:num w:numId="12" w16cid:durableId="1934126030">
    <w:abstractNumId w:val="3"/>
  </w:num>
  <w:num w:numId="13" w16cid:durableId="14864319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0907174">
    <w:abstractNumId w:val="0"/>
  </w:num>
  <w:num w:numId="15" w16cid:durableId="651955852">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9523050">
    <w:abstractNumId w:val="14"/>
  </w:num>
  <w:num w:numId="17" w16cid:durableId="1723795733">
    <w:abstractNumId w:val="14"/>
    <w:lvlOverride w:ilvl="3">
      <w:lvl w:ilvl="3">
        <w:start w:val="1"/>
        <w:numFmt w:val="lowerLetter"/>
        <w:lvlText w:val="(%4)"/>
        <w:lvlJc w:val="left"/>
        <w:pPr>
          <w:tabs>
            <w:tab w:val="num" w:pos="1164"/>
          </w:tabs>
          <w:ind w:left="1164" w:hanging="45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607665761">
    <w:abstractNumId w:val="11"/>
  </w:num>
  <w:num w:numId="19" w16cid:durableId="1496723582">
    <w:abstractNumId w:val="24"/>
  </w:num>
  <w:num w:numId="20" w16cid:durableId="877817315">
    <w:abstractNumId w:val="14"/>
    <w:lvlOverride w:ilvl="0">
      <w:lvl w:ilvl="0">
        <w:start w:val="1"/>
        <w:numFmt w:val="decimal"/>
        <w:lvlText w:val="%1"/>
        <w:lvlJc w:val="left"/>
        <w:pPr>
          <w:tabs>
            <w:tab w:val="num" w:pos="680"/>
          </w:tabs>
          <w:ind w:left="680" w:hanging="680"/>
        </w:pPr>
        <w:rPr>
          <w:rFonts w:hint="default"/>
        </w:rPr>
      </w:lvl>
    </w:lvlOverride>
    <w:lvlOverride w:ilvl="1">
      <w:lvl w:ilvl="1">
        <w:start w:val="1"/>
        <w:numFmt w:val="decimal"/>
        <w:lvlText w:val="%1.%2"/>
        <w:lvlJc w:val="left"/>
        <w:pPr>
          <w:tabs>
            <w:tab w:val="num" w:pos="680"/>
          </w:tabs>
          <w:ind w:left="680" w:hanging="680"/>
        </w:pPr>
        <w:rPr>
          <w:rFonts w:hint="default"/>
        </w:rPr>
      </w:lvl>
    </w:lvlOverride>
    <w:lvlOverride w:ilvl="2">
      <w:lvl w:ilvl="2">
        <w:start w:val="1"/>
        <w:numFmt w:val="decimal"/>
        <w:lvlText w:val="%1.%2.%3"/>
        <w:lvlJc w:val="left"/>
        <w:pPr>
          <w:tabs>
            <w:tab w:val="num" w:pos="680"/>
          </w:tabs>
          <w:ind w:left="680" w:hanging="680"/>
        </w:pPr>
        <w:rPr>
          <w:rFonts w:hint="default"/>
        </w:rPr>
      </w:lvl>
    </w:lvlOverride>
    <w:lvlOverride w:ilvl="3">
      <w:lvl w:ilvl="3">
        <w:start w:val="1"/>
        <w:numFmt w:val="lowerLetter"/>
        <w:lvlText w:val="(%4)"/>
        <w:lvlJc w:val="left"/>
        <w:pPr>
          <w:tabs>
            <w:tab w:val="num" w:pos="1589"/>
          </w:tabs>
          <w:ind w:left="1589" w:hanging="454"/>
        </w:pPr>
        <w:rPr>
          <w:rFonts w:hint="default"/>
        </w:rPr>
      </w:lvl>
    </w:lvlOverride>
    <w:lvlOverride w:ilvl="4">
      <w:lvl w:ilvl="4">
        <w:start w:val="1"/>
        <w:numFmt w:val="lowerRoman"/>
        <w:lvlText w:val="(%5)"/>
        <w:lvlJc w:val="left"/>
        <w:pPr>
          <w:tabs>
            <w:tab w:val="num" w:pos="1588"/>
          </w:tabs>
          <w:ind w:left="1588" w:hanging="454"/>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831795964">
    <w:abstractNumId w:val="13"/>
  </w:num>
  <w:num w:numId="22" w16cid:durableId="21464612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3204378">
    <w:abstractNumId w:val="2"/>
  </w:num>
  <w:num w:numId="24" w16cid:durableId="772016492">
    <w:abstractNumId w:val="9"/>
    <w:lvlOverride w:ilvl="0">
      <w:startOverride w:val="4"/>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0909830">
    <w:abstractNumId w:val="9"/>
    <w:lvlOverride w:ilvl="0">
      <w:startOverride w:val="4"/>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2334122">
    <w:abstractNumId w:val="23"/>
  </w:num>
  <w:num w:numId="27" w16cid:durableId="1245649895">
    <w:abstractNumId w:val="21"/>
  </w:num>
  <w:num w:numId="28" w16cid:durableId="1595744369">
    <w:abstractNumId w:val="22"/>
  </w:num>
  <w:num w:numId="29" w16cid:durableId="276375456">
    <w:abstractNumId w:val="5"/>
  </w:num>
  <w:num w:numId="30" w16cid:durableId="1519586360">
    <w:abstractNumId w:val="20"/>
  </w:num>
  <w:num w:numId="31" w16cid:durableId="1036348194">
    <w:abstractNumId w:val="16"/>
  </w:num>
  <w:num w:numId="32" w16cid:durableId="253242522">
    <w:abstractNumId w:val="4"/>
  </w:num>
  <w:num w:numId="33" w16cid:durableId="1477601350">
    <w:abstractNumId w:val="19"/>
  </w:num>
  <w:num w:numId="34" w16cid:durableId="603416096">
    <w:abstractNumId w:val="15"/>
  </w:num>
  <w:num w:numId="35" w16cid:durableId="514268639">
    <w:abstractNumId w:val="9"/>
  </w:num>
  <w:num w:numId="36" w16cid:durableId="743184519">
    <w:abstractNumId w:val="9"/>
  </w:num>
  <w:num w:numId="37" w16cid:durableId="843400601">
    <w:abstractNumId w:val="9"/>
  </w:num>
  <w:num w:numId="38" w16cid:durableId="717361324">
    <w:abstractNumId w:val="9"/>
  </w:num>
  <w:num w:numId="39" w16cid:durableId="1669290444">
    <w:abstractNumId w:val="8"/>
  </w:num>
  <w:num w:numId="40" w16cid:durableId="1860044754">
    <w:abstractNumId w:val="6"/>
  </w:num>
  <w:num w:numId="41" w16cid:durableId="14518949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69821814">
    <w:abstractNumId w:val="9"/>
  </w:num>
  <w:num w:numId="43" w16cid:durableId="480734060">
    <w:abstractNumId w:val="9"/>
    <w:lvlOverride w:ilvl="0">
      <w:startOverride w:val="1"/>
    </w:lvlOverride>
    <w:lvlOverride w:ilvl="1">
      <w:startOverride w:val="1"/>
    </w:lvlOverride>
    <w:lvlOverride w:ilvl="2">
      <w:startOverride w:val="1"/>
    </w:lvlOverride>
    <w:lvlOverride w:ilvl="3">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styleLockTheme/>
  <w:styleLockQFSet/>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0DA"/>
    <w:rsid w:val="00005C6E"/>
    <w:rsid w:val="000064C9"/>
    <w:rsid w:val="00006674"/>
    <w:rsid w:val="000072D6"/>
    <w:rsid w:val="00012D49"/>
    <w:rsid w:val="000147DB"/>
    <w:rsid w:val="00014C54"/>
    <w:rsid w:val="000150BB"/>
    <w:rsid w:val="00015B11"/>
    <w:rsid w:val="00020524"/>
    <w:rsid w:val="00027249"/>
    <w:rsid w:val="0002782C"/>
    <w:rsid w:val="00031911"/>
    <w:rsid w:val="00033059"/>
    <w:rsid w:val="00033714"/>
    <w:rsid w:val="00037BF8"/>
    <w:rsid w:val="000403E2"/>
    <w:rsid w:val="00040C39"/>
    <w:rsid w:val="00046ABB"/>
    <w:rsid w:val="00047B95"/>
    <w:rsid w:val="0005121B"/>
    <w:rsid w:val="0005471E"/>
    <w:rsid w:val="00055D73"/>
    <w:rsid w:val="00070FEA"/>
    <w:rsid w:val="00071EE3"/>
    <w:rsid w:val="00074E3C"/>
    <w:rsid w:val="00077A0C"/>
    <w:rsid w:val="00077A30"/>
    <w:rsid w:val="0008046F"/>
    <w:rsid w:val="00081CC9"/>
    <w:rsid w:val="00083918"/>
    <w:rsid w:val="000848DA"/>
    <w:rsid w:val="0008662E"/>
    <w:rsid w:val="000873B4"/>
    <w:rsid w:val="0009020A"/>
    <w:rsid w:val="00093EAC"/>
    <w:rsid w:val="00095A80"/>
    <w:rsid w:val="00097E82"/>
    <w:rsid w:val="000A0D2D"/>
    <w:rsid w:val="000A33FF"/>
    <w:rsid w:val="000A4A8A"/>
    <w:rsid w:val="000A4DFF"/>
    <w:rsid w:val="000B02BC"/>
    <w:rsid w:val="000B0576"/>
    <w:rsid w:val="000B243F"/>
    <w:rsid w:val="000C005B"/>
    <w:rsid w:val="000C2397"/>
    <w:rsid w:val="000C2E85"/>
    <w:rsid w:val="000C39B3"/>
    <w:rsid w:val="000C4CCC"/>
    <w:rsid w:val="000D0C73"/>
    <w:rsid w:val="000D3AB8"/>
    <w:rsid w:val="000E4AB2"/>
    <w:rsid w:val="000E52FB"/>
    <w:rsid w:val="000E6809"/>
    <w:rsid w:val="000E7E30"/>
    <w:rsid w:val="000F2263"/>
    <w:rsid w:val="000F30A9"/>
    <w:rsid w:val="000F489D"/>
    <w:rsid w:val="000F4F5F"/>
    <w:rsid w:val="000F7B49"/>
    <w:rsid w:val="00101F54"/>
    <w:rsid w:val="00102ECC"/>
    <w:rsid w:val="0010777A"/>
    <w:rsid w:val="00107869"/>
    <w:rsid w:val="001104E9"/>
    <w:rsid w:val="00110C70"/>
    <w:rsid w:val="0011174E"/>
    <w:rsid w:val="001121FC"/>
    <w:rsid w:val="001126E3"/>
    <w:rsid w:val="00112C36"/>
    <w:rsid w:val="001153A5"/>
    <w:rsid w:val="0012144E"/>
    <w:rsid w:val="00121E46"/>
    <w:rsid w:val="00126F89"/>
    <w:rsid w:val="00127242"/>
    <w:rsid w:val="001301E2"/>
    <w:rsid w:val="00130635"/>
    <w:rsid w:val="00141AB9"/>
    <w:rsid w:val="001524BF"/>
    <w:rsid w:val="00154CE3"/>
    <w:rsid w:val="0016092B"/>
    <w:rsid w:val="0016308B"/>
    <w:rsid w:val="00165378"/>
    <w:rsid w:val="00165920"/>
    <w:rsid w:val="00165D4C"/>
    <w:rsid w:val="00166479"/>
    <w:rsid w:val="00175492"/>
    <w:rsid w:val="001754D9"/>
    <w:rsid w:val="001816FC"/>
    <w:rsid w:val="00182BF0"/>
    <w:rsid w:val="00182D39"/>
    <w:rsid w:val="001831D2"/>
    <w:rsid w:val="001837F3"/>
    <w:rsid w:val="00184277"/>
    <w:rsid w:val="001906F6"/>
    <w:rsid w:val="001937E8"/>
    <w:rsid w:val="00193C90"/>
    <w:rsid w:val="00194ECF"/>
    <w:rsid w:val="00195F1E"/>
    <w:rsid w:val="0019715D"/>
    <w:rsid w:val="00197D2E"/>
    <w:rsid w:val="001A03BE"/>
    <w:rsid w:val="001B5D63"/>
    <w:rsid w:val="001C4F1D"/>
    <w:rsid w:val="001C62FC"/>
    <w:rsid w:val="001C65C6"/>
    <w:rsid w:val="001C6A0B"/>
    <w:rsid w:val="001D324A"/>
    <w:rsid w:val="001D63E8"/>
    <w:rsid w:val="001E2324"/>
    <w:rsid w:val="001E5BD5"/>
    <w:rsid w:val="001F2AC7"/>
    <w:rsid w:val="001F4673"/>
    <w:rsid w:val="001F6C83"/>
    <w:rsid w:val="001F6CC0"/>
    <w:rsid w:val="001F7318"/>
    <w:rsid w:val="00207BD6"/>
    <w:rsid w:val="00210034"/>
    <w:rsid w:val="00210399"/>
    <w:rsid w:val="00211AF8"/>
    <w:rsid w:val="00215022"/>
    <w:rsid w:val="002160EF"/>
    <w:rsid w:val="0022260B"/>
    <w:rsid w:val="00222977"/>
    <w:rsid w:val="00224EE7"/>
    <w:rsid w:val="00230911"/>
    <w:rsid w:val="00231701"/>
    <w:rsid w:val="00233C4E"/>
    <w:rsid w:val="002344C9"/>
    <w:rsid w:val="00241DA4"/>
    <w:rsid w:val="00242BAF"/>
    <w:rsid w:val="00243129"/>
    <w:rsid w:val="00244450"/>
    <w:rsid w:val="002505C9"/>
    <w:rsid w:val="00261EE0"/>
    <w:rsid w:val="00262FAB"/>
    <w:rsid w:val="00265815"/>
    <w:rsid w:val="002777F0"/>
    <w:rsid w:val="002809B4"/>
    <w:rsid w:val="002818D5"/>
    <w:rsid w:val="0028302E"/>
    <w:rsid w:val="0028684F"/>
    <w:rsid w:val="00286AD1"/>
    <w:rsid w:val="00287106"/>
    <w:rsid w:val="0028748D"/>
    <w:rsid w:val="002917B6"/>
    <w:rsid w:val="00292389"/>
    <w:rsid w:val="00292C0D"/>
    <w:rsid w:val="002A1427"/>
    <w:rsid w:val="002A2373"/>
    <w:rsid w:val="002B2CA3"/>
    <w:rsid w:val="002C2622"/>
    <w:rsid w:val="002C3496"/>
    <w:rsid w:val="002C5C73"/>
    <w:rsid w:val="002D1DA9"/>
    <w:rsid w:val="002D2987"/>
    <w:rsid w:val="002D33FF"/>
    <w:rsid w:val="002D6C05"/>
    <w:rsid w:val="002D7BAA"/>
    <w:rsid w:val="002E0B7D"/>
    <w:rsid w:val="002F03A0"/>
    <w:rsid w:val="002F11E0"/>
    <w:rsid w:val="002F5313"/>
    <w:rsid w:val="003011B5"/>
    <w:rsid w:val="0030271E"/>
    <w:rsid w:val="00303682"/>
    <w:rsid w:val="0030424F"/>
    <w:rsid w:val="0030724E"/>
    <w:rsid w:val="003108E9"/>
    <w:rsid w:val="00311088"/>
    <w:rsid w:val="00311603"/>
    <w:rsid w:val="00315A89"/>
    <w:rsid w:val="00316742"/>
    <w:rsid w:val="0032230A"/>
    <w:rsid w:val="00326A9A"/>
    <w:rsid w:val="00332185"/>
    <w:rsid w:val="00332349"/>
    <w:rsid w:val="0034259E"/>
    <w:rsid w:val="00353515"/>
    <w:rsid w:val="003574F4"/>
    <w:rsid w:val="00357C7C"/>
    <w:rsid w:val="00360B68"/>
    <w:rsid w:val="0036251D"/>
    <w:rsid w:val="0036311F"/>
    <w:rsid w:val="00363306"/>
    <w:rsid w:val="00364853"/>
    <w:rsid w:val="00370F30"/>
    <w:rsid w:val="00376A6F"/>
    <w:rsid w:val="00380C0A"/>
    <w:rsid w:val="00380ED9"/>
    <w:rsid w:val="00390055"/>
    <w:rsid w:val="003908E2"/>
    <w:rsid w:val="00392849"/>
    <w:rsid w:val="00393090"/>
    <w:rsid w:val="003B01D9"/>
    <w:rsid w:val="003B1AF6"/>
    <w:rsid w:val="003C10AB"/>
    <w:rsid w:val="003C4C69"/>
    <w:rsid w:val="003C4FA5"/>
    <w:rsid w:val="003D2727"/>
    <w:rsid w:val="003D3347"/>
    <w:rsid w:val="003D3ADF"/>
    <w:rsid w:val="003D66A0"/>
    <w:rsid w:val="003D6754"/>
    <w:rsid w:val="003E0C20"/>
    <w:rsid w:val="003E1878"/>
    <w:rsid w:val="003E4F6B"/>
    <w:rsid w:val="003E53DC"/>
    <w:rsid w:val="003E57B8"/>
    <w:rsid w:val="003F16DB"/>
    <w:rsid w:val="00402596"/>
    <w:rsid w:val="004036E7"/>
    <w:rsid w:val="00405260"/>
    <w:rsid w:val="004059AB"/>
    <w:rsid w:val="00405E75"/>
    <w:rsid w:val="00410292"/>
    <w:rsid w:val="004141B7"/>
    <w:rsid w:val="00415ABB"/>
    <w:rsid w:val="00420B1C"/>
    <w:rsid w:val="00423729"/>
    <w:rsid w:val="00432EC5"/>
    <w:rsid w:val="004343B9"/>
    <w:rsid w:val="004404C8"/>
    <w:rsid w:val="00441D0A"/>
    <w:rsid w:val="00441EA0"/>
    <w:rsid w:val="00442433"/>
    <w:rsid w:val="004444A5"/>
    <w:rsid w:val="00450BCA"/>
    <w:rsid w:val="00452502"/>
    <w:rsid w:val="00460A33"/>
    <w:rsid w:val="00466AFD"/>
    <w:rsid w:val="0047312C"/>
    <w:rsid w:val="004748D5"/>
    <w:rsid w:val="004803F0"/>
    <w:rsid w:val="0048528A"/>
    <w:rsid w:val="00487592"/>
    <w:rsid w:val="00490297"/>
    <w:rsid w:val="00493928"/>
    <w:rsid w:val="00494021"/>
    <w:rsid w:val="00494751"/>
    <w:rsid w:val="00495560"/>
    <w:rsid w:val="004A0D43"/>
    <w:rsid w:val="004A31C9"/>
    <w:rsid w:val="004A39B3"/>
    <w:rsid w:val="004A6EAC"/>
    <w:rsid w:val="004A7964"/>
    <w:rsid w:val="004B0AA6"/>
    <w:rsid w:val="004B2A8B"/>
    <w:rsid w:val="004B421E"/>
    <w:rsid w:val="004B57B8"/>
    <w:rsid w:val="004B72DC"/>
    <w:rsid w:val="004C3465"/>
    <w:rsid w:val="004C4BE5"/>
    <w:rsid w:val="004C66F5"/>
    <w:rsid w:val="004D0287"/>
    <w:rsid w:val="004D342C"/>
    <w:rsid w:val="004D3D69"/>
    <w:rsid w:val="004D624E"/>
    <w:rsid w:val="004E1098"/>
    <w:rsid w:val="004E1C8B"/>
    <w:rsid w:val="004E3260"/>
    <w:rsid w:val="004E5211"/>
    <w:rsid w:val="004F1ED8"/>
    <w:rsid w:val="005054F4"/>
    <w:rsid w:val="00511143"/>
    <w:rsid w:val="0051572F"/>
    <w:rsid w:val="0051574F"/>
    <w:rsid w:val="00524177"/>
    <w:rsid w:val="005267AA"/>
    <w:rsid w:val="0053053E"/>
    <w:rsid w:val="005429C7"/>
    <w:rsid w:val="00546FD5"/>
    <w:rsid w:val="00551F8B"/>
    <w:rsid w:val="00554490"/>
    <w:rsid w:val="00563124"/>
    <w:rsid w:val="00564E60"/>
    <w:rsid w:val="0056556F"/>
    <w:rsid w:val="0056695C"/>
    <w:rsid w:val="00573BA9"/>
    <w:rsid w:val="005746DB"/>
    <w:rsid w:val="00575CB4"/>
    <w:rsid w:val="00577392"/>
    <w:rsid w:val="00583358"/>
    <w:rsid w:val="00586CA0"/>
    <w:rsid w:val="00590250"/>
    <w:rsid w:val="00590630"/>
    <w:rsid w:val="005919A4"/>
    <w:rsid w:val="005A255A"/>
    <w:rsid w:val="005A7B0F"/>
    <w:rsid w:val="005B1D96"/>
    <w:rsid w:val="005B3111"/>
    <w:rsid w:val="005B53E5"/>
    <w:rsid w:val="005B75CA"/>
    <w:rsid w:val="005B7B1E"/>
    <w:rsid w:val="005C0001"/>
    <w:rsid w:val="005C03A7"/>
    <w:rsid w:val="005C1816"/>
    <w:rsid w:val="005C434F"/>
    <w:rsid w:val="005C5552"/>
    <w:rsid w:val="005C6168"/>
    <w:rsid w:val="005D4F8B"/>
    <w:rsid w:val="005D7DE8"/>
    <w:rsid w:val="005E148E"/>
    <w:rsid w:val="005E3C96"/>
    <w:rsid w:val="005E4677"/>
    <w:rsid w:val="005E66AF"/>
    <w:rsid w:val="005E6D38"/>
    <w:rsid w:val="0060316C"/>
    <w:rsid w:val="006122FC"/>
    <w:rsid w:val="006123F2"/>
    <w:rsid w:val="006135FC"/>
    <w:rsid w:val="006136DB"/>
    <w:rsid w:val="00616705"/>
    <w:rsid w:val="00621953"/>
    <w:rsid w:val="006222CD"/>
    <w:rsid w:val="006228A6"/>
    <w:rsid w:val="00627ACD"/>
    <w:rsid w:val="00630C84"/>
    <w:rsid w:val="006311D2"/>
    <w:rsid w:val="006312F0"/>
    <w:rsid w:val="00632646"/>
    <w:rsid w:val="00632676"/>
    <w:rsid w:val="00635DF0"/>
    <w:rsid w:val="0063725F"/>
    <w:rsid w:val="006405A5"/>
    <w:rsid w:val="006405F6"/>
    <w:rsid w:val="00640FBE"/>
    <w:rsid w:val="006425F9"/>
    <w:rsid w:val="00643070"/>
    <w:rsid w:val="00645B33"/>
    <w:rsid w:val="006518D2"/>
    <w:rsid w:val="006564CF"/>
    <w:rsid w:val="006567B9"/>
    <w:rsid w:val="006613E0"/>
    <w:rsid w:val="00663EE9"/>
    <w:rsid w:val="0066620B"/>
    <w:rsid w:val="00667CFF"/>
    <w:rsid w:val="00677E8D"/>
    <w:rsid w:val="00680909"/>
    <w:rsid w:val="0068254A"/>
    <w:rsid w:val="0068686A"/>
    <w:rsid w:val="00691FC4"/>
    <w:rsid w:val="00697114"/>
    <w:rsid w:val="006977FE"/>
    <w:rsid w:val="006A06BA"/>
    <w:rsid w:val="006A3699"/>
    <w:rsid w:val="006A6312"/>
    <w:rsid w:val="006B106F"/>
    <w:rsid w:val="006B12FB"/>
    <w:rsid w:val="006B1492"/>
    <w:rsid w:val="006B2C5D"/>
    <w:rsid w:val="006B32F6"/>
    <w:rsid w:val="006B5289"/>
    <w:rsid w:val="006B5637"/>
    <w:rsid w:val="006B5CFE"/>
    <w:rsid w:val="006C5A21"/>
    <w:rsid w:val="006D0651"/>
    <w:rsid w:val="006D0F67"/>
    <w:rsid w:val="006D157E"/>
    <w:rsid w:val="006D21B2"/>
    <w:rsid w:val="006D2DA4"/>
    <w:rsid w:val="006E329D"/>
    <w:rsid w:val="006E5029"/>
    <w:rsid w:val="006F1AF2"/>
    <w:rsid w:val="006F3464"/>
    <w:rsid w:val="006F4C4C"/>
    <w:rsid w:val="006F7093"/>
    <w:rsid w:val="006F745D"/>
    <w:rsid w:val="00701034"/>
    <w:rsid w:val="00701760"/>
    <w:rsid w:val="00703B80"/>
    <w:rsid w:val="0070449B"/>
    <w:rsid w:val="00707745"/>
    <w:rsid w:val="00711DE1"/>
    <w:rsid w:val="007120FE"/>
    <w:rsid w:val="0071660F"/>
    <w:rsid w:val="00722160"/>
    <w:rsid w:val="0072349C"/>
    <w:rsid w:val="0072469F"/>
    <w:rsid w:val="00732995"/>
    <w:rsid w:val="007373EE"/>
    <w:rsid w:val="007507C3"/>
    <w:rsid w:val="00750EC4"/>
    <w:rsid w:val="0075137E"/>
    <w:rsid w:val="00751821"/>
    <w:rsid w:val="007649E8"/>
    <w:rsid w:val="007660F0"/>
    <w:rsid w:val="0076654F"/>
    <w:rsid w:val="00770865"/>
    <w:rsid w:val="007723E2"/>
    <w:rsid w:val="00776D67"/>
    <w:rsid w:val="007856AA"/>
    <w:rsid w:val="00794D6F"/>
    <w:rsid w:val="00796740"/>
    <w:rsid w:val="007976C5"/>
    <w:rsid w:val="007A4C04"/>
    <w:rsid w:val="007A53E5"/>
    <w:rsid w:val="007A628D"/>
    <w:rsid w:val="007B2109"/>
    <w:rsid w:val="007B2C70"/>
    <w:rsid w:val="007B3E8C"/>
    <w:rsid w:val="007B4A5A"/>
    <w:rsid w:val="007C0058"/>
    <w:rsid w:val="007C202A"/>
    <w:rsid w:val="007C3CF9"/>
    <w:rsid w:val="007C5323"/>
    <w:rsid w:val="007C7C65"/>
    <w:rsid w:val="007C7C6A"/>
    <w:rsid w:val="007D3150"/>
    <w:rsid w:val="007D42FA"/>
    <w:rsid w:val="007D59F3"/>
    <w:rsid w:val="007D5FBD"/>
    <w:rsid w:val="007D707A"/>
    <w:rsid w:val="007E021B"/>
    <w:rsid w:val="007E12C0"/>
    <w:rsid w:val="007E59FD"/>
    <w:rsid w:val="007E5C2F"/>
    <w:rsid w:val="007E70BC"/>
    <w:rsid w:val="007E7183"/>
    <w:rsid w:val="007F14E2"/>
    <w:rsid w:val="007F166F"/>
    <w:rsid w:val="007F2A9E"/>
    <w:rsid w:val="007F32E5"/>
    <w:rsid w:val="007F4B1F"/>
    <w:rsid w:val="007F6867"/>
    <w:rsid w:val="007F6DC2"/>
    <w:rsid w:val="0080044B"/>
    <w:rsid w:val="008021E8"/>
    <w:rsid w:val="0080429A"/>
    <w:rsid w:val="008056AC"/>
    <w:rsid w:val="008073BC"/>
    <w:rsid w:val="008102E2"/>
    <w:rsid w:val="00816B67"/>
    <w:rsid w:val="008203D9"/>
    <w:rsid w:val="008258B9"/>
    <w:rsid w:val="00825F85"/>
    <w:rsid w:val="00837CE6"/>
    <w:rsid w:val="00837E57"/>
    <w:rsid w:val="00840D9D"/>
    <w:rsid w:val="00841D30"/>
    <w:rsid w:val="008514E4"/>
    <w:rsid w:val="008518AD"/>
    <w:rsid w:val="00853C2C"/>
    <w:rsid w:val="00856573"/>
    <w:rsid w:val="00857F50"/>
    <w:rsid w:val="008620D9"/>
    <w:rsid w:val="00865FDB"/>
    <w:rsid w:val="008725B1"/>
    <w:rsid w:val="008741BD"/>
    <w:rsid w:val="00880266"/>
    <w:rsid w:val="008804BE"/>
    <w:rsid w:val="008812B0"/>
    <w:rsid w:val="0088417E"/>
    <w:rsid w:val="008841DE"/>
    <w:rsid w:val="008845BC"/>
    <w:rsid w:val="0088580F"/>
    <w:rsid w:val="0089042C"/>
    <w:rsid w:val="00892927"/>
    <w:rsid w:val="00895766"/>
    <w:rsid w:val="00896544"/>
    <w:rsid w:val="008A18DD"/>
    <w:rsid w:val="008A2F25"/>
    <w:rsid w:val="008A34B5"/>
    <w:rsid w:val="008A396F"/>
    <w:rsid w:val="008A3E6B"/>
    <w:rsid w:val="008A5190"/>
    <w:rsid w:val="008A769F"/>
    <w:rsid w:val="008B065E"/>
    <w:rsid w:val="008B109F"/>
    <w:rsid w:val="008B1124"/>
    <w:rsid w:val="008C0113"/>
    <w:rsid w:val="008C04D5"/>
    <w:rsid w:val="008C233D"/>
    <w:rsid w:val="008C5547"/>
    <w:rsid w:val="008C6A03"/>
    <w:rsid w:val="008D101F"/>
    <w:rsid w:val="008D5206"/>
    <w:rsid w:val="008E122C"/>
    <w:rsid w:val="008E62B7"/>
    <w:rsid w:val="008F3DE9"/>
    <w:rsid w:val="008F5176"/>
    <w:rsid w:val="008F754B"/>
    <w:rsid w:val="009026E4"/>
    <w:rsid w:val="00902FF6"/>
    <w:rsid w:val="00910A92"/>
    <w:rsid w:val="009110DA"/>
    <w:rsid w:val="009156C1"/>
    <w:rsid w:val="00925C07"/>
    <w:rsid w:val="00930CBC"/>
    <w:rsid w:val="00935229"/>
    <w:rsid w:val="00937A29"/>
    <w:rsid w:val="00942B02"/>
    <w:rsid w:val="00945728"/>
    <w:rsid w:val="00950604"/>
    <w:rsid w:val="0095568C"/>
    <w:rsid w:val="00955EEB"/>
    <w:rsid w:val="0095769C"/>
    <w:rsid w:val="009630A4"/>
    <w:rsid w:val="009637EE"/>
    <w:rsid w:val="0096661C"/>
    <w:rsid w:val="0096666C"/>
    <w:rsid w:val="0097009A"/>
    <w:rsid w:val="00972306"/>
    <w:rsid w:val="00976D76"/>
    <w:rsid w:val="00980E80"/>
    <w:rsid w:val="00982C71"/>
    <w:rsid w:val="009913C5"/>
    <w:rsid w:val="00992B61"/>
    <w:rsid w:val="00993804"/>
    <w:rsid w:val="00997522"/>
    <w:rsid w:val="009A2AF5"/>
    <w:rsid w:val="009A6A80"/>
    <w:rsid w:val="009B1299"/>
    <w:rsid w:val="009B45D9"/>
    <w:rsid w:val="009B4DDC"/>
    <w:rsid w:val="009C1E30"/>
    <w:rsid w:val="009C496B"/>
    <w:rsid w:val="009C7659"/>
    <w:rsid w:val="009D12AF"/>
    <w:rsid w:val="009D15ED"/>
    <w:rsid w:val="009D39DC"/>
    <w:rsid w:val="009D5B17"/>
    <w:rsid w:val="009D7D2F"/>
    <w:rsid w:val="009E1553"/>
    <w:rsid w:val="009E6008"/>
    <w:rsid w:val="009E7D49"/>
    <w:rsid w:val="009F2011"/>
    <w:rsid w:val="009F38EF"/>
    <w:rsid w:val="009F5ECF"/>
    <w:rsid w:val="009F6216"/>
    <w:rsid w:val="00A00BA4"/>
    <w:rsid w:val="00A0669B"/>
    <w:rsid w:val="00A11554"/>
    <w:rsid w:val="00A27700"/>
    <w:rsid w:val="00A32516"/>
    <w:rsid w:val="00A325E8"/>
    <w:rsid w:val="00A347BE"/>
    <w:rsid w:val="00A35B16"/>
    <w:rsid w:val="00A4122D"/>
    <w:rsid w:val="00A4256B"/>
    <w:rsid w:val="00A4424E"/>
    <w:rsid w:val="00A51739"/>
    <w:rsid w:val="00A545FB"/>
    <w:rsid w:val="00A56BDD"/>
    <w:rsid w:val="00A572AC"/>
    <w:rsid w:val="00A602B4"/>
    <w:rsid w:val="00A63583"/>
    <w:rsid w:val="00A64B5D"/>
    <w:rsid w:val="00A65D5B"/>
    <w:rsid w:val="00A76D1D"/>
    <w:rsid w:val="00A77D5E"/>
    <w:rsid w:val="00A77F43"/>
    <w:rsid w:val="00A81866"/>
    <w:rsid w:val="00A83753"/>
    <w:rsid w:val="00A83E16"/>
    <w:rsid w:val="00A85C1C"/>
    <w:rsid w:val="00A90AF7"/>
    <w:rsid w:val="00A96600"/>
    <w:rsid w:val="00AA24CF"/>
    <w:rsid w:val="00AA3D63"/>
    <w:rsid w:val="00AA4F6F"/>
    <w:rsid w:val="00AA56AC"/>
    <w:rsid w:val="00AB1895"/>
    <w:rsid w:val="00AB2F73"/>
    <w:rsid w:val="00AB62F9"/>
    <w:rsid w:val="00AB6437"/>
    <w:rsid w:val="00AB71F7"/>
    <w:rsid w:val="00AC0B7F"/>
    <w:rsid w:val="00AC1500"/>
    <w:rsid w:val="00AC1995"/>
    <w:rsid w:val="00AC535D"/>
    <w:rsid w:val="00AD687B"/>
    <w:rsid w:val="00AE2C46"/>
    <w:rsid w:val="00AF24AC"/>
    <w:rsid w:val="00AF59F9"/>
    <w:rsid w:val="00B0434D"/>
    <w:rsid w:val="00B05DC6"/>
    <w:rsid w:val="00B21B3B"/>
    <w:rsid w:val="00B22004"/>
    <w:rsid w:val="00B32AD2"/>
    <w:rsid w:val="00B33A0E"/>
    <w:rsid w:val="00B42932"/>
    <w:rsid w:val="00B5241E"/>
    <w:rsid w:val="00B561B8"/>
    <w:rsid w:val="00B563C4"/>
    <w:rsid w:val="00B619BF"/>
    <w:rsid w:val="00B625C1"/>
    <w:rsid w:val="00B64B03"/>
    <w:rsid w:val="00B64BF8"/>
    <w:rsid w:val="00B654AC"/>
    <w:rsid w:val="00B671D1"/>
    <w:rsid w:val="00B70A9D"/>
    <w:rsid w:val="00B73099"/>
    <w:rsid w:val="00B73E93"/>
    <w:rsid w:val="00B763D3"/>
    <w:rsid w:val="00B76A11"/>
    <w:rsid w:val="00B7784A"/>
    <w:rsid w:val="00B77C8D"/>
    <w:rsid w:val="00B8400E"/>
    <w:rsid w:val="00B87618"/>
    <w:rsid w:val="00B87832"/>
    <w:rsid w:val="00B93BDE"/>
    <w:rsid w:val="00B9542C"/>
    <w:rsid w:val="00B9651E"/>
    <w:rsid w:val="00B966B0"/>
    <w:rsid w:val="00BA027B"/>
    <w:rsid w:val="00BA0AC8"/>
    <w:rsid w:val="00BA625F"/>
    <w:rsid w:val="00BB181D"/>
    <w:rsid w:val="00BB3B3B"/>
    <w:rsid w:val="00BC047D"/>
    <w:rsid w:val="00BC12E7"/>
    <w:rsid w:val="00BC3C7D"/>
    <w:rsid w:val="00BC41E7"/>
    <w:rsid w:val="00BC7208"/>
    <w:rsid w:val="00BD111F"/>
    <w:rsid w:val="00BD1F91"/>
    <w:rsid w:val="00BD67E8"/>
    <w:rsid w:val="00BD7B0A"/>
    <w:rsid w:val="00BE1F97"/>
    <w:rsid w:val="00BF5B85"/>
    <w:rsid w:val="00BF669E"/>
    <w:rsid w:val="00C00B57"/>
    <w:rsid w:val="00C00FC5"/>
    <w:rsid w:val="00C01D93"/>
    <w:rsid w:val="00C033B3"/>
    <w:rsid w:val="00C03842"/>
    <w:rsid w:val="00C04141"/>
    <w:rsid w:val="00C0794B"/>
    <w:rsid w:val="00C0796C"/>
    <w:rsid w:val="00C11291"/>
    <w:rsid w:val="00C144CE"/>
    <w:rsid w:val="00C1486C"/>
    <w:rsid w:val="00C2065A"/>
    <w:rsid w:val="00C22206"/>
    <w:rsid w:val="00C22B9F"/>
    <w:rsid w:val="00C2654A"/>
    <w:rsid w:val="00C31365"/>
    <w:rsid w:val="00C348B3"/>
    <w:rsid w:val="00C3594C"/>
    <w:rsid w:val="00C421A2"/>
    <w:rsid w:val="00C45B4F"/>
    <w:rsid w:val="00C528FF"/>
    <w:rsid w:val="00C54DDE"/>
    <w:rsid w:val="00C57A89"/>
    <w:rsid w:val="00C60E72"/>
    <w:rsid w:val="00C60FAB"/>
    <w:rsid w:val="00C61701"/>
    <w:rsid w:val="00C64441"/>
    <w:rsid w:val="00C668E9"/>
    <w:rsid w:val="00C67300"/>
    <w:rsid w:val="00C77434"/>
    <w:rsid w:val="00C8030E"/>
    <w:rsid w:val="00C81A6D"/>
    <w:rsid w:val="00C82B77"/>
    <w:rsid w:val="00C8449C"/>
    <w:rsid w:val="00C87813"/>
    <w:rsid w:val="00C907F2"/>
    <w:rsid w:val="00C94111"/>
    <w:rsid w:val="00CA0F53"/>
    <w:rsid w:val="00CA4182"/>
    <w:rsid w:val="00CB0335"/>
    <w:rsid w:val="00CB0406"/>
    <w:rsid w:val="00CB0F1E"/>
    <w:rsid w:val="00CB4C90"/>
    <w:rsid w:val="00CB54DA"/>
    <w:rsid w:val="00CC0664"/>
    <w:rsid w:val="00CC146D"/>
    <w:rsid w:val="00CC20D2"/>
    <w:rsid w:val="00CC42DB"/>
    <w:rsid w:val="00CC627A"/>
    <w:rsid w:val="00CD048C"/>
    <w:rsid w:val="00CD6DE7"/>
    <w:rsid w:val="00CE3DE8"/>
    <w:rsid w:val="00CE5C70"/>
    <w:rsid w:val="00CF1CBA"/>
    <w:rsid w:val="00CF4DB7"/>
    <w:rsid w:val="00CF79C2"/>
    <w:rsid w:val="00D041D6"/>
    <w:rsid w:val="00D06731"/>
    <w:rsid w:val="00D072B8"/>
    <w:rsid w:val="00D11AA6"/>
    <w:rsid w:val="00D13210"/>
    <w:rsid w:val="00D20A1D"/>
    <w:rsid w:val="00D23F2C"/>
    <w:rsid w:val="00D24FE2"/>
    <w:rsid w:val="00D26800"/>
    <w:rsid w:val="00D271FD"/>
    <w:rsid w:val="00D3084A"/>
    <w:rsid w:val="00D3090E"/>
    <w:rsid w:val="00D3125C"/>
    <w:rsid w:val="00D324D3"/>
    <w:rsid w:val="00D32FF5"/>
    <w:rsid w:val="00D367F7"/>
    <w:rsid w:val="00D36DCF"/>
    <w:rsid w:val="00D430EE"/>
    <w:rsid w:val="00D46D29"/>
    <w:rsid w:val="00D51348"/>
    <w:rsid w:val="00D5337E"/>
    <w:rsid w:val="00D571F0"/>
    <w:rsid w:val="00D70FF7"/>
    <w:rsid w:val="00D74BBC"/>
    <w:rsid w:val="00D82845"/>
    <w:rsid w:val="00D84CE2"/>
    <w:rsid w:val="00D85BC3"/>
    <w:rsid w:val="00D87D51"/>
    <w:rsid w:val="00D90141"/>
    <w:rsid w:val="00D952C6"/>
    <w:rsid w:val="00D963EE"/>
    <w:rsid w:val="00D97B57"/>
    <w:rsid w:val="00D97D6D"/>
    <w:rsid w:val="00DA128D"/>
    <w:rsid w:val="00DA59D3"/>
    <w:rsid w:val="00DA76EA"/>
    <w:rsid w:val="00DB13B1"/>
    <w:rsid w:val="00DB41DE"/>
    <w:rsid w:val="00DB4800"/>
    <w:rsid w:val="00DC03EF"/>
    <w:rsid w:val="00DC0586"/>
    <w:rsid w:val="00DC36AF"/>
    <w:rsid w:val="00DC4C7F"/>
    <w:rsid w:val="00DC6702"/>
    <w:rsid w:val="00DD23A0"/>
    <w:rsid w:val="00DD5DE0"/>
    <w:rsid w:val="00DD68DD"/>
    <w:rsid w:val="00DE28B7"/>
    <w:rsid w:val="00DE372D"/>
    <w:rsid w:val="00DE649D"/>
    <w:rsid w:val="00DE68BD"/>
    <w:rsid w:val="00DF628F"/>
    <w:rsid w:val="00DF7462"/>
    <w:rsid w:val="00DF781B"/>
    <w:rsid w:val="00E0026A"/>
    <w:rsid w:val="00E02580"/>
    <w:rsid w:val="00E032B3"/>
    <w:rsid w:val="00E11379"/>
    <w:rsid w:val="00E14D20"/>
    <w:rsid w:val="00E25589"/>
    <w:rsid w:val="00E27039"/>
    <w:rsid w:val="00E3215E"/>
    <w:rsid w:val="00E35460"/>
    <w:rsid w:val="00E37025"/>
    <w:rsid w:val="00E37BEC"/>
    <w:rsid w:val="00E41118"/>
    <w:rsid w:val="00E41810"/>
    <w:rsid w:val="00E418DC"/>
    <w:rsid w:val="00E42CEC"/>
    <w:rsid w:val="00E44016"/>
    <w:rsid w:val="00E527B7"/>
    <w:rsid w:val="00E5281F"/>
    <w:rsid w:val="00E5470A"/>
    <w:rsid w:val="00E56BB3"/>
    <w:rsid w:val="00E57C80"/>
    <w:rsid w:val="00E6084B"/>
    <w:rsid w:val="00E64505"/>
    <w:rsid w:val="00E670D3"/>
    <w:rsid w:val="00E70191"/>
    <w:rsid w:val="00E74783"/>
    <w:rsid w:val="00E76E6C"/>
    <w:rsid w:val="00E80261"/>
    <w:rsid w:val="00E823DD"/>
    <w:rsid w:val="00E83412"/>
    <w:rsid w:val="00E83C68"/>
    <w:rsid w:val="00E85CFF"/>
    <w:rsid w:val="00E85D10"/>
    <w:rsid w:val="00E92A46"/>
    <w:rsid w:val="00E95CFD"/>
    <w:rsid w:val="00E960A0"/>
    <w:rsid w:val="00EA01BD"/>
    <w:rsid w:val="00EA2269"/>
    <w:rsid w:val="00EA3D89"/>
    <w:rsid w:val="00EA6F0E"/>
    <w:rsid w:val="00EA6F1E"/>
    <w:rsid w:val="00EA6F5A"/>
    <w:rsid w:val="00EA75D2"/>
    <w:rsid w:val="00EB06A1"/>
    <w:rsid w:val="00EB075A"/>
    <w:rsid w:val="00EB0A6C"/>
    <w:rsid w:val="00EB0D1B"/>
    <w:rsid w:val="00EB625F"/>
    <w:rsid w:val="00EB71F5"/>
    <w:rsid w:val="00ED3B86"/>
    <w:rsid w:val="00ED6C79"/>
    <w:rsid w:val="00EE1EB6"/>
    <w:rsid w:val="00EE6155"/>
    <w:rsid w:val="00EE686F"/>
    <w:rsid w:val="00EF2BCA"/>
    <w:rsid w:val="00EF46B3"/>
    <w:rsid w:val="00F02705"/>
    <w:rsid w:val="00F034AC"/>
    <w:rsid w:val="00F05B49"/>
    <w:rsid w:val="00F065A0"/>
    <w:rsid w:val="00F07529"/>
    <w:rsid w:val="00F101D4"/>
    <w:rsid w:val="00F10B4C"/>
    <w:rsid w:val="00F1106B"/>
    <w:rsid w:val="00F11665"/>
    <w:rsid w:val="00F16D5B"/>
    <w:rsid w:val="00F20A32"/>
    <w:rsid w:val="00F25267"/>
    <w:rsid w:val="00F32049"/>
    <w:rsid w:val="00F32A10"/>
    <w:rsid w:val="00F34250"/>
    <w:rsid w:val="00F36D0C"/>
    <w:rsid w:val="00F375E3"/>
    <w:rsid w:val="00F41EDB"/>
    <w:rsid w:val="00F43885"/>
    <w:rsid w:val="00F5401C"/>
    <w:rsid w:val="00F56258"/>
    <w:rsid w:val="00F5666F"/>
    <w:rsid w:val="00F5719F"/>
    <w:rsid w:val="00F5747F"/>
    <w:rsid w:val="00F62594"/>
    <w:rsid w:val="00F646C4"/>
    <w:rsid w:val="00F67554"/>
    <w:rsid w:val="00F74AE5"/>
    <w:rsid w:val="00F8010E"/>
    <w:rsid w:val="00F80CF7"/>
    <w:rsid w:val="00F80CFB"/>
    <w:rsid w:val="00F80D63"/>
    <w:rsid w:val="00F85134"/>
    <w:rsid w:val="00F8639D"/>
    <w:rsid w:val="00F86C9E"/>
    <w:rsid w:val="00F9028C"/>
    <w:rsid w:val="00F90E53"/>
    <w:rsid w:val="00F93A44"/>
    <w:rsid w:val="00F940C1"/>
    <w:rsid w:val="00F96149"/>
    <w:rsid w:val="00FA1A55"/>
    <w:rsid w:val="00FA4076"/>
    <w:rsid w:val="00FB2130"/>
    <w:rsid w:val="00FB4577"/>
    <w:rsid w:val="00FB5556"/>
    <w:rsid w:val="00FB7BEF"/>
    <w:rsid w:val="00FC2648"/>
    <w:rsid w:val="00FD420F"/>
    <w:rsid w:val="00FE0C2A"/>
    <w:rsid w:val="00FE110D"/>
    <w:rsid w:val="00FE1AEA"/>
    <w:rsid w:val="00FE2456"/>
    <w:rsid w:val="00FF16FF"/>
    <w:rsid w:val="09529B52"/>
    <w:rsid w:val="0A749420"/>
    <w:rsid w:val="0B23DE20"/>
    <w:rsid w:val="0FC8CEB8"/>
    <w:rsid w:val="16E72F1C"/>
    <w:rsid w:val="170348CF"/>
    <w:rsid w:val="1A4437DD"/>
    <w:rsid w:val="1ABDFE31"/>
    <w:rsid w:val="1BB27D25"/>
    <w:rsid w:val="29B24E39"/>
    <w:rsid w:val="35F97428"/>
    <w:rsid w:val="3FC3A4D7"/>
    <w:rsid w:val="4DA32364"/>
    <w:rsid w:val="4FDCE997"/>
    <w:rsid w:val="5A1540EA"/>
    <w:rsid w:val="5A68F2DB"/>
    <w:rsid w:val="5AB6C348"/>
    <w:rsid w:val="5ACF57CD"/>
    <w:rsid w:val="5AFD2E8F"/>
    <w:rsid w:val="5CBD6CD2"/>
    <w:rsid w:val="5E4AD8AF"/>
    <w:rsid w:val="5FB59476"/>
    <w:rsid w:val="601A3A18"/>
    <w:rsid w:val="636FD7E3"/>
    <w:rsid w:val="64617134"/>
    <w:rsid w:val="6D2155AB"/>
    <w:rsid w:val="6ECF16F5"/>
    <w:rsid w:val="6F8E85E6"/>
    <w:rsid w:val="71D29686"/>
    <w:rsid w:val="73B0FFF6"/>
    <w:rsid w:val="77970815"/>
    <w:rsid w:val="78EE8BAF"/>
    <w:rsid w:val="7DD00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E34CA"/>
  <w15:docId w15:val="{792FCC19-5EA9-4C38-AC60-4BE731AE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nhideWhenUsed="1"/>
    <w:lsdException w:name="toc 3"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locked="1"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locked="1" w:qFormat="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60F"/>
    <w:pPr>
      <w:spacing w:before="120" w:after="120" w:line="276" w:lineRule="auto"/>
    </w:pPr>
    <w:rPr>
      <w:rFonts w:asciiTheme="minorHAnsi" w:hAnsiTheme="minorHAnsi"/>
      <w:szCs w:val="24"/>
      <w:lang w:eastAsia="en-US"/>
    </w:rPr>
  </w:style>
  <w:style w:type="paragraph" w:styleId="Heading1">
    <w:name w:val="heading 1"/>
    <w:basedOn w:val="Normal"/>
    <w:link w:val="Heading1Char"/>
    <w:qFormat/>
    <w:rsid w:val="00071EE3"/>
    <w:pPr>
      <w:keepNext/>
      <w:keepLines/>
      <w:spacing w:before="0" w:after="400" w:line="240" w:lineRule="auto"/>
      <w:outlineLvl w:val="0"/>
    </w:pPr>
    <w:rPr>
      <w:rFonts w:asciiTheme="majorHAnsi" w:eastAsiaTheme="majorEastAsia" w:hAnsiTheme="majorHAnsi" w:cstheme="majorBidi"/>
      <w:b/>
      <w:bCs/>
      <w:sz w:val="36"/>
      <w:szCs w:val="28"/>
    </w:rPr>
  </w:style>
  <w:style w:type="paragraph" w:styleId="Heading2">
    <w:name w:val="heading 2"/>
    <w:basedOn w:val="Normal"/>
    <w:next w:val="Heading1"/>
    <w:link w:val="Heading2Char"/>
    <w:unhideWhenUsed/>
    <w:qFormat/>
    <w:rsid w:val="00071EE3"/>
    <w:pPr>
      <w:keepNext/>
      <w:keepLines/>
      <w:spacing w:before="400" w:after="280" w:line="240" w:lineRule="auto"/>
      <w:outlineLvl w:val="1"/>
    </w:pPr>
    <w:rPr>
      <w:rFonts w:asciiTheme="majorHAnsi" w:eastAsiaTheme="majorEastAsia" w:hAnsiTheme="majorHAnsi" w:cstheme="majorBidi"/>
      <w:b/>
      <w:bCs/>
      <w:sz w:val="32"/>
      <w:szCs w:val="26"/>
    </w:rPr>
  </w:style>
  <w:style w:type="paragraph" w:styleId="Heading3">
    <w:name w:val="heading 3"/>
    <w:basedOn w:val="Normal"/>
    <w:link w:val="Heading3Char"/>
    <w:unhideWhenUsed/>
    <w:qFormat/>
    <w:rsid w:val="00071EE3"/>
    <w:pPr>
      <w:keepNext/>
      <w:keepLines/>
      <w:spacing w:before="280" w:after="200" w:line="240" w:lineRule="auto"/>
      <w:outlineLvl w:val="2"/>
    </w:pPr>
    <w:rPr>
      <w:rFonts w:asciiTheme="majorHAnsi" w:eastAsiaTheme="majorEastAsia" w:hAnsiTheme="majorHAnsi" w:cstheme="majorBidi"/>
      <w:b/>
      <w:bCs/>
      <w:sz w:val="28"/>
    </w:rPr>
  </w:style>
  <w:style w:type="paragraph" w:styleId="Heading4">
    <w:name w:val="heading 4"/>
    <w:basedOn w:val="Normal"/>
    <w:link w:val="Heading4Char"/>
    <w:unhideWhenUsed/>
    <w:qFormat/>
    <w:locked/>
    <w:rsid w:val="005C03A7"/>
    <w:pPr>
      <w:keepNext/>
      <w:keepLines/>
      <w:spacing w:before="200" w:line="240" w:lineRule="auto"/>
      <w:outlineLvl w:val="3"/>
    </w:pPr>
    <w:rPr>
      <w:rFonts w:asciiTheme="majorHAnsi" w:eastAsiaTheme="majorEastAsia" w:hAnsiTheme="maj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16FF"/>
    <w:pPr>
      <w:spacing w:before="0" w:after="0" w:line="240" w:lineRule="auto"/>
    </w:pPr>
    <w:rPr>
      <w:sz w:val="16"/>
    </w:rPr>
  </w:style>
  <w:style w:type="character" w:customStyle="1" w:styleId="HeaderChar">
    <w:name w:val="Header Char"/>
    <w:basedOn w:val="DefaultParagraphFont"/>
    <w:link w:val="Header"/>
    <w:rsid w:val="00FF16FF"/>
    <w:rPr>
      <w:rFonts w:asciiTheme="minorHAnsi" w:hAnsiTheme="minorHAnsi"/>
      <w:sz w:val="16"/>
      <w:szCs w:val="24"/>
      <w:lang w:eastAsia="en-US"/>
    </w:rPr>
  </w:style>
  <w:style w:type="paragraph" w:styleId="Footer">
    <w:name w:val="footer"/>
    <w:basedOn w:val="Normal"/>
    <w:link w:val="FooterChar"/>
    <w:uiPriority w:val="99"/>
    <w:rsid w:val="00FF16FF"/>
    <w:pPr>
      <w:spacing w:before="0" w:after="0" w:line="240" w:lineRule="auto"/>
    </w:pPr>
    <w:rPr>
      <w:sz w:val="16"/>
    </w:rPr>
  </w:style>
  <w:style w:type="character" w:customStyle="1" w:styleId="FooterChar">
    <w:name w:val="Footer Char"/>
    <w:basedOn w:val="DefaultParagraphFont"/>
    <w:link w:val="Footer"/>
    <w:uiPriority w:val="99"/>
    <w:rsid w:val="00FF16FF"/>
    <w:rPr>
      <w:rFonts w:asciiTheme="minorHAnsi" w:hAnsiTheme="minorHAnsi"/>
      <w:sz w:val="16"/>
      <w:szCs w:val="24"/>
      <w:lang w:eastAsia="en-US"/>
    </w:rPr>
  </w:style>
  <w:style w:type="paragraph" w:styleId="BalloonText">
    <w:name w:val="Balloon Text"/>
    <w:basedOn w:val="Normal"/>
    <w:link w:val="BalloonTextChar"/>
    <w:rsid w:val="00FF16F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FF16FF"/>
    <w:rPr>
      <w:rFonts w:ascii="Tahoma" w:hAnsi="Tahoma" w:cs="Tahoma"/>
      <w:sz w:val="16"/>
      <w:szCs w:val="16"/>
      <w:lang w:eastAsia="en-US"/>
    </w:rPr>
  </w:style>
  <w:style w:type="character" w:customStyle="1" w:styleId="Heading1Char">
    <w:name w:val="Heading 1 Char"/>
    <w:basedOn w:val="DefaultParagraphFont"/>
    <w:link w:val="Heading1"/>
    <w:rsid w:val="00071EE3"/>
    <w:rPr>
      <w:rFonts w:asciiTheme="majorHAnsi" w:eastAsiaTheme="majorEastAsia" w:hAnsiTheme="majorHAnsi" w:cstheme="majorBidi"/>
      <w:b/>
      <w:bCs/>
      <w:sz w:val="36"/>
      <w:szCs w:val="28"/>
      <w:lang w:eastAsia="en-US"/>
    </w:rPr>
  </w:style>
  <w:style w:type="character" w:customStyle="1" w:styleId="Heading2Char">
    <w:name w:val="Heading 2 Char"/>
    <w:basedOn w:val="DefaultParagraphFont"/>
    <w:link w:val="Heading2"/>
    <w:rsid w:val="00071EE3"/>
    <w:rPr>
      <w:rFonts w:asciiTheme="majorHAnsi" w:eastAsiaTheme="majorEastAsia" w:hAnsiTheme="majorHAnsi" w:cstheme="majorBidi"/>
      <w:b/>
      <w:bCs/>
      <w:sz w:val="32"/>
      <w:szCs w:val="26"/>
      <w:lang w:eastAsia="en-US"/>
    </w:rPr>
  </w:style>
  <w:style w:type="character" w:customStyle="1" w:styleId="Heading3Char">
    <w:name w:val="Heading 3 Char"/>
    <w:basedOn w:val="DefaultParagraphFont"/>
    <w:link w:val="Heading3"/>
    <w:rsid w:val="00071EE3"/>
    <w:rPr>
      <w:rFonts w:asciiTheme="majorHAnsi" w:eastAsiaTheme="majorEastAsia" w:hAnsiTheme="majorHAnsi" w:cstheme="majorBidi"/>
      <w:b/>
      <w:bCs/>
      <w:sz w:val="28"/>
      <w:szCs w:val="24"/>
      <w:lang w:eastAsia="en-US"/>
    </w:rPr>
  </w:style>
  <w:style w:type="paragraph" w:customStyle="1" w:styleId="Bullet1">
    <w:name w:val="#.#.# Bullet"/>
    <w:basedOn w:val="Bullet0"/>
    <w:qFormat/>
    <w:rsid w:val="00D70FF7"/>
    <w:pPr>
      <w:numPr>
        <w:ilvl w:val="2"/>
      </w:numPr>
      <w:tabs>
        <w:tab w:val="left" w:pos="1134"/>
      </w:tabs>
      <w:spacing w:before="120" w:after="120" w:line="276" w:lineRule="auto"/>
    </w:pPr>
    <w:rPr>
      <w:b w:val="0"/>
      <w:sz w:val="20"/>
    </w:rPr>
  </w:style>
  <w:style w:type="paragraph" w:customStyle="1" w:styleId="aBullet">
    <w:name w:val="#.#.# (a) Bullet"/>
    <w:basedOn w:val="Bullet1"/>
    <w:qFormat/>
    <w:rsid w:val="009D15ED"/>
    <w:pPr>
      <w:numPr>
        <w:ilvl w:val="3"/>
      </w:numPr>
      <w:tabs>
        <w:tab w:val="clear" w:pos="1134"/>
      </w:tabs>
    </w:pPr>
  </w:style>
  <w:style w:type="paragraph" w:customStyle="1" w:styleId="aiBullet">
    <w:name w:val="#.#.# (a) (i) Bullet"/>
    <w:basedOn w:val="aBullet"/>
    <w:qFormat/>
    <w:rsid w:val="009D15ED"/>
    <w:pPr>
      <w:numPr>
        <w:ilvl w:val="4"/>
      </w:numPr>
    </w:pPr>
  </w:style>
  <w:style w:type="paragraph" w:customStyle="1" w:styleId="Bullet0">
    <w:name w:val="#.# Bullet"/>
    <w:basedOn w:val="Bullet"/>
    <w:qFormat/>
    <w:rsid w:val="009D15ED"/>
    <w:pPr>
      <w:numPr>
        <w:ilvl w:val="1"/>
      </w:numPr>
      <w:spacing w:before="280" w:after="200"/>
    </w:pPr>
    <w:rPr>
      <w:sz w:val="28"/>
      <w:szCs w:val="24"/>
    </w:rPr>
  </w:style>
  <w:style w:type="paragraph" w:customStyle="1" w:styleId="Bullet">
    <w:name w:val="# Bullet"/>
    <w:qFormat/>
    <w:rsid w:val="009D15ED"/>
    <w:pPr>
      <w:numPr>
        <w:numId w:val="11"/>
      </w:numPr>
      <w:spacing w:before="400" w:after="280"/>
    </w:pPr>
    <w:rPr>
      <w:rFonts w:asciiTheme="majorHAnsi" w:eastAsiaTheme="majorEastAsia" w:hAnsiTheme="majorHAnsi" w:cstheme="majorBidi"/>
      <w:b/>
      <w:bCs/>
      <w:sz w:val="32"/>
      <w:szCs w:val="26"/>
      <w:lang w:eastAsia="en-US"/>
    </w:rPr>
  </w:style>
  <w:style w:type="character" w:customStyle="1" w:styleId="Heading4Char">
    <w:name w:val="Heading 4 Char"/>
    <w:basedOn w:val="DefaultParagraphFont"/>
    <w:link w:val="Heading4"/>
    <w:rsid w:val="005C03A7"/>
    <w:rPr>
      <w:rFonts w:asciiTheme="majorHAnsi" w:eastAsiaTheme="majorEastAsia" w:hAnsiTheme="majorHAnsi" w:cstheme="majorBidi"/>
      <w:b/>
      <w:bCs/>
      <w:iCs/>
      <w:sz w:val="24"/>
      <w:szCs w:val="24"/>
      <w:lang w:eastAsia="en-US"/>
    </w:rPr>
  </w:style>
  <w:style w:type="table" w:styleId="TableGrid">
    <w:name w:val="Table Grid"/>
    <w:basedOn w:val="TableNormal"/>
    <w:rsid w:val="00A76D1D"/>
    <w:pPr>
      <w:ind w:left="85" w:right="8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b/>
      </w:rPr>
    </w:tblStylePr>
  </w:style>
  <w:style w:type="paragraph" w:styleId="TOC1">
    <w:name w:val="toc 1"/>
    <w:basedOn w:val="Normal"/>
    <w:next w:val="Normal"/>
    <w:autoRedefine/>
    <w:uiPriority w:val="39"/>
    <w:rsid w:val="00490297"/>
    <w:pPr>
      <w:tabs>
        <w:tab w:val="right" w:leader="dot" w:pos="9628"/>
      </w:tabs>
      <w:spacing w:after="100"/>
    </w:pPr>
  </w:style>
  <w:style w:type="table" w:styleId="Table3Deffects1">
    <w:name w:val="Table 3D effects 1"/>
    <w:basedOn w:val="TableNormal"/>
    <w:locked/>
    <w:rsid w:val="00C2654A"/>
    <w:pPr>
      <w:spacing w:before="120"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EATableBullets">
    <w:name w:val="EA Table Bullets"/>
    <w:uiPriority w:val="99"/>
    <w:rsid w:val="00794D6F"/>
    <w:pPr>
      <w:numPr>
        <w:numId w:val="4"/>
      </w:numPr>
    </w:pPr>
  </w:style>
  <w:style w:type="character" w:customStyle="1" w:styleId="Blue">
    <w:name w:val="Blue"/>
    <w:basedOn w:val="DefaultParagraphFont"/>
    <w:uiPriority w:val="1"/>
    <w:qFormat/>
    <w:rsid w:val="00976D76"/>
    <w:rPr>
      <w:color w:val="0000FF" w:themeColor="accent3"/>
    </w:rPr>
  </w:style>
  <w:style w:type="character" w:styleId="Hyperlink">
    <w:name w:val="Hyperlink"/>
    <w:basedOn w:val="DefaultParagraphFont"/>
    <w:uiPriority w:val="99"/>
    <w:unhideWhenUsed/>
    <w:rsid w:val="00490297"/>
    <w:rPr>
      <w:color w:val="000000" w:themeColor="hyperlink"/>
      <w:u w:val="single"/>
    </w:rPr>
  </w:style>
  <w:style w:type="paragraph" w:customStyle="1" w:styleId="TableText">
    <w:name w:val="Table Text"/>
    <w:basedOn w:val="Normal"/>
    <w:qFormat/>
    <w:rsid w:val="00460A33"/>
    <w:pPr>
      <w:spacing w:before="60" w:after="60" w:line="240" w:lineRule="auto"/>
      <w:ind w:left="85" w:right="85"/>
    </w:pPr>
  </w:style>
  <w:style w:type="character" w:customStyle="1" w:styleId="Bold">
    <w:name w:val="Bold"/>
    <w:basedOn w:val="DefaultParagraphFont"/>
    <w:uiPriority w:val="1"/>
    <w:qFormat/>
    <w:rsid w:val="00937A29"/>
    <w:rPr>
      <w:b/>
    </w:rPr>
  </w:style>
  <w:style w:type="table" w:customStyle="1" w:styleId="BlankTable">
    <w:name w:val="Blank Table"/>
    <w:basedOn w:val="TableNormal"/>
    <w:uiPriority w:val="99"/>
    <w:qFormat/>
    <w:rsid w:val="00937A29"/>
    <w:tblPr>
      <w:tblCellMar>
        <w:left w:w="0" w:type="dxa"/>
        <w:right w:w="0" w:type="dxa"/>
      </w:tblCellMar>
    </w:tblPr>
  </w:style>
  <w:style w:type="character" w:customStyle="1" w:styleId="Pink">
    <w:name w:val="Pink"/>
    <w:basedOn w:val="DefaultParagraphFont"/>
    <w:uiPriority w:val="1"/>
    <w:qFormat/>
    <w:rsid w:val="00976D76"/>
    <w:rPr>
      <w:color w:val="FF00FF" w:themeColor="accent2"/>
    </w:rPr>
  </w:style>
  <w:style w:type="character" w:customStyle="1" w:styleId="Red">
    <w:name w:val="Red"/>
    <w:basedOn w:val="DefaultParagraphFont"/>
    <w:uiPriority w:val="1"/>
    <w:qFormat/>
    <w:rsid w:val="00976D76"/>
    <w:rPr>
      <w:color w:val="FF0000" w:themeColor="accent1"/>
    </w:rPr>
  </w:style>
  <w:style w:type="numbering" w:customStyle="1" w:styleId="EANumBullets">
    <w:name w:val="EA Num Bullets"/>
    <w:uiPriority w:val="99"/>
    <w:rsid w:val="009D15ED"/>
    <w:pPr>
      <w:numPr>
        <w:numId w:val="16"/>
      </w:numPr>
    </w:pPr>
  </w:style>
  <w:style w:type="paragraph" w:customStyle="1" w:styleId="RoundBulletL1">
    <w:name w:val="Round Bullet L1"/>
    <w:basedOn w:val="Normal"/>
    <w:qFormat/>
    <w:rsid w:val="00794D6F"/>
    <w:pPr>
      <w:numPr>
        <w:numId w:val="8"/>
      </w:numPr>
    </w:pPr>
  </w:style>
  <w:style w:type="paragraph" w:customStyle="1" w:styleId="RoundBulletL2">
    <w:name w:val="Round Bullet L2"/>
    <w:basedOn w:val="Normal"/>
    <w:qFormat/>
    <w:rsid w:val="00794D6F"/>
    <w:pPr>
      <w:numPr>
        <w:ilvl w:val="1"/>
        <w:numId w:val="8"/>
      </w:numPr>
    </w:pPr>
  </w:style>
  <w:style w:type="paragraph" w:customStyle="1" w:styleId="RoundBulletL3">
    <w:name w:val="Round Bullet L3"/>
    <w:basedOn w:val="Normal"/>
    <w:qFormat/>
    <w:rsid w:val="00794D6F"/>
    <w:pPr>
      <w:numPr>
        <w:ilvl w:val="2"/>
        <w:numId w:val="8"/>
      </w:numPr>
    </w:pPr>
  </w:style>
  <w:style w:type="paragraph" w:customStyle="1" w:styleId="RoundBulletL4">
    <w:name w:val="Round Bullet L4"/>
    <w:basedOn w:val="Normal"/>
    <w:qFormat/>
    <w:rsid w:val="00794D6F"/>
    <w:pPr>
      <w:numPr>
        <w:ilvl w:val="3"/>
        <w:numId w:val="8"/>
      </w:numPr>
    </w:pPr>
  </w:style>
  <w:style w:type="paragraph" w:styleId="ListParagraph">
    <w:name w:val="List Paragraph"/>
    <w:basedOn w:val="Normal"/>
    <w:uiPriority w:val="34"/>
    <w:qFormat/>
    <w:rsid w:val="00AB71F7"/>
    <w:pPr>
      <w:ind w:left="720"/>
      <w:contextualSpacing/>
    </w:pPr>
  </w:style>
  <w:style w:type="numbering" w:customStyle="1" w:styleId="EARoundBullets">
    <w:name w:val="EA Round Bullets"/>
    <w:uiPriority w:val="99"/>
    <w:rsid w:val="00794D6F"/>
    <w:pPr>
      <w:numPr>
        <w:numId w:val="3"/>
      </w:numPr>
    </w:pPr>
  </w:style>
  <w:style w:type="paragraph" w:customStyle="1" w:styleId="TableBulletL1">
    <w:name w:val="Table Bullet L1"/>
    <w:basedOn w:val="Normal"/>
    <w:qFormat/>
    <w:rsid w:val="00794D6F"/>
    <w:pPr>
      <w:numPr>
        <w:numId w:val="9"/>
      </w:numPr>
      <w:spacing w:before="60" w:after="60" w:line="240" w:lineRule="auto"/>
      <w:ind w:right="85"/>
    </w:pPr>
  </w:style>
  <w:style w:type="paragraph" w:customStyle="1" w:styleId="TableBulletL2">
    <w:name w:val="Table Bullet L2"/>
    <w:basedOn w:val="Normal"/>
    <w:qFormat/>
    <w:rsid w:val="00794D6F"/>
    <w:pPr>
      <w:numPr>
        <w:ilvl w:val="1"/>
        <w:numId w:val="9"/>
      </w:numPr>
      <w:spacing w:before="60" w:after="60" w:line="240" w:lineRule="auto"/>
      <w:ind w:right="85"/>
    </w:pPr>
  </w:style>
  <w:style w:type="paragraph" w:customStyle="1" w:styleId="TableBulletL3">
    <w:name w:val="Table Bullet L3"/>
    <w:basedOn w:val="Normal"/>
    <w:qFormat/>
    <w:rsid w:val="00794D6F"/>
    <w:pPr>
      <w:numPr>
        <w:ilvl w:val="2"/>
        <w:numId w:val="9"/>
      </w:numPr>
      <w:spacing w:before="60" w:after="60" w:line="240" w:lineRule="auto"/>
      <w:ind w:right="85"/>
    </w:pPr>
  </w:style>
  <w:style w:type="paragraph" w:customStyle="1" w:styleId="AlphaBulletL1">
    <w:name w:val="Alpha Bullet L1"/>
    <w:basedOn w:val="Normal"/>
    <w:qFormat/>
    <w:rsid w:val="005B75CA"/>
    <w:pPr>
      <w:numPr>
        <w:numId w:val="5"/>
      </w:numPr>
    </w:pPr>
  </w:style>
  <w:style w:type="paragraph" w:customStyle="1" w:styleId="AlphaBulletL2">
    <w:name w:val="Alpha Bullet L2"/>
    <w:basedOn w:val="Normal"/>
    <w:qFormat/>
    <w:rsid w:val="005B75CA"/>
    <w:pPr>
      <w:numPr>
        <w:ilvl w:val="1"/>
        <w:numId w:val="5"/>
      </w:numPr>
    </w:pPr>
  </w:style>
  <w:style w:type="paragraph" w:customStyle="1" w:styleId="AlphaBulletL3">
    <w:name w:val="Alpha Bullet L3"/>
    <w:basedOn w:val="Normal"/>
    <w:qFormat/>
    <w:rsid w:val="005B75CA"/>
    <w:pPr>
      <w:numPr>
        <w:ilvl w:val="2"/>
        <w:numId w:val="5"/>
      </w:numPr>
    </w:pPr>
  </w:style>
  <w:style w:type="paragraph" w:customStyle="1" w:styleId="AlphaBulletL4">
    <w:name w:val="Alpha Bullet L4"/>
    <w:basedOn w:val="Normal"/>
    <w:qFormat/>
    <w:rsid w:val="005B75CA"/>
    <w:pPr>
      <w:numPr>
        <w:ilvl w:val="3"/>
        <w:numId w:val="5"/>
      </w:numPr>
    </w:pPr>
  </w:style>
  <w:style w:type="numbering" w:customStyle="1" w:styleId="EAAlphaBullets">
    <w:name w:val="EA Alpha Bullets"/>
    <w:uiPriority w:val="99"/>
    <w:rsid w:val="005B75CA"/>
    <w:pPr>
      <w:numPr>
        <w:numId w:val="5"/>
      </w:numPr>
    </w:pPr>
  </w:style>
  <w:style w:type="paragraph" w:customStyle="1" w:styleId="RomanBulletL1">
    <w:name w:val="Roman Bullet L1"/>
    <w:basedOn w:val="Normal"/>
    <w:qFormat/>
    <w:rsid w:val="00B563C4"/>
    <w:pPr>
      <w:numPr>
        <w:numId w:val="7"/>
      </w:numPr>
    </w:pPr>
  </w:style>
  <w:style w:type="paragraph" w:customStyle="1" w:styleId="RomanBulletL2">
    <w:name w:val="Roman Bullet L2"/>
    <w:basedOn w:val="Normal"/>
    <w:qFormat/>
    <w:rsid w:val="00B563C4"/>
    <w:pPr>
      <w:numPr>
        <w:ilvl w:val="1"/>
        <w:numId w:val="7"/>
      </w:numPr>
    </w:pPr>
  </w:style>
  <w:style w:type="paragraph" w:customStyle="1" w:styleId="RomanBulletL3">
    <w:name w:val="Roman Bullet L3"/>
    <w:basedOn w:val="Normal"/>
    <w:qFormat/>
    <w:rsid w:val="00B563C4"/>
    <w:pPr>
      <w:numPr>
        <w:ilvl w:val="2"/>
        <w:numId w:val="7"/>
      </w:numPr>
    </w:pPr>
  </w:style>
  <w:style w:type="paragraph" w:customStyle="1" w:styleId="RomanBulletL4">
    <w:name w:val="Roman Bullet L4"/>
    <w:basedOn w:val="Normal"/>
    <w:qFormat/>
    <w:rsid w:val="00B563C4"/>
    <w:pPr>
      <w:numPr>
        <w:ilvl w:val="3"/>
        <w:numId w:val="7"/>
      </w:numPr>
    </w:pPr>
  </w:style>
  <w:style w:type="numbering" w:customStyle="1" w:styleId="EARomanBullets">
    <w:name w:val="EA Roman Bullets"/>
    <w:uiPriority w:val="99"/>
    <w:rsid w:val="00B563C4"/>
    <w:pPr>
      <w:numPr>
        <w:numId w:val="7"/>
      </w:numPr>
    </w:pPr>
  </w:style>
  <w:style w:type="character" w:customStyle="1" w:styleId="BlueBold">
    <w:name w:val="Blue (Bold)"/>
    <w:basedOn w:val="DefaultParagraphFont"/>
    <w:uiPriority w:val="1"/>
    <w:qFormat/>
    <w:rsid w:val="00E527B7"/>
    <w:rPr>
      <w:b/>
      <w:color w:val="0000FF" w:themeColor="accent3"/>
    </w:rPr>
  </w:style>
  <w:style w:type="character" w:customStyle="1" w:styleId="PinkBold">
    <w:name w:val="Pink (Bold)"/>
    <w:basedOn w:val="DefaultParagraphFont"/>
    <w:uiPriority w:val="1"/>
    <w:qFormat/>
    <w:rsid w:val="00E527B7"/>
    <w:rPr>
      <w:b/>
      <w:color w:val="FF00FF" w:themeColor="accent2"/>
    </w:rPr>
  </w:style>
  <w:style w:type="character" w:customStyle="1" w:styleId="RedBold">
    <w:name w:val="Red (Bold)"/>
    <w:basedOn w:val="DefaultParagraphFont"/>
    <w:uiPriority w:val="1"/>
    <w:qFormat/>
    <w:rsid w:val="00E527B7"/>
    <w:rPr>
      <w:b/>
      <w:color w:val="FF0000" w:themeColor="accent1"/>
    </w:rPr>
  </w:style>
  <w:style w:type="paragraph" w:styleId="Subtitle">
    <w:name w:val="Subtitle"/>
    <w:basedOn w:val="Normal"/>
    <w:next w:val="Normal"/>
    <w:link w:val="SubtitleChar"/>
    <w:qFormat/>
    <w:locked/>
    <w:rsid w:val="00E527B7"/>
    <w:pPr>
      <w:numPr>
        <w:ilvl w:val="1"/>
      </w:numPr>
      <w:pBdr>
        <w:bottom w:val="single" w:sz="8" w:space="10" w:color="auto"/>
      </w:pBdr>
      <w:spacing w:after="600" w:line="240" w:lineRule="auto"/>
    </w:pPr>
    <w:rPr>
      <w:rFonts w:asciiTheme="majorHAnsi" w:eastAsiaTheme="majorEastAsia" w:hAnsiTheme="majorHAnsi" w:cstheme="majorBidi"/>
      <w:b/>
      <w:iCs/>
      <w:sz w:val="28"/>
    </w:rPr>
  </w:style>
  <w:style w:type="character" w:customStyle="1" w:styleId="SubtitleChar">
    <w:name w:val="Subtitle Char"/>
    <w:basedOn w:val="DefaultParagraphFont"/>
    <w:link w:val="Subtitle"/>
    <w:rsid w:val="00E527B7"/>
    <w:rPr>
      <w:rFonts w:asciiTheme="majorHAnsi" w:eastAsiaTheme="majorEastAsia" w:hAnsiTheme="majorHAnsi" w:cstheme="majorBidi"/>
      <w:b/>
      <w:iCs/>
      <w:sz w:val="28"/>
      <w:szCs w:val="24"/>
      <w:lang w:eastAsia="en-US"/>
    </w:rPr>
  </w:style>
  <w:style w:type="paragraph" w:styleId="Title">
    <w:name w:val="Title"/>
    <w:basedOn w:val="Normal"/>
    <w:next w:val="Normal"/>
    <w:link w:val="TitleChar"/>
    <w:qFormat/>
    <w:rsid w:val="00E527B7"/>
    <w:pPr>
      <w:spacing w:before="400" w:after="200" w:line="240" w:lineRule="auto"/>
      <w:contextualSpacing/>
    </w:pPr>
    <w:rPr>
      <w:rFonts w:asciiTheme="majorHAnsi" w:eastAsiaTheme="majorEastAsia" w:hAnsiTheme="majorHAnsi" w:cstheme="majorBidi"/>
      <w:b/>
      <w:color w:val="1C1C1C" w:themeColor="text2" w:themeShade="BF"/>
      <w:spacing w:val="5"/>
      <w:kern w:val="28"/>
      <w:sz w:val="48"/>
      <w:szCs w:val="52"/>
    </w:rPr>
  </w:style>
  <w:style w:type="character" w:customStyle="1" w:styleId="TitleChar">
    <w:name w:val="Title Char"/>
    <w:basedOn w:val="DefaultParagraphFont"/>
    <w:link w:val="Title"/>
    <w:rsid w:val="00E527B7"/>
    <w:rPr>
      <w:rFonts w:asciiTheme="majorHAnsi" w:eastAsiaTheme="majorEastAsia" w:hAnsiTheme="majorHAnsi" w:cstheme="majorBidi"/>
      <w:b/>
      <w:color w:val="1C1C1C" w:themeColor="text2" w:themeShade="BF"/>
      <w:spacing w:val="5"/>
      <w:kern w:val="28"/>
      <w:sz w:val="48"/>
      <w:szCs w:val="52"/>
      <w:lang w:eastAsia="en-US"/>
    </w:rPr>
  </w:style>
  <w:style w:type="paragraph" w:styleId="NoSpacing">
    <w:name w:val="No Spacing"/>
    <w:uiPriority w:val="1"/>
    <w:qFormat/>
    <w:rsid w:val="00794D6F"/>
    <w:pPr>
      <w:spacing w:line="276" w:lineRule="auto"/>
    </w:pPr>
    <w:rPr>
      <w:rFonts w:asciiTheme="minorHAnsi" w:hAnsiTheme="minorHAnsi"/>
      <w:szCs w:val="24"/>
      <w:lang w:eastAsia="en-US"/>
    </w:rPr>
  </w:style>
  <w:style w:type="character" w:styleId="CommentReference">
    <w:name w:val="annotation reference"/>
    <w:basedOn w:val="DefaultParagraphFont"/>
    <w:rsid w:val="00B42932"/>
    <w:rPr>
      <w:sz w:val="16"/>
      <w:szCs w:val="16"/>
    </w:rPr>
  </w:style>
  <w:style w:type="paragraph" w:styleId="CommentText">
    <w:name w:val="annotation text"/>
    <w:basedOn w:val="Normal"/>
    <w:link w:val="CommentTextChar"/>
    <w:rsid w:val="00B42932"/>
    <w:pPr>
      <w:spacing w:line="240" w:lineRule="auto"/>
    </w:pPr>
    <w:rPr>
      <w:szCs w:val="20"/>
    </w:rPr>
  </w:style>
  <w:style w:type="character" w:customStyle="1" w:styleId="CommentTextChar">
    <w:name w:val="Comment Text Char"/>
    <w:basedOn w:val="DefaultParagraphFont"/>
    <w:link w:val="CommentText"/>
    <w:rsid w:val="00B42932"/>
    <w:rPr>
      <w:rFonts w:asciiTheme="minorHAnsi" w:hAnsiTheme="minorHAnsi"/>
      <w:lang w:eastAsia="en-US"/>
    </w:rPr>
  </w:style>
  <w:style w:type="paragraph" w:styleId="CommentSubject">
    <w:name w:val="annotation subject"/>
    <w:basedOn w:val="CommentText"/>
    <w:next w:val="CommentText"/>
    <w:link w:val="CommentSubjectChar"/>
    <w:rsid w:val="00B42932"/>
    <w:rPr>
      <w:b/>
      <w:bCs/>
    </w:rPr>
  </w:style>
  <w:style w:type="character" w:customStyle="1" w:styleId="CommentSubjectChar">
    <w:name w:val="Comment Subject Char"/>
    <w:basedOn w:val="CommentTextChar"/>
    <w:link w:val="CommentSubject"/>
    <w:rsid w:val="00B42932"/>
    <w:rPr>
      <w:rFonts w:asciiTheme="minorHAnsi" w:hAnsiTheme="minorHAnsi"/>
      <w:b/>
      <w:bCs/>
      <w:lang w:eastAsia="en-US"/>
    </w:rPr>
  </w:style>
  <w:style w:type="paragraph" w:styleId="FootnoteText">
    <w:name w:val="footnote text"/>
    <w:basedOn w:val="Normal"/>
    <w:link w:val="FootnoteTextChar"/>
    <w:rsid w:val="00B87832"/>
    <w:pPr>
      <w:spacing w:before="0" w:after="0" w:line="240" w:lineRule="auto"/>
    </w:pPr>
    <w:rPr>
      <w:szCs w:val="20"/>
    </w:rPr>
  </w:style>
  <w:style w:type="character" w:customStyle="1" w:styleId="FootnoteTextChar">
    <w:name w:val="Footnote Text Char"/>
    <w:basedOn w:val="DefaultParagraphFont"/>
    <w:link w:val="FootnoteText"/>
    <w:rsid w:val="00B87832"/>
    <w:rPr>
      <w:rFonts w:asciiTheme="minorHAnsi" w:hAnsiTheme="minorHAnsi"/>
      <w:lang w:eastAsia="en-US"/>
    </w:rPr>
  </w:style>
  <w:style w:type="character" w:styleId="FootnoteReference">
    <w:name w:val="footnote reference"/>
    <w:basedOn w:val="DefaultParagraphFont"/>
    <w:rsid w:val="00B87832"/>
    <w:rPr>
      <w:vertAlign w:val="superscript"/>
    </w:rPr>
  </w:style>
  <w:style w:type="paragraph" w:customStyle="1" w:styleId="Default">
    <w:name w:val="Default"/>
    <w:rsid w:val="00C01D93"/>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F56258"/>
    <w:rPr>
      <w:color w:val="595959" w:themeColor="followedHyperlink"/>
      <w:u w:val="single"/>
    </w:rPr>
  </w:style>
  <w:style w:type="paragraph" w:styleId="NormalWeb">
    <w:name w:val="Normal (Web)"/>
    <w:basedOn w:val="Normal"/>
    <w:uiPriority w:val="99"/>
    <w:unhideWhenUsed/>
    <w:locked/>
    <w:rsid w:val="00B619BF"/>
    <w:pPr>
      <w:spacing w:before="100" w:beforeAutospacing="1" w:after="100" w:afterAutospacing="1" w:line="240" w:lineRule="auto"/>
    </w:pPr>
    <w:rPr>
      <w:rFonts w:ascii="Times New Roman" w:hAnsi="Times New Roman"/>
      <w:sz w:val="24"/>
      <w:lang w:eastAsia="en-GB"/>
    </w:rPr>
  </w:style>
  <w:style w:type="paragraph" w:styleId="Revision">
    <w:name w:val="Revision"/>
    <w:hidden/>
    <w:uiPriority w:val="99"/>
    <w:semiHidden/>
    <w:rsid w:val="00326A9A"/>
    <w:rPr>
      <w:rFonts w:asciiTheme="minorHAnsi" w:hAnsiTheme="minorHAns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78042">
      <w:bodyDiv w:val="1"/>
      <w:marLeft w:val="0"/>
      <w:marRight w:val="0"/>
      <w:marTop w:val="0"/>
      <w:marBottom w:val="0"/>
      <w:divBdr>
        <w:top w:val="none" w:sz="0" w:space="0" w:color="auto"/>
        <w:left w:val="none" w:sz="0" w:space="0" w:color="auto"/>
        <w:bottom w:val="none" w:sz="0" w:space="0" w:color="auto"/>
        <w:right w:val="none" w:sz="0" w:space="0" w:color="auto"/>
      </w:divBdr>
    </w:div>
    <w:div w:id="316618887">
      <w:bodyDiv w:val="1"/>
      <w:marLeft w:val="0"/>
      <w:marRight w:val="0"/>
      <w:marTop w:val="0"/>
      <w:marBottom w:val="0"/>
      <w:divBdr>
        <w:top w:val="none" w:sz="0" w:space="0" w:color="auto"/>
        <w:left w:val="none" w:sz="0" w:space="0" w:color="auto"/>
        <w:bottom w:val="none" w:sz="0" w:space="0" w:color="auto"/>
        <w:right w:val="none" w:sz="0" w:space="0" w:color="auto"/>
      </w:divBdr>
    </w:div>
    <w:div w:id="317002316">
      <w:bodyDiv w:val="1"/>
      <w:marLeft w:val="0"/>
      <w:marRight w:val="0"/>
      <w:marTop w:val="0"/>
      <w:marBottom w:val="0"/>
      <w:divBdr>
        <w:top w:val="none" w:sz="0" w:space="0" w:color="auto"/>
        <w:left w:val="none" w:sz="0" w:space="0" w:color="auto"/>
        <w:bottom w:val="none" w:sz="0" w:space="0" w:color="auto"/>
        <w:right w:val="none" w:sz="0" w:space="0" w:color="auto"/>
      </w:divBdr>
    </w:div>
    <w:div w:id="325477293">
      <w:bodyDiv w:val="1"/>
      <w:marLeft w:val="0"/>
      <w:marRight w:val="0"/>
      <w:marTop w:val="0"/>
      <w:marBottom w:val="0"/>
      <w:divBdr>
        <w:top w:val="none" w:sz="0" w:space="0" w:color="auto"/>
        <w:left w:val="none" w:sz="0" w:space="0" w:color="auto"/>
        <w:bottom w:val="none" w:sz="0" w:space="0" w:color="auto"/>
        <w:right w:val="none" w:sz="0" w:space="0" w:color="auto"/>
      </w:divBdr>
    </w:div>
    <w:div w:id="339939301">
      <w:bodyDiv w:val="1"/>
      <w:marLeft w:val="0"/>
      <w:marRight w:val="0"/>
      <w:marTop w:val="0"/>
      <w:marBottom w:val="0"/>
      <w:divBdr>
        <w:top w:val="none" w:sz="0" w:space="0" w:color="auto"/>
        <w:left w:val="none" w:sz="0" w:space="0" w:color="auto"/>
        <w:bottom w:val="none" w:sz="0" w:space="0" w:color="auto"/>
        <w:right w:val="none" w:sz="0" w:space="0" w:color="auto"/>
      </w:divBdr>
    </w:div>
    <w:div w:id="384303829">
      <w:bodyDiv w:val="1"/>
      <w:marLeft w:val="0"/>
      <w:marRight w:val="0"/>
      <w:marTop w:val="0"/>
      <w:marBottom w:val="0"/>
      <w:divBdr>
        <w:top w:val="none" w:sz="0" w:space="0" w:color="auto"/>
        <w:left w:val="none" w:sz="0" w:space="0" w:color="auto"/>
        <w:bottom w:val="none" w:sz="0" w:space="0" w:color="auto"/>
        <w:right w:val="none" w:sz="0" w:space="0" w:color="auto"/>
      </w:divBdr>
    </w:div>
    <w:div w:id="535701793">
      <w:bodyDiv w:val="1"/>
      <w:marLeft w:val="0"/>
      <w:marRight w:val="0"/>
      <w:marTop w:val="0"/>
      <w:marBottom w:val="0"/>
      <w:divBdr>
        <w:top w:val="none" w:sz="0" w:space="0" w:color="auto"/>
        <w:left w:val="none" w:sz="0" w:space="0" w:color="auto"/>
        <w:bottom w:val="none" w:sz="0" w:space="0" w:color="auto"/>
        <w:right w:val="none" w:sz="0" w:space="0" w:color="auto"/>
      </w:divBdr>
    </w:div>
    <w:div w:id="594825367">
      <w:bodyDiv w:val="1"/>
      <w:marLeft w:val="0"/>
      <w:marRight w:val="0"/>
      <w:marTop w:val="0"/>
      <w:marBottom w:val="0"/>
      <w:divBdr>
        <w:top w:val="none" w:sz="0" w:space="0" w:color="auto"/>
        <w:left w:val="none" w:sz="0" w:space="0" w:color="auto"/>
        <w:bottom w:val="none" w:sz="0" w:space="0" w:color="auto"/>
        <w:right w:val="none" w:sz="0" w:space="0" w:color="auto"/>
      </w:divBdr>
    </w:div>
    <w:div w:id="714505077">
      <w:bodyDiv w:val="1"/>
      <w:marLeft w:val="0"/>
      <w:marRight w:val="0"/>
      <w:marTop w:val="0"/>
      <w:marBottom w:val="0"/>
      <w:divBdr>
        <w:top w:val="none" w:sz="0" w:space="0" w:color="auto"/>
        <w:left w:val="none" w:sz="0" w:space="0" w:color="auto"/>
        <w:bottom w:val="none" w:sz="0" w:space="0" w:color="auto"/>
        <w:right w:val="none" w:sz="0" w:space="0" w:color="auto"/>
      </w:divBdr>
    </w:div>
    <w:div w:id="781655421">
      <w:bodyDiv w:val="1"/>
      <w:marLeft w:val="0"/>
      <w:marRight w:val="0"/>
      <w:marTop w:val="0"/>
      <w:marBottom w:val="0"/>
      <w:divBdr>
        <w:top w:val="none" w:sz="0" w:space="0" w:color="auto"/>
        <w:left w:val="none" w:sz="0" w:space="0" w:color="auto"/>
        <w:bottom w:val="none" w:sz="0" w:space="0" w:color="auto"/>
        <w:right w:val="none" w:sz="0" w:space="0" w:color="auto"/>
      </w:divBdr>
    </w:div>
    <w:div w:id="1369112790">
      <w:bodyDiv w:val="1"/>
      <w:marLeft w:val="0"/>
      <w:marRight w:val="0"/>
      <w:marTop w:val="0"/>
      <w:marBottom w:val="0"/>
      <w:divBdr>
        <w:top w:val="none" w:sz="0" w:space="0" w:color="auto"/>
        <w:left w:val="none" w:sz="0" w:space="0" w:color="auto"/>
        <w:bottom w:val="none" w:sz="0" w:space="0" w:color="auto"/>
        <w:right w:val="none" w:sz="0" w:space="0" w:color="auto"/>
      </w:divBdr>
    </w:div>
    <w:div w:id="1678120601">
      <w:bodyDiv w:val="1"/>
      <w:marLeft w:val="0"/>
      <w:marRight w:val="0"/>
      <w:marTop w:val="0"/>
      <w:marBottom w:val="0"/>
      <w:divBdr>
        <w:top w:val="none" w:sz="0" w:space="0" w:color="auto"/>
        <w:left w:val="none" w:sz="0" w:space="0" w:color="auto"/>
        <w:bottom w:val="none" w:sz="0" w:space="0" w:color="auto"/>
        <w:right w:val="none" w:sz="0" w:space="0" w:color="auto"/>
      </w:divBdr>
    </w:div>
    <w:div w:id="208525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european/decision/1994/00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legislation.gov.uk/european/decision/2000/053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egislation.gov.uk/european/decision/1991/0689"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egislation.gov.uk/european/decision/1994/0904"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uk/european/directive/1975/0442"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PRICE02\AppData\Local\Temp\wzf377\EA%20Files\Original%20Template%20Set\233_08_SD22%20Permit%20conditions%20v5.dotx" TargetMode="External"/></Relationships>
</file>

<file path=word/theme/theme1.xml><?xml version="1.0" encoding="utf-8"?>
<a:theme xmlns:a="http://schemas.openxmlformats.org/drawingml/2006/main" name="Office Theme">
  <a:themeElements>
    <a:clrScheme name="EA">
      <a:dk1>
        <a:sysClr val="windowText" lastClr="000000"/>
      </a:dk1>
      <a:lt1>
        <a:sysClr val="window" lastClr="FFFFFF"/>
      </a:lt1>
      <a:dk2>
        <a:srgbClr val="262626"/>
      </a:dk2>
      <a:lt2>
        <a:srgbClr val="A5A5A5"/>
      </a:lt2>
      <a:accent1>
        <a:srgbClr val="FF0000"/>
      </a:accent1>
      <a:accent2>
        <a:srgbClr val="FF00FF"/>
      </a:accent2>
      <a:accent3>
        <a:srgbClr val="0000FF"/>
      </a:accent3>
      <a:accent4>
        <a:srgbClr val="262626"/>
      </a:accent4>
      <a:accent5>
        <a:srgbClr val="595959"/>
      </a:accent5>
      <a:accent6>
        <a:srgbClr val="A5A5A5"/>
      </a:accent6>
      <a:hlink>
        <a:srgbClr val="000000"/>
      </a:hlink>
      <a:folHlink>
        <a:srgbClr val="595959"/>
      </a:folHlink>
    </a:clrScheme>
    <a:fontScheme name="E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30cbe284-3a11-4e29-a0f9-387d40fdca19">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doclib</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EA</TermName>
          <TermId xmlns="http://schemas.microsoft.com/office/infopath/2007/PartnerControls">b77da37e-7166-4741-8c12-4679faab22d9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Future Regulation Permissions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451AC3F29A75294489662F4C16CCBFCC" ma:contentTypeVersion="21" ma:contentTypeDescription="Create a new document." ma:contentTypeScope="" ma:versionID="a92f86c5a8d3b8fb384e893bbfd9fe75">
  <xsd:schema xmlns:xsd="http://www.w3.org/2001/XMLSchema" xmlns:xs="http://www.w3.org/2001/XMLSchema" xmlns:p="http://schemas.microsoft.com/office/2006/metadata/properties" xmlns:ns2="662745e8-e224-48e8-a2e3-254862b8c2f5" xmlns:ns3="30cbe284-3a11-4e29-a0f9-387d40fdca19" xmlns:ns4="01f5ea41-7e48-4e68-91b3-675ca7359689" targetNamespace="http://schemas.microsoft.com/office/2006/metadata/properties" ma:root="true" ma:fieldsID="9f21f9276980c42c48e96cf214a0d15e" ns2:_="" ns3:_="" ns4:_="">
    <xsd:import namespace="662745e8-e224-48e8-a2e3-254862b8c2f5"/>
    <xsd:import namespace="30cbe284-3a11-4e29-a0f9-387d40fdca19"/>
    <xsd:import namespace="01f5ea41-7e48-4e68-91b3-675ca735968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246fa09-d2c2-41bc-87d0-868e0a05c7f9}" ma:internalName="TaxCatchAll" ma:showField="CatchAllData" ma:web="01f5ea41-7e48-4e68-91b3-675ca73596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246fa09-d2c2-41bc-87d0-868e0a05c7f9}" ma:internalName="TaxCatchAllLabel" ma:readOnly="true" ma:showField="CatchAllDataLabel" ma:web="01f5ea41-7e48-4e68-91b3-675ca735968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Future Regulation Permissions Team" ma:internalName="Team">
      <xsd:simpleType>
        <xsd:restriction base="dms:Text"/>
      </xsd:simpleType>
    </xsd:element>
    <xsd:element name="Topic" ma:index="20" nillable="true" ma:displayName="Topic" ma:default="doclib"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cbe284-3a11-4e29-a0f9-387d40fdca1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ServiceLocation" ma:index="39" nillable="true" ma:displayName="Location" ma:indexed="true" ma:internalName="MediaServiceLocation"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f5ea41-7e48-4e68-91b3-675ca735968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95BF4173-CCF5-49AB-B752-AD5F00071BB1}">
  <ds:schemaRefs>
    <ds:schemaRef ds:uri="662745e8-e224-48e8-a2e3-254862b8c2f5"/>
    <ds:schemaRef ds:uri="http://www.w3.org/XML/1998/namespace"/>
    <ds:schemaRef ds:uri="01f5ea41-7e48-4e68-91b3-675ca7359689"/>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30cbe284-3a11-4e29-a0f9-387d40fdca19"/>
    <ds:schemaRef ds:uri="http://purl.org/dc/dcmitype/"/>
    <ds:schemaRef ds:uri="http://purl.org/dc/terms/"/>
  </ds:schemaRefs>
</ds:datastoreItem>
</file>

<file path=customXml/itemProps2.xml><?xml version="1.0" encoding="utf-8"?>
<ds:datastoreItem xmlns:ds="http://schemas.openxmlformats.org/officeDocument/2006/customXml" ds:itemID="{8DBD8F1E-290C-4D65-971E-C0ED4652FFAE}">
  <ds:schemaRefs>
    <ds:schemaRef ds:uri="http://schemas.openxmlformats.org/officeDocument/2006/bibliography"/>
  </ds:schemaRefs>
</ds:datastoreItem>
</file>

<file path=customXml/itemProps3.xml><?xml version="1.0" encoding="utf-8"?>
<ds:datastoreItem xmlns:ds="http://schemas.openxmlformats.org/officeDocument/2006/customXml" ds:itemID="{FA3436C8-0A74-4674-81ED-5B007976D826}">
  <ds:schemaRefs>
    <ds:schemaRef ds:uri="http://schemas.microsoft.com/sharepoint/v3/contenttype/forms"/>
  </ds:schemaRefs>
</ds:datastoreItem>
</file>

<file path=customXml/itemProps4.xml><?xml version="1.0" encoding="utf-8"?>
<ds:datastoreItem xmlns:ds="http://schemas.openxmlformats.org/officeDocument/2006/customXml" ds:itemID="{A9E80DA1-4C45-4D6C-9AF8-91602E0AA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30cbe284-3a11-4e29-a0f9-387d40fdca19"/>
    <ds:schemaRef ds:uri="01f5ea41-7e48-4e68-91b3-675ca735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8CF261-207F-4190-9F8A-A9E949732F4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233_08_SD22 Permit conditions v5.dotx</Template>
  <TotalTime>1</TotalTime>
  <Pages>15</Pages>
  <Words>4135</Words>
  <Characters>23573</Characters>
  <Application>Microsoft Office Word</Application>
  <DocSecurity>0</DocSecurity>
  <Lines>196</Lines>
  <Paragraphs>55</Paragraphs>
  <ScaleCrop>false</ScaleCrop>
  <Company>Environment Agency</Company>
  <LinksUpToDate>false</LinksUpToDate>
  <CharactersWithSpaces>27653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476_10_SD04 Standard rules template Waste</dc:title>
  <dc:subject/>
  <dc:creator>Sarah Watkins</dc:creator>
  <cp:keywords>476_10, 476-10, 47610, 476 10, 476_10_SD04, 476_10_sd04</cp:keywords>
  <dc:description/>
  <cp:lastModifiedBy>Wheadon, Rob</cp:lastModifiedBy>
  <cp:revision>2</cp:revision>
  <cp:lastPrinted>2019-08-20T12:56:00Z</cp:lastPrinted>
  <dcterms:created xsi:type="dcterms:W3CDTF">2024-12-03T09:26:00Z</dcterms:created>
  <dcterms:modified xsi:type="dcterms:W3CDTF">2024-12-03T09:26:00Z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0x010100A5BF1C78D9F64B679A5EBDE1C6598EBC0100451AC3F29A75294489662F4C16CCBFCC</vt:lpwstr>
  </property>
  <property fmtid="{D5CDD505-2E9C-101B-9397-08002B2CF9AE}" pid="3" name="InformationType">
    <vt:lpwstr/>
  </property>
  <property fmtid="{D5CDD505-2E9C-101B-9397-08002B2CF9AE}" pid="4" name="Distribution">
    <vt:lpwstr>9;#Internal EA|b77da37e-7166-4741-8c12-4679faab22d9</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8;#EA|d5f78ddb-b1b6-4328-9877-d7e3ed06fdac</vt:lpwstr>
  </property>
</Properties>
</file>