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F8D9" w14:textId="0AF5873A" w:rsidR="00770AF2" w:rsidRPr="004106B1" w:rsidRDefault="00770AF2" w:rsidP="00770AF2">
      <w:pPr>
        <w:shd w:val="clear" w:color="auto" w:fill="FFFFFF"/>
        <w:spacing w:after="300" w:line="240" w:lineRule="auto"/>
        <w:outlineLvl w:val="1"/>
        <w:rPr>
          <w:rFonts w:ascii="Arial" w:eastAsia="Arial" w:hAnsi="Arial" w:cs="Arial"/>
          <w:b/>
          <w:bCs/>
          <w:w w:val="105"/>
          <w:kern w:val="0"/>
          <w:sz w:val="36"/>
          <w:szCs w:val="36"/>
          <w14:ligatures w14:val="none"/>
        </w:rPr>
      </w:pPr>
      <w:r w:rsidRPr="004106B1">
        <w:rPr>
          <w:rFonts w:ascii="Arial" w:eastAsia="Times New Roman" w:hAnsi="Arial" w:cs="Arial"/>
          <w:b/>
          <w:bCs/>
          <w:color w:val="0B0C0C"/>
          <w:kern w:val="0"/>
          <w:sz w:val="36"/>
          <w:szCs w:val="36"/>
          <w:lang w:eastAsia="en-GB"/>
          <w14:ligatures w14:val="none"/>
        </w:rPr>
        <w:t xml:space="preserve">ANNEX 4: Environment Act 2021 – the Environment Agency’s approach to </w:t>
      </w:r>
      <w:r w:rsidR="00375E89">
        <w:rPr>
          <w:rFonts w:ascii="Arial" w:eastAsia="Times New Roman" w:hAnsi="Arial" w:cs="Arial"/>
          <w:b/>
          <w:bCs/>
          <w:color w:val="0B0C0C"/>
          <w:kern w:val="0"/>
          <w:sz w:val="36"/>
          <w:szCs w:val="36"/>
          <w:lang w:eastAsia="en-GB"/>
          <w14:ligatures w14:val="none"/>
        </w:rPr>
        <w:t>enforcement</w:t>
      </w:r>
    </w:p>
    <w:p w14:paraId="75E9E9CA" w14:textId="637CD7A5" w:rsidR="004106B1" w:rsidRPr="004106B1" w:rsidRDefault="004106B1" w:rsidP="004106B1">
      <w:pPr>
        <w:rPr>
          <w:rFonts w:ascii="Arial" w:hAnsi="Arial" w:cs="Arial"/>
        </w:rPr>
      </w:pPr>
      <w:r w:rsidRPr="004106B1">
        <w:rPr>
          <w:rFonts w:ascii="Arial" w:hAnsi="Arial" w:cs="Arial"/>
        </w:rPr>
        <w:t>The Environment Agency can impose civil sanctions for breaches of legal requirements under some waste and resource efficiency regulatory regimes, pursuant to the Environment Act 2021. These are civil penalties that can be imposed on the civil standard of proof, that is, where the Environment Agency is satisfied that it is more probable than not that an offence has been committed. </w:t>
      </w:r>
      <w:r w:rsidRPr="004106B1">
        <w:rPr>
          <w:rFonts w:ascii="Arial" w:eastAsia="Times New Roman" w:hAnsi="Arial" w:cs="Arial"/>
          <w:color w:val="0B0C0C"/>
          <w:kern w:val="0"/>
          <w:sz w:val="24"/>
          <w:szCs w:val="24"/>
          <w:lang w:eastAsia="en-GB"/>
          <w14:ligatures w14:val="none"/>
        </w:rPr>
        <w:t>Sometimes the breach is also a criminal offence, but not always.</w:t>
      </w:r>
    </w:p>
    <w:p w14:paraId="21E5BA5E" w14:textId="22446F1A" w:rsidR="00770AF2" w:rsidRPr="004106B1" w:rsidRDefault="00770AF2" w:rsidP="00770AF2">
      <w:pPr>
        <w:shd w:val="clear" w:color="auto" w:fill="FFFFFF"/>
        <w:spacing w:after="300" w:line="240" w:lineRule="auto"/>
        <w:outlineLvl w:val="1"/>
        <w:rPr>
          <w:rFonts w:ascii="Arial" w:eastAsia="Arial" w:hAnsi="Arial" w:cs="Arial"/>
          <w:w w:val="105"/>
          <w:kern w:val="0"/>
          <w:sz w:val="24"/>
          <w:szCs w:val="24"/>
          <w14:ligatures w14:val="none"/>
        </w:rPr>
      </w:pPr>
      <w:r w:rsidRPr="004106B1">
        <w:rPr>
          <w:rFonts w:ascii="Arial" w:eastAsia="Arial" w:hAnsi="Arial" w:cs="Arial"/>
          <w:w w:val="105"/>
          <w:kern w:val="0"/>
          <w:sz w:val="24"/>
          <w:szCs w:val="24"/>
          <w14:ligatures w14:val="none"/>
        </w:rPr>
        <w:t xml:space="preserve">This Annex is split into two sections. </w:t>
      </w:r>
    </w:p>
    <w:p w14:paraId="30CD2282" w14:textId="49A082D1" w:rsidR="00770AF2" w:rsidRPr="004106B1" w:rsidRDefault="00770AF2" w:rsidP="00770AF2">
      <w:pPr>
        <w:shd w:val="clear" w:color="auto" w:fill="FFFFFF"/>
        <w:spacing w:after="300" w:line="240" w:lineRule="auto"/>
        <w:outlineLvl w:val="1"/>
        <w:rPr>
          <w:rFonts w:ascii="Arial" w:eastAsia="Arial" w:hAnsi="Arial" w:cs="Arial"/>
          <w:w w:val="105"/>
          <w:kern w:val="0"/>
          <w:sz w:val="24"/>
          <w:szCs w:val="24"/>
          <w:lang w:val="en-US"/>
          <w14:ligatures w14:val="none"/>
        </w:rPr>
      </w:pPr>
      <w:r w:rsidRPr="004106B1">
        <w:rPr>
          <w:rFonts w:ascii="Arial" w:eastAsia="Arial" w:hAnsi="Arial" w:cs="Arial"/>
          <w:w w:val="105"/>
          <w:kern w:val="0"/>
          <w:sz w:val="24"/>
          <w:szCs w:val="24"/>
          <w14:ligatures w14:val="none"/>
        </w:rPr>
        <w:t xml:space="preserve">Part A addresses the </w:t>
      </w:r>
      <w:r w:rsidRPr="004106B1">
        <w:rPr>
          <w:rFonts w:ascii="Arial" w:eastAsia="Times New Roman" w:hAnsi="Arial" w:cs="Arial"/>
          <w:color w:val="0B0C0C"/>
          <w:kern w:val="0"/>
          <w:sz w:val="24"/>
          <w:szCs w:val="24"/>
          <w:lang w:eastAsia="en-GB"/>
          <w14:ligatures w14:val="none"/>
        </w:rPr>
        <w:t>Producer Responsibility Obligations (Packaging and Packaging Waste) Regulations 2024 (</w:t>
      </w:r>
      <w:r w:rsidR="004106B1">
        <w:rPr>
          <w:rFonts w:ascii="Arial" w:eastAsia="Times New Roman" w:hAnsi="Arial" w:cs="Arial"/>
          <w:color w:val="0B0C0C"/>
          <w:kern w:val="0"/>
          <w:sz w:val="24"/>
          <w:szCs w:val="24"/>
          <w:lang w:eastAsia="en-GB"/>
          <w14:ligatures w14:val="none"/>
        </w:rPr>
        <w:t>“</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Regulations</w:t>
      </w:r>
      <w:r w:rsidR="004106B1">
        <w:rPr>
          <w:rFonts w:ascii="Arial" w:eastAsia="Times New Roman" w:hAnsi="Arial" w:cs="Arial"/>
          <w:color w:val="0B0C0C"/>
          <w:kern w:val="0"/>
          <w:sz w:val="24"/>
          <w:szCs w:val="24"/>
          <w:lang w:eastAsia="en-GB"/>
          <w14:ligatures w14:val="none"/>
        </w:rPr>
        <w:t>”</w:t>
      </w:r>
      <w:r w:rsidRPr="004106B1">
        <w:rPr>
          <w:rFonts w:ascii="Arial" w:eastAsia="Times New Roman" w:hAnsi="Arial" w:cs="Arial"/>
          <w:color w:val="0B0C0C"/>
          <w:kern w:val="0"/>
          <w:sz w:val="24"/>
          <w:szCs w:val="24"/>
          <w:lang w:eastAsia="en-GB"/>
          <w14:ligatures w14:val="none"/>
        </w:rPr>
        <w:t xml:space="preserve">) and </w:t>
      </w:r>
      <w:r w:rsidRPr="004106B1">
        <w:rPr>
          <w:rFonts w:ascii="Arial" w:eastAsia="Arial" w:hAnsi="Arial" w:cs="Arial"/>
          <w:w w:val="105"/>
          <w:kern w:val="0"/>
          <w:sz w:val="24"/>
          <w:szCs w:val="24"/>
          <w:lang w:val="en-US"/>
          <w14:ligatures w14:val="none"/>
        </w:rPr>
        <w:t>the Deposit Scheme for Drinks Containers (England and Northern Ireland) Regulations 2025 (</w:t>
      </w:r>
      <w:r w:rsidR="004106B1">
        <w:rPr>
          <w:rFonts w:ascii="Arial" w:eastAsia="Arial" w:hAnsi="Arial" w:cs="Arial"/>
          <w:w w:val="105"/>
          <w:kern w:val="0"/>
          <w:sz w:val="24"/>
          <w:szCs w:val="24"/>
          <w:lang w:val="en-US"/>
          <w14:ligatures w14:val="none"/>
        </w:rPr>
        <w:t>“</w:t>
      </w:r>
      <w:r w:rsidRPr="004106B1">
        <w:rPr>
          <w:rFonts w:ascii="Arial" w:eastAsia="Arial" w:hAnsi="Arial" w:cs="Arial"/>
          <w:w w:val="105"/>
          <w:kern w:val="0"/>
          <w:sz w:val="24"/>
          <w:szCs w:val="24"/>
          <w:lang w:val="en-US"/>
          <w14:ligatures w14:val="none"/>
        </w:rPr>
        <w:t>DRS Regulations</w:t>
      </w:r>
      <w:r w:rsidR="004106B1">
        <w:rPr>
          <w:rFonts w:ascii="Arial" w:eastAsia="Arial" w:hAnsi="Arial" w:cs="Arial"/>
          <w:w w:val="105"/>
          <w:kern w:val="0"/>
          <w:sz w:val="24"/>
          <w:szCs w:val="24"/>
          <w:lang w:val="en-US"/>
          <w14:ligatures w14:val="none"/>
        </w:rPr>
        <w:t>”</w:t>
      </w:r>
      <w:r w:rsidRPr="004106B1">
        <w:rPr>
          <w:rFonts w:ascii="Arial" w:eastAsia="Arial" w:hAnsi="Arial" w:cs="Arial"/>
          <w:w w:val="105"/>
          <w:kern w:val="0"/>
          <w:sz w:val="24"/>
          <w:szCs w:val="24"/>
          <w:lang w:val="en-US"/>
          <w14:ligatures w14:val="none"/>
        </w:rPr>
        <w:t>)</w:t>
      </w:r>
    </w:p>
    <w:p w14:paraId="6047C5E1" w14:textId="01B6DFA9" w:rsidR="00770AF2" w:rsidRPr="004106B1" w:rsidRDefault="00770AF2" w:rsidP="00770AF2">
      <w:pPr>
        <w:shd w:val="clear" w:color="auto" w:fill="FFFFFF"/>
        <w:spacing w:after="300" w:line="240" w:lineRule="auto"/>
        <w:outlineLvl w:val="1"/>
        <w:rPr>
          <w:rFonts w:ascii="Arial" w:eastAsia="Arial" w:hAnsi="Arial" w:cs="Arial"/>
          <w:w w:val="105"/>
          <w:kern w:val="0"/>
          <w:sz w:val="24"/>
          <w:szCs w:val="24"/>
          <w14:ligatures w14:val="none"/>
        </w:rPr>
      </w:pPr>
      <w:r w:rsidRPr="004106B1">
        <w:rPr>
          <w:rFonts w:ascii="Arial" w:eastAsia="Arial" w:hAnsi="Arial" w:cs="Arial"/>
          <w:w w:val="105"/>
          <w:kern w:val="0"/>
          <w:sz w:val="24"/>
          <w:szCs w:val="24"/>
          <w:lang w:val="en-US"/>
          <w14:ligatures w14:val="none"/>
        </w:rPr>
        <w:t xml:space="preserve">Part B addresses the </w:t>
      </w:r>
      <w:r w:rsidRPr="004106B1">
        <w:rPr>
          <w:rFonts w:ascii="Arial" w:eastAsia="Arial" w:hAnsi="Arial" w:cs="Arial"/>
          <w:w w:val="105"/>
          <w:kern w:val="0"/>
          <w:sz w:val="24"/>
          <w:szCs w:val="24"/>
          <w14:ligatures w14:val="none"/>
        </w:rPr>
        <w:t>Digital Waste Tracking (England) Regulations 2026 (“DWT Regulations”)</w:t>
      </w:r>
    </w:p>
    <w:p w14:paraId="70877DE4" w14:textId="5CB75606" w:rsidR="004106B1" w:rsidRDefault="004106B1" w:rsidP="004106B1">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Other obligations under the Environment Act 2021 may fall within the scope of this annex as they come into force.</w:t>
      </w:r>
    </w:p>
    <w:p w14:paraId="4A2DB54A" w14:textId="77777777" w:rsidR="004106B1" w:rsidRDefault="004106B1">
      <w:pPr>
        <w:spacing w:line="278" w:lineRule="auto"/>
        <w:rPr>
          <w:rFonts w:ascii="Arial" w:eastAsia="Times New Roman" w:hAnsi="Arial" w:cs="Arial"/>
          <w:b/>
          <w:bCs/>
          <w:color w:val="0B0C0C"/>
          <w:kern w:val="0"/>
          <w:sz w:val="32"/>
          <w:szCs w:val="32"/>
          <w:lang w:eastAsia="en-GB"/>
          <w14:ligatures w14:val="none"/>
        </w:rPr>
      </w:pPr>
      <w:r>
        <w:rPr>
          <w:rFonts w:ascii="Arial" w:eastAsia="Times New Roman" w:hAnsi="Arial" w:cs="Arial"/>
          <w:b/>
          <w:bCs/>
          <w:color w:val="0B0C0C"/>
          <w:kern w:val="0"/>
          <w:sz w:val="32"/>
          <w:szCs w:val="32"/>
          <w:lang w:eastAsia="en-GB"/>
          <w14:ligatures w14:val="none"/>
        </w:rPr>
        <w:br w:type="page"/>
      </w:r>
    </w:p>
    <w:p w14:paraId="3EFF5CD4" w14:textId="4A56884F" w:rsidR="00770AF2" w:rsidRPr="004106B1" w:rsidRDefault="00770AF2" w:rsidP="00770AF2">
      <w:pPr>
        <w:shd w:val="clear" w:color="auto" w:fill="FFFFFF"/>
        <w:spacing w:after="300" w:line="240" w:lineRule="auto"/>
        <w:outlineLvl w:val="1"/>
        <w:rPr>
          <w:rFonts w:ascii="Arial" w:eastAsia="Arial" w:hAnsi="Arial" w:cs="Arial"/>
          <w:b/>
          <w:bCs/>
          <w:w w:val="105"/>
          <w:kern w:val="0"/>
          <w:sz w:val="32"/>
          <w:szCs w:val="32"/>
          <w:lang w:val="en-US"/>
          <w14:ligatures w14:val="none"/>
        </w:rPr>
      </w:pPr>
      <w:r w:rsidRPr="004106B1">
        <w:rPr>
          <w:rFonts w:ascii="Arial" w:eastAsia="Times New Roman" w:hAnsi="Arial" w:cs="Arial"/>
          <w:b/>
          <w:bCs/>
          <w:color w:val="0B0C0C"/>
          <w:kern w:val="0"/>
          <w:sz w:val="32"/>
          <w:szCs w:val="32"/>
          <w:lang w:eastAsia="en-GB"/>
          <w14:ligatures w14:val="none"/>
        </w:rPr>
        <w:lastRenderedPageBreak/>
        <w:t xml:space="preserve">Part A - the Environment Agency’s approach to </w:t>
      </w:r>
      <w:r w:rsidR="003C1E00">
        <w:rPr>
          <w:rFonts w:ascii="Arial" w:eastAsia="Times New Roman" w:hAnsi="Arial" w:cs="Arial"/>
          <w:b/>
          <w:bCs/>
          <w:color w:val="0B0C0C"/>
          <w:kern w:val="0"/>
          <w:sz w:val="32"/>
          <w:szCs w:val="32"/>
          <w:lang w:eastAsia="en-GB"/>
          <w14:ligatures w14:val="none"/>
        </w:rPr>
        <w:t>enforcement</w:t>
      </w:r>
      <w:r w:rsidRPr="004106B1">
        <w:rPr>
          <w:rFonts w:ascii="Arial" w:eastAsia="Times New Roman" w:hAnsi="Arial" w:cs="Arial"/>
          <w:b/>
          <w:bCs/>
          <w:color w:val="0B0C0C"/>
          <w:kern w:val="0"/>
          <w:sz w:val="32"/>
          <w:szCs w:val="32"/>
          <w:lang w:eastAsia="en-GB"/>
          <w14:ligatures w14:val="none"/>
        </w:rPr>
        <w:t xml:space="preserve"> </w:t>
      </w:r>
      <w:r w:rsidR="003C1E00">
        <w:rPr>
          <w:rFonts w:ascii="Arial" w:eastAsia="Times New Roman" w:hAnsi="Arial" w:cs="Arial"/>
          <w:b/>
          <w:bCs/>
          <w:color w:val="0B0C0C"/>
          <w:kern w:val="0"/>
          <w:sz w:val="32"/>
          <w:szCs w:val="32"/>
          <w:lang w:eastAsia="en-GB"/>
          <w14:ligatures w14:val="none"/>
        </w:rPr>
        <w:t>under</w:t>
      </w:r>
      <w:r w:rsidRPr="004106B1">
        <w:rPr>
          <w:rFonts w:ascii="Arial" w:eastAsia="Times New Roman" w:hAnsi="Arial" w:cs="Arial"/>
          <w:b/>
          <w:bCs/>
          <w:color w:val="0B0C0C"/>
          <w:kern w:val="0"/>
          <w:sz w:val="32"/>
          <w:szCs w:val="32"/>
          <w:lang w:eastAsia="en-GB"/>
          <w14:ligatures w14:val="none"/>
        </w:rPr>
        <w:t xml:space="preserve"> the Producer Responsibility Obligations (Packaging and Packaging Waste) Regulations 2024 and </w:t>
      </w:r>
      <w:r w:rsidRPr="004106B1">
        <w:rPr>
          <w:rFonts w:ascii="Arial" w:eastAsia="Arial" w:hAnsi="Arial" w:cs="Arial"/>
          <w:b/>
          <w:bCs/>
          <w:w w:val="105"/>
          <w:kern w:val="0"/>
          <w:sz w:val="32"/>
          <w:szCs w:val="32"/>
          <w:lang w:val="en-US"/>
          <w14:ligatures w14:val="none"/>
        </w:rPr>
        <w:t xml:space="preserve">the Deposit Scheme for Drinks Containers (England and Northern Ireland) Regulations 2025 </w:t>
      </w:r>
    </w:p>
    <w:p w14:paraId="19BC8FAE" w14:textId="71E0CB84" w:rsidR="000F0FE4" w:rsidRPr="000F0FE4" w:rsidRDefault="00770AF2" w:rsidP="000F0FE4">
      <w:pPr>
        <w:pStyle w:val="ListParagraph"/>
        <w:numPr>
          <w:ilvl w:val="0"/>
          <w:numId w:val="9"/>
        </w:num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0F0FE4">
        <w:rPr>
          <w:rFonts w:ascii="Arial" w:eastAsia="Times New Roman" w:hAnsi="Arial" w:cs="Arial"/>
          <w:b/>
          <w:bCs/>
          <w:color w:val="0B0C0C"/>
          <w:kern w:val="0"/>
          <w:sz w:val="36"/>
          <w:szCs w:val="36"/>
          <w:lang w:eastAsia="en-GB"/>
          <w14:ligatures w14:val="none"/>
        </w:rPr>
        <w:t>En</w:t>
      </w:r>
      <w:r w:rsidR="003717D2" w:rsidRPr="000F0FE4">
        <w:rPr>
          <w:rFonts w:ascii="Arial" w:eastAsia="Times New Roman" w:hAnsi="Arial" w:cs="Arial"/>
          <w:b/>
          <w:bCs/>
          <w:color w:val="0B0C0C"/>
          <w:kern w:val="0"/>
          <w:sz w:val="36"/>
          <w:szCs w:val="36"/>
          <w:lang w:eastAsia="en-GB"/>
          <w14:ligatures w14:val="none"/>
        </w:rPr>
        <w:t xml:space="preserve">forcement </w:t>
      </w:r>
      <w:r w:rsidR="00D66CAF" w:rsidRPr="000F0FE4">
        <w:rPr>
          <w:rFonts w:ascii="Arial" w:eastAsia="Times New Roman" w:hAnsi="Arial" w:cs="Arial"/>
          <w:b/>
          <w:bCs/>
          <w:color w:val="0B0C0C"/>
          <w:kern w:val="0"/>
          <w:sz w:val="36"/>
          <w:szCs w:val="36"/>
          <w:lang w:eastAsia="en-GB"/>
          <w14:ligatures w14:val="none"/>
        </w:rPr>
        <w:t>approach</w:t>
      </w:r>
    </w:p>
    <w:p w14:paraId="0FDE6464" w14:textId="4F50D6C2" w:rsidR="00770AF2" w:rsidRPr="000F0FE4" w:rsidRDefault="00C536CC" w:rsidP="000F0FE4">
      <w:pPr>
        <w:shd w:val="clear" w:color="auto" w:fill="FFFFFF"/>
        <w:spacing w:after="300" w:line="240" w:lineRule="auto"/>
        <w:outlineLvl w:val="1"/>
        <w:rPr>
          <w:rFonts w:ascii="Arial" w:eastAsia="Times New Roman" w:hAnsi="Arial" w:cs="Arial"/>
          <w:b/>
          <w:bCs/>
          <w:color w:val="0B0C0C"/>
          <w:kern w:val="0"/>
          <w:sz w:val="24"/>
          <w:szCs w:val="24"/>
          <w:lang w:eastAsia="en-GB"/>
          <w14:ligatures w14:val="none"/>
        </w:rPr>
      </w:pPr>
      <w:r>
        <w:rPr>
          <w:rFonts w:ascii="Arial" w:eastAsia="Times New Roman" w:hAnsi="Arial" w:cs="Arial"/>
          <w:b/>
          <w:bCs/>
          <w:color w:val="0B0C0C"/>
          <w:kern w:val="0"/>
          <w:sz w:val="24"/>
          <w:szCs w:val="24"/>
          <w:lang w:eastAsia="en-GB"/>
          <w14:ligatures w14:val="none"/>
        </w:rPr>
        <w:t>C</w:t>
      </w:r>
      <w:r w:rsidR="00770AF2" w:rsidRPr="000F0FE4">
        <w:rPr>
          <w:rFonts w:ascii="Arial" w:eastAsia="Times New Roman" w:hAnsi="Arial" w:cs="Arial"/>
          <w:b/>
          <w:bCs/>
          <w:color w:val="0B0C0C"/>
          <w:kern w:val="0"/>
          <w:sz w:val="24"/>
          <w:szCs w:val="24"/>
          <w:lang w:eastAsia="en-GB"/>
          <w14:ligatures w14:val="none"/>
        </w:rPr>
        <w:t>ivil sanctions </w:t>
      </w:r>
    </w:p>
    <w:p w14:paraId="5453C899"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civil sanctions in the Producer Responsibility Obligations (Packaging and Packaging Waste) Regulations 2024 (referred to as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or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regime – extended producer responsibility for packaging) came into force on 1 January 2025. </w:t>
      </w:r>
    </w:p>
    <w:p w14:paraId="2D437B7C" w14:textId="77777777" w:rsidR="00770AF2" w:rsidRPr="004106B1" w:rsidRDefault="00770AF2" w:rsidP="00770AF2">
      <w:pPr>
        <w:widowControl w:val="0"/>
        <w:autoSpaceDE w:val="0"/>
        <w:autoSpaceDN w:val="0"/>
        <w:spacing w:before="75" w:after="300" w:line="240" w:lineRule="auto"/>
        <w:ind w:right="722"/>
        <w:rPr>
          <w:rFonts w:ascii="Arial" w:eastAsia="Arial" w:hAnsi="Arial" w:cs="Arial"/>
          <w:w w:val="105"/>
          <w:kern w:val="0"/>
          <w:sz w:val="24"/>
          <w:szCs w:val="24"/>
          <w:lang w:val="en-US"/>
          <w14:ligatures w14:val="none"/>
        </w:rPr>
      </w:pPr>
      <w:r w:rsidRPr="004106B1">
        <w:rPr>
          <w:rFonts w:ascii="Arial" w:eastAsia="Arial" w:hAnsi="Arial" w:cs="Arial"/>
          <w:w w:val="105"/>
          <w:kern w:val="0"/>
          <w:sz w:val="24"/>
          <w:szCs w:val="24"/>
          <w:lang w:val="en-US"/>
          <w14:ligatures w14:val="none"/>
        </w:rPr>
        <w:t>Civil sanctions in the Deposit Scheme for Drinks Containers (England and Northern Ireland) Regulations 2025 (referred to as DRS) relating to the deposit management organisation came into force on 23</w:t>
      </w:r>
      <w:r w:rsidRPr="004106B1">
        <w:rPr>
          <w:rFonts w:ascii="Arial" w:eastAsia="Arial" w:hAnsi="Arial" w:cs="Arial"/>
          <w:w w:val="105"/>
          <w:kern w:val="0"/>
          <w:sz w:val="24"/>
          <w:szCs w:val="24"/>
          <w:vertAlign w:val="superscript"/>
          <w:lang w:val="en-US"/>
          <w14:ligatures w14:val="none"/>
        </w:rPr>
        <w:t xml:space="preserve"> </w:t>
      </w:r>
      <w:r w:rsidRPr="004106B1">
        <w:rPr>
          <w:rFonts w:ascii="Arial" w:eastAsia="Arial" w:hAnsi="Arial" w:cs="Arial"/>
          <w:w w:val="105"/>
          <w:kern w:val="0"/>
          <w:sz w:val="24"/>
          <w:szCs w:val="24"/>
          <w:lang w:val="en-US"/>
          <w14:ligatures w14:val="none"/>
        </w:rPr>
        <w:t>January 2025.  The rest of the civil sanctions in DRS will come into force on 1 October 2027.</w:t>
      </w:r>
    </w:p>
    <w:p w14:paraId="40E65D11"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 full list of every breach and offence we regulate and the enforcement action available to us is in the </w:t>
      </w:r>
      <w:hyperlink r:id="rId11" w:history="1">
        <w:r w:rsidRPr="004106B1">
          <w:rPr>
            <w:rFonts w:ascii="Arial" w:eastAsia="Times New Roman" w:hAnsi="Arial" w:cs="Arial"/>
            <w:color w:val="1D70B8"/>
            <w:kern w:val="0"/>
            <w:sz w:val="24"/>
            <w:szCs w:val="24"/>
            <w:u w:val="single"/>
            <w:lang w:eastAsia="en-GB"/>
            <w14:ligatures w14:val="none"/>
          </w:rPr>
          <w:t>offence response options</w:t>
        </w:r>
      </w:hyperlink>
      <w:r w:rsidRPr="004106B1">
        <w:rPr>
          <w:rFonts w:ascii="Arial" w:eastAsia="Times New Roman" w:hAnsi="Arial" w:cs="Arial"/>
          <w:color w:val="0B0C0C"/>
          <w:kern w:val="0"/>
          <w:sz w:val="24"/>
          <w:szCs w:val="24"/>
          <w:lang w:eastAsia="en-GB"/>
          <w14:ligatures w14:val="none"/>
        </w:rPr>
        <w:t> document.</w:t>
      </w:r>
    </w:p>
    <w:p w14:paraId="608D395A" w14:textId="77777777" w:rsidR="00770AF2" w:rsidRPr="004106B1" w:rsidRDefault="00770AF2" w:rsidP="00770AF2">
      <w:pPr>
        <w:shd w:val="clear" w:color="auto" w:fill="FFFFFF"/>
        <w:spacing w:after="300" w:line="240" w:lineRule="auto"/>
        <w:rPr>
          <w:rFonts w:ascii="Arial" w:eastAsia="Times New Roman" w:hAnsi="Arial" w:cs="Arial"/>
          <w:b/>
          <w:bCs/>
          <w:color w:val="0B0C0C"/>
          <w:sz w:val="24"/>
          <w:szCs w:val="24"/>
          <w:lang w:eastAsia="en-GB"/>
        </w:rPr>
      </w:pPr>
      <w:r w:rsidRPr="004106B1">
        <w:rPr>
          <w:rFonts w:ascii="Arial" w:eastAsia="Times New Roman" w:hAnsi="Arial" w:cs="Arial"/>
          <w:b/>
          <w:bCs/>
          <w:color w:val="0B0C0C"/>
          <w:sz w:val="24"/>
          <w:szCs w:val="24"/>
          <w:lang w:eastAsia="en-GB"/>
        </w:rPr>
        <w:t>Criminal offences and civil sanctions under DRS</w:t>
      </w:r>
    </w:p>
    <w:p w14:paraId="24DE2C48"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sz w:val="24"/>
          <w:szCs w:val="24"/>
          <w:lang w:eastAsia="en-GB"/>
        </w:rPr>
        <w:t>Under DRS there are 2 criminal offences:</w:t>
      </w:r>
    </w:p>
    <w:p w14:paraId="7A557FEC" w14:textId="77777777" w:rsidR="00770AF2" w:rsidRPr="004106B1" w:rsidRDefault="00770AF2" w:rsidP="00770AF2">
      <w:pPr>
        <w:pStyle w:val="ListParagraph"/>
        <w:numPr>
          <w:ilvl w:val="0"/>
          <w:numId w:val="21"/>
        </w:numPr>
        <w:shd w:val="clear" w:color="auto" w:fill="FFFFFF" w:themeFill="background1"/>
        <w:spacing w:after="300" w:line="240" w:lineRule="auto"/>
        <w:rPr>
          <w:rFonts w:ascii="Arial" w:eastAsia="Times New Roman" w:hAnsi="Arial" w:cs="Arial"/>
          <w:color w:val="0B0C0C"/>
          <w:sz w:val="24"/>
          <w:szCs w:val="24"/>
          <w:lang w:eastAsia="en-GB"/>
        </w:rPr>
      </w:pPr>
      <w:r w:rsidRPr="004106B1">
        <w:rPr>
          <w:rFonts w:ascii="Arial" w:eastAsia="Times New Roman" w:hAnsi="Arial" w:cs="Arial"/>
          <w:color w:val="0B0C0C"/>
          <w:sz w:val="24"/>
          <w:szCs w:val="24"/>
          <w:lang w:eastAsia="en-GB"/>
        </w:rPr>
        <w:t>A person who fails to comply with a variable monetary penalty or a compliance notice.</w:t>
      </w:r>
    </w:p>
    <w:p w14:paraId="3D1982A9" w14:textId="77777777" w:rsidR="00770AF2" w:rsidRPr="004106B1" w:rsidRDefault="00770AF2" w:rsidP="00770AF2">
      <w:pPr>
        <w:pStyle w:val="ListParagraph"/>
        <w:shd w:val="clear" w:color="auto" w:fill="FFFFFF" w:themeFill="background1"/>
        <w:spacing w:after="300" w:line="240" w:lineRule="auto"/>
        <w:rPr>
          <w:rFonts w:ascii="Arial" w:eastAsia="Times New Roman" w:hAnsi="Arial" w:cs="Arial"/>
          <w:color w:val="0B0C0C"/>
          <w:sz w:val="24"/>
          <w:szCs w:val="24"/>
          <w:lang w:eastAsia="en-GB"/>
        </w:rPr>
      </w:pPr>
    </w:p>
    <w:p w14:paraId="16B6660A" w14:textId="77777777" w:rsidR="00770AF2" w:rsidRPr="004106B1" w:rsidRDefault="00770AF2" w:rsidP="00770AF2">
      <w:pPr>
        <w:pStyle w:val="ListParagraph"/>
        <w:numPr>
          <w:ilvl w:val="0"/>
          <w:numId w:val="21"/>
        </w:num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 person who intentionally obstructs, or fails to assist, an authorised person, in the carrying out of their enforcement functions</w:t>
      </w:r>
    </w:p>
    <w:p w14:paraId="6E753C89"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sz w:val="24"/>
          <w:szCs w:val="24"/>
          <w:lang w:eastAsia="en-GB"/>
        </w:rPr>
      </w:pPr>
      <w:r w:rsidRPr="004106B1">
        <w:rPr>
          <w:rFonts w:ascii="Arial" w:eastAsia="Times New Roman" w:hAnsi="Arial" w:cs="Arial"/>
          <w:color w:val="0B0C0C"/>
          <w:sz w:val="24"/>
          <w:szCs w:val="24"/>
          <w:lang w:eastAsia="en-GB"/>
        </w:rPr>
        <w:t>Where either</w:t>
      </w:r>
      <w:r w:rsidRPr="004106B1">
        <w:rPr>
          <w:rFonts w:ascii="Arial" w:hAnsi="Arial" w:cs="Arial"/>
          <w:sz w:val="24"/>
          <w:szCs w:val="24"/>
        </w:rPr>
        <w:t xml:space="preserve"> offence is committed, we may also enforce against a relevant individual or other person. </w:t>
      </w:r>
    </w:p>
    <w:p w14:paraId="22A048BC"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sz w:val="24"/>
          <w:szCs w:val="24"/>
          <w:lang w:eastAsia="en-GB"/>
        </w:rPr>
      </w:pPr>
      <w:r w:rsidRPr="004106B1">
        <w:rPr>
          <w:rFonts w:ascii="Arial" w:eastAsia="Times New Roman" w:hAnsi="Arial" w:cs="Arial"/>
          <w:color w:val="0B0C0C"/>
          <w:sz w:val="24"/>
          <w:szCs w:val="24"/>
          <w:lang w:eastAsia="en-GB"/>
        </w:rPr>
        <w:t>Where a person fails to comply with a variable monetary penalty or compliance notice the only enforcement option is prosecution of the criminal offence. Details of how we will decide whether to prosecute for these offences can be found in the main enforcement and sanctions policy.</w:t>
      </w:r>
    </w:p>
    <w:p w14:paraId="7A131C99"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hAnsi="Arial" w:cs="Arial"/>
          <w:sz w:val="24"/>
          <w:szCs w:val="24"/>
        </w:rPr>
        <w:t xml:space="preserve">In relation to intentional obstruction or failure to assist we have the power to apply civil sanctions as well as prosecuting the criminal offence. In these </w:t>
      </w:r>
      <w:proofErr w:type="gramStart"/>
      <w:r w:rsidRPr="004106B1">
        <w:rPr>
          <w:rFonts w:ascii="Arial" w:hAnsi="Arial" w:cs="Arial"/>
          <w:sz w:val="24"/>
          <w:szCs w:val="24"/>
        </w:rPr>
        <w:t>cases</w:t>
      </w:r>
      <w:proofErr w:type="gramEnd"/>
      <w:r w:rsidRPr="004106B1">
        <w:rPr>
          <w:rFonts w:ascii="Arial" w:hAnsi="Arial" w:cs="Arial"/>
          <w:sz w:val="24"/>
          <w:szCs w:val="24"/>
        </w:rPr>
        <w:t xml:space="preserve"> we will assess the nature and circumstances of the act or failure to determine the most appropriate enforcement response.  We will reserve criminal prosecution for conduct which has particularly reprehensible elements such as fraud, bad faith, misleading statements or when individuals we have</w:t>
      </w:r>
      <w:r w:rsidRPr="004106B1">
        <w:rPr>
          <w:rFonts w:ascii="Arial" w:eastAsia="Aptos" w:hAnsi="Arial" w:cs="Arial"/>
          <w:sz w:val="24"/>
          <w:szCs w:val="24"/>
        </w:rPr>
        <w:t xml:space="preserve"> authorised are assaulted, intimidated or </w:t>
      </w:r>
      <w:r w:rsidRPr="004106B1">
        <w:rPr>
          <w:rFonts w:ascii="Arial" w:eastAsia="Aptos" w:hAnsi="Arial" w:cs="Arial"/>
          <w:sz w:val="24"/>
          <w:szCs w:val="24"/>
        </w:rPr>
        <w:lastRenderedPageBreak/>
        <w:t>threatened while carrying out their enforcement functions.</w:t>
      </w:r>
      <w:r w:rsidRPr="004106B1">
        <w:rPr>
          <w:rFonts w:ascii="Arial" w:eastAsia="Times New Roman" w:hAnsi="Arial" w:cs="Arial"/>
          <w:color w:val="0B0C0C"/>
          <w:kern w:val="0"/>
          <w:sz w:val="24"/>
          <w:szCs w:val="24"/>
          <w:lang w:eastAsia="en-GB"/>
          <w14:ligatures w14:val="none"/>
        </w:rPr>
        <w:t xml:space="preserve"> In relation to all the other breaches under DRS that we have the power to </w:t>
      </w:r>
      <w:proofErr w:type="gramStart"/>
      <w:r w:rsidRPr="004106B1">
        <w:rPr>
          <w:rFonts w:ascii="Arial" w:eastAsia="Times New Roman" w:hAnsi="Arial" w:cs="Arial"/>
          <w:color w:val="0B0C0C"/>
          <w:kern w:val="0"/>
          <w:sz w:val="24"/>
          <w:szCs w:val="24"/>
          <w:lang w:eastAsia="en-GB"/>
          <w14:ligatures w14:val="none"/>
        </w:rPr>
        <w:t>enforce,</w:t>
      </w:r>
      <w:proofErr w:type="gramEnd"/>
      <w:r w:rsidRPr="004106B1">
        <w:rPr>
          <w:rFonts w:ascii="Arial" w:eastAsia="Times New Roman" w:hAnsi="Arial" w:cs="Arial"/>
          <w:color w:val="0B0C0C"/>
          <w:kern w:val="0"/>
          <w:sz w:val="24"/>
          <w:szCs w:val="24"/>
          <w:lang w:eastAsia="en-GB"/>
          <w14:ligatures w14:val="none"/>
        </w:rPr>
        <w:t xml:space="preserve"> we may only apply civil sanctions.  </w:t>
      </w:r>
    </w:p>
    <w:p w14:paraId="4A3D24A6" w14:textId="77777777" w:rsidR="00770AF2" w:rsidRPr="004106B1" w:rsidRDefault="00770AF2" w:rsidP="00770AF2">
      <w:pPr>
        <w:shd w:val="clear" w:color="auto" w:fill="FFFFFF"/>
        <w:spacing w:after="300" w:line="240" w:lineRule="auto"/>
        <w:rPr>
          <w:rFonts w:ascii="Arial" w:eastAsia="Times New Roman" w:hAnsi="Arial" w:cs="Arial"/>
          <w:b/>
          <w:bCs/>
          <w:color w:val="0B0C0C"/>
          <w:sz w:val="24"/>
          <w:szCs w:val="24"/>
          <w:lang w:eastAsia="en-GB"/>
        </w:rPr>
      </w:pPr>
      <w:r w:rsidRPr="004106B1">
        <w:rPr>
          <w:rFonts w:ascii="Arial" w:eastAsia="Times New Roman" w:hAnsi="Arial" w:cs="Arial"/>
          <w:b/>
          <w:bCs/>
          <w:color w:val="0B0C0C"/>
          <w:sz w:val="24"/>
          <w:szCs w:val="24"/>
          <w:lang w:eastAsia="en-GB"/>
        </w:rPr>
        <w:t xml:space="preserve">Criminal offences and civil sanctions under </w:t>
      </w:r>
      <w:proofErr w:type="spellStart"/>
      <w:r w:rsidRPr="004106B1">
        <w:rPr>
          <w:rFonts w:ascii="Arial" w:eastAsia="Times New Roman" w:hAnsi="Arial" w:cs="Arial"/>
          <w:b/>
          <w:bCs/>
          <w:color w:val="0B0C0C"/>
          <w:sz w:val="24"/>
          <w:szCs w:val="24"/>
          <w:lang w:eastAsia="en-GB"/>
        </w:rPr>
        <w:t>pEPR</w:t>
      </w:r>
      <w:proofErr w:type="spellEnd"/>
    </w:p>
    <w:p w14:paraId="26B3D2F1"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sz w:val="24"/>
          <w:szCs w:val="24"/>
          <w:lang w:eastAsia="en-GB"/>
        </w:rPr>
        <w:t xml:space="preserve">Under </w:t>
      </w:r>
      <w:proofErr w:type="spellStart"/>
      <w:r w:rsidRPr="004106B1">
        <w:rPr>
          <w:rFonts w:ascii="Arial" w:eastAsia="Times New Roman" w:hAnsi="Arial" w:cs="Arial"/>
          <w:color w:val="0B0C0C"/>
          <w:sz w:val="24"/>
          <w:szCs w:val="24"/>
          <w:lang w:eastAsia="en-GB"/>
        </w:rPr>
        <w:t>pEPR</w:t>
      </w:r>
      <w:proofErr w:type="spellEnd"/>
      <w:r w:rsidRPr="004106B1">
        <w:rPr>
          <w:rFonts w:ascii="Arial" w:eastAsia="Times New Roman" w:hAnsi="Arial" w:cs="Arial"/>
          <w:color w:val="0B0C0C"/>
          <w:kern w:val="0"/>
          <w:sz w:val="24"/>
          <w:szCs w:val="24"/>
          <w:lang w:eastAsia="en-GB"/>
          <w14:ligatures w14:val="none"/>
        </w:rPr>
        <w:t>, in most cases, where we have the power to impose a civil sanction in relation to the breach of a requirement or prohibition, the breach of that same requirement or prohibition is also described in the legislation as an offence and subject to criminal sanctions. In such cases we will assess the nature and circumstances of the breach to determine the most appropriate enforcement response.      </w:t>
      </w:r>
    </w:p>
    <w:p w14:paraId="5BB02AD6"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Our usual approach will be to seek to make use of the powers we have to apply civil sanctions, to reflect the intention of the legislation in providing civil sanction powers.</w:t>
      </w:r>
    </w:p>
    <w:p w14:paraId="106831EE"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reserve criminal prosecution for conduct which has particularly reprehensible elements, such as:</w:t>
      </w:r>
    </w:p>
    <w:p w14:paraId="0850374E" w14:textId="77777777" w:rsidR="00770AF2" w:rsidRPr="00D243D0" w:rsidRDefault="00770AF2" w:rsidP="00D243D0">
      <w:pPr>
        <w:pStyle w:val="ListParagraph"/>
        <w:numPr>
          <w:ilvl w:val="0"/>
          <w:numId w:val="26"/>
        </w:numPr>
        <w:shd w:val="clear" w:color="auto" w:fill="FFFFFF"/>
        <w:spacing w:after="150" w:line="240" w:lineRule="auto"/>
        <w:rPr>
          <w:rFonts w:ascii="Arial" w:eastAsia="Times New Roman" w:hAnsi="Arial" w:cs="Arial"/>
          <w:color w:val="0B0C0C"/>
          <w:kern w:val="0"/>
          <w:sz w:val="24"/>
          <w:szCs w:val="24"/>
          <w:lang w:eastAsia="en-GB"/>
          <w14:ligatures w14:val="none"/>
        </w:rPr>
      </w:pPr>
      <w:r w:rsidRPr="00D243D0">
        <w:rPr>
          <w:rFonts w:ascii="Arial" w:eastAsia="Times New Roman" w:hAnsi="Arial" w:cs="Arial"/>
          <w:color w:val="0B0C0C"/>
          <w:kern w:val="0"/>
          <w:sz w:val="24"/>
          <w:szCs w:val="24"/>
          <w:lang w:eastAsia="en-GB"/>
          <w14:ligatures w14:val="none"/>
        </w:rPr>
        <w:t>fraud</w:t>
      </w:r>
    </w:p>
    <w:p w14:paraId="08665586" w14:textId="77777777" w:rsidR="00770AF2" w:rsidRPr="00D243D0" w:rsidRDefault="00770AF2" w:rsidP="00D243D0">
      <w:pPr>
        <w:pStyle w:val="ListParagraph"/>
        <w:numPr>
          <w:ilvl w:val="0"/>
          <w:numId w:val="26"/>
        </w:numPr>
        <w:shd w:val="clear" w:color="auto" w:fill="FFFFFF"/>
        <w:spacing w:after="150" w:line="240" w:lineRule="auto"/>
        <w:rPr>
          <w:rFonts w:ascii="Arial" w:eastAsia="Times New Roman" w:hAnsi="Arial" w:cs="Arial"/>
          <w:color w:val="0B0C0C"/>
          <w:kern w:val="0"/>
          <w:sz w:val="24"/>
          <w:szCs w:val="24"/>
          <w:lang w:eastAsia="en-GB"/>
          <w14:ligatures w14:val="none"/>
        </w:rPr>
      </w:pPr>
      <w:r w:rsidRPr="00D243D0">
        <w:rPr>
          <w:rFonts w:ascii="Arial" w:eastAsia="Times New Roman" w:hAnsi="Arial" w:cs="Arial"/>
          <w:color w:val="0B0C0C"/>
          <w:kern w:val="0"/>
          <w:sz w:val="24"/>
          <w:szCs w:val="24"/>
          <w:lang w:eastAsia="en-GB"/>
          <w14:ligatures w14:val="none"/>
        </w:rPr>
        <w:t>bad faith</w:t>
      </w:r>
    </w:p>
    <w:p w14:paraId="58EBB345" w14:textId="77777777" w:rsidR="00770AF2" w:rsidRPr="00D243D0" w:rsidRDefault="00770AF2" w:rsidP="00D243D0">
      <w:pPr>
        <w:pStyle w:val="ListParagraph"/>
        <w:numPr>
          <w:ilvl w:val="0"/>
          <w:numId w:val="26"/>
        </w:numPr>
        <w:shd w:val="clear" w:color="auto" w:fill="FFFFFF"/>
        <w:spacing w:after="150" w:line="240" w:lineRule="auto"/>
        <w:rPr>
          <w:rFonts w:ascii="Arial" w:eastAsia="Times New Roman" w:hAnsi="Arial" w:cs="Arial"/>
          <w:color w:val="0B0C0C"/>
          <w:kern w:val="0"/>
          <w:sz w:val="24"/>
          <w:szCs w:val="24"/>
          <w:lang w:eastAsia="en-GB"/>
          <w14:ligatures w14:val="none"/>
        </w:rPr>
      </w:pPr>
      <w:r w:rsidRPr="00D243D0">
        <w:rPr>
          <w:rFonts w:ascii="Arial" w:eastAsia="Times New Roman" w:hAnsi="Arial" w:cs="Arial"/>
          <w:color w:val="0B0C0C"/>
          <w:kern w:val="0"/>
          <w:sz w:val="24"/>
          <w:szCs w:val="24"/>
          <w:lang w:eastAsia="en-GB"/>
          <w14:ligatures w14:val="none"/>
        </w:rPr>
        <w:t>misleading statements or conduct</w:t>
      </w:r>
    </w:p>
    <w:p w14:paraId="654943BE"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p>
    <w:p w14:paraId="46B8BC85"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 xml:space="preserve">VMPs and the integrity of the </w:t>
      </w:r>
      <w:proofErr w:type="spellStart"/>
      <w:r w:rsidRPr="004106B1">
        <w:rPr>
          <w:rFonts w:ascii="Arial" w:eastAsia="Times New Roman" w:hAnsi="Arial" w:cs="Arial"/>
          <w:b/>
          <w:bCs/>
          <w:color w:val="0B0C0C"/>
          <w:kern w:val="0"/>
          <w:sz w:val="24"/>
          <w:szCs w:val="24"/>
          <w:lang w:eastAsia="en-GB"/>
          <w14:ligatures w14:val="none"/>
        </w:rPr>
        <w:t>pEPR</w:t>
      </w:r>
      <w:proofErr w:type="spellEnd"/>
      <w:r w:rsidRPr="004106B1">
        <w:rPr>
          <w:rFonts w:ascii="Arial" w:eastAsia="Times New Roman" w:hAnsi="Arial" w:cs="Arial"/>
          <w:b/>
          <w:bCs/>
          <w:color w:val="0B0C0C"/>
          <w:kern w:val="0"/>
          <w:sz w:val="24"/>
          <w:szCs w:val="24"/>
          <w:lang w:eastAsia="en-GB"/>
          <w14:ligatures w14:val="none"/>
        </w:rPr>
        <w:t xml:space="preserve"> and DRS regulatory frameworks</w:t>
      </w:r>
    </w:p>
    <w:p w14:paraId="382514C1"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When we determine the amount of a variable monetary penalty, we will consider the impact the breach has on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or DRS regulatory framework</w:t>
      </w:r>
      <w:r w:rsidRPr="004106B1">
        <w:rPr>
          <w:rFonts w:ascii="Arial" w:eastAsia="Times New Roman" w:hAnsi="Arial" w:cs="Arial"/>
          <w:b/>
          <w:bCs/>
          <w:color w:val="0B0C0C"/>
          <w:kern w:val="0"/>
          <w:sz w:val="24"/>
          <w:szCs w:val="24"/>
          <w:lang w:eastAsia="en-GB"/>
          <w14:ligatures w14:val="none"/>
        </w:rPr>
        <w:t xml:space="preserve">. </w:t>
      </w:r>
      <w:r w:rsidRPr="004106B1">
        <w:rPr>
          <w:rFonts w:ascii="Arial" w:eastAsia="Times New Roman" w:hAnsi="Arial" w:cs="Arial"/>
          <w:color w:val="0B0C0C"/>
          <w:kern w:val="0"/>
          <w:sz w:val="24"/>
          <w:szCs w:val="24"/>
          <w:lang w:eastAsia="en-GB"/>
          <w14:ligatures w14:val="none"/>
        </w:rPr>
        <w:t>This means the trust in, transparency, reliability and effectiveness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or DRS regulatory framework. We may consider how long a person has been required to comply with the law.</w:t>
      </w:r>
    </w:p>
    <w:p w14:paraId="019A132C"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proofErr w:type="spellStart"/>
      <w:r w:rsidRPr="004106B1">
        <w:rPr>
          <w:rFonts w:ascii="Arial" w:eastAsia="Times New Roman" w:hAnsi="Arial" w:cs="Arial"/>
          <w:b/>
          <w:bCs/>
          <w:color w:val="0B0C0C"/>
          <w:kern w:val="0"/>
          <w:sz w:val="24"/>
          <w:szCs w:val="24"/>
          <w:lang w:eastAsia="en-GB"/>
          <w14:ligatures w14:val="none"/>
        </w:rPr>
        <w:t>pEPR</w:t>
      </w:r>
      <w:proofErr w:type="spellEnd"/>
      <w:r w:rsidRPr="004106B1">
        <w:rPr>
          <w:rFonts w:ascii="Arial" w:eastAsia="Times New Roman" w:hAnsi="Arial" w:cs="Arial"/>
          <w:b/>
          <w:bCs/>
          <w:color w:val="0B0C0C"/>
          <w:kern w:val="0"/>
          <w:sz w:val="24"/>
          <w:szCs w:val="24"/>
          <w:lang w:eastAsia="en-GB"/>
          <w14:ligatures w14:val="none"/>
        </w:rPr>
        <w:t xml:space="preserve"> regulatory framework</w:t>
      </w:r>
    </w:p>
    <w:p w14:paraId="0EDE3769"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Maintaining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regulatory framework plays a vital part in:</w:t>
      </w:r>
    </w:p>
    <w:p w14:paraId="7E006200" w14:textId="77777777" w:rsidR="00770AF2" w:rsidRPr="004106B1" w:rsidRDefault="00770AF2" w:rsidP="00770AF2">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reducing the UK’s contribution to climate change</w:t>
      </w:r>
    </w:p>
    <w:p w14:paraId="6FBCA1CE" w14:textId="77777777" w:rsidR="00770AF2" w:rsidRPr="004106B1" w:rsidRDefault="00770AF2" w:rsidP="00770AF2">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promoting green growth</w:t>
      </w:r>
    </w:p>
    <w:p w14:paraId="3298518D" w14:textId="77777777" w:rsidR="00770AF2" w:rsidRPr="004106B1" w:rsidRDefault="00770AF2" w:rsidP="00770AF2">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driving down the generation of packaging waste</w:t>
      </w:r>
    </w:p>
    <w:p w14:paraId="187D4F7D" w14:textId="77777777" w:rsidR="00770AF2" w:rsidRPr="004106B1" w:rsidRDefault="00770AF2" w:rsidP="00770AF2">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increasing the recycling of packaging waste</w:t>
      </w:r>
    </w:p>
    <w:p w14:paraId="1A5F29E8" w14:textId="77777777" w:rsidR="00770AF2" w:rsidRPr="004106B1" w:rsidRDefault="00770AF2" w:rsidP="00770AF2">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encouraging the use of more environmentally sustainable packaging and packaging that is easier to recycle</w:t>
      </w:r>
    </w:p>
    <w:p w14:paraId="4FD7654C"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seeks to achieve these key goals by placing full financial responsibility on producers for the </w:t>
      </w:r>
      <w:proofErr w:type="gramStart"/>
      <w:r w:rsidRPr="004106B1">
        <w:rPr>
          <w:rFonts w:ascii="Arial" w:eastAsia="Times New Roman" w:hAnsi="Arial" w:cs="Arial"/>
          <w:color w:val="0B0C0C"/>
          <w:kern w:val="0"/>
          <w:sz w:val="24"/>
          <w:szCs w:val="24"/>
          <w:lang w:eastAsia="en-GB"/>
          <w14:ligatures w14:val="none"/>
        </w:rPr>
        <w:t>end of life</w:t>
      </w:r>
      <w:proofErr w:type="gramEnd"/>
      <w:r w:rsidRPr="004106B1">
        <w:rPr>
          <w:rFonts w:ascii="Arial" w:eastAsia="Times New Roman" w:hAnsi="Arial" w:cs="Arial"/>
          <w:color w:val="0B0C0C"/>
          <w:kern w:val="0"/>
          <w:sz w:val="24"/>
          <w:szCs w:val="24"/>
          <w:lang w:eastAsia="en-GB"/>
          <w14:ligatures w14:val="none"/>
        </w:rPr>
        <w:t xml:space="preserve"> costs of packaging.</w:t>
      </w:r>
    </w:p>
    <w:p w14:paraId="15560168"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lastRenderedPageBreak/>
        <w:t>Under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we have no enforcement powers in relation to the requirement on producers to pay disposal and administration fees. This is a matter for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scheme administrator. Our enforcement powers relate to the underlying obligations that support the disposal and administration fee obligation, such as the requirement to register or report packaging data.</w:t>
      </w:r>
    </w:p>
    <w:p w14:paraId="1F80C2B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When we calculate a variable monetary penalty, we will not include a producer’s avoided or potentially avoided disposal and administration fee liability. A producer remains liable for any outstanding disposal and administration fees or potential disposal and administration fee liability connected with the breach, which is a matter for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scheme administrator.</w:t>
      </w:r>
    </w:p>
    <w:p w14:paraId="29BB5282"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In the same way, fixed monetary penalties and compliance notices that we impose and enforcement undertakings that we accept, will not include a liable producer’s disposal fee obligations.</w:t>
      </w:r>
    </w:p>
    <w:p w14:paraId="1258FF26"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DRS regulatory framework</w:t>
      </w:r>
    </w:p>
    <w:p w14:paraId="7B4117F0" w14:textId="77777777" w:rsidR="00770AF2" w:rsidRPr="004106B1" w:rsidRDefault="00770AF2" w:rsidP="00770AF2">
      <w:pPr>
        <w:widowControl w:val="0"/>
        <w:autoSpaceDE w:val="0"/>
        <w:autoSpaceDN w:val="0"/>
        <w:spacing w:before="75" w:after="300" w:line="249" w:lineRule="auto"/>
        <w:ind w:right="722"/>
        <w:jc w:val="both"/>
        <w:rPr>
          <w:rFonts w:ascii="Arial" w:eastAsia="Arial" w:hAnsi="Arial" w:cs="Arial"/>
          <w:w w:val="105"/>
          <w:kern w:val="0"/>
          <w:sz w:val="24"/>
          <w:szCs w:val="24"/>
          <w:lang w:val="en-US"/>
          <w14:ligatures w14:val="none"/>
        </w:rPr>
      </w:pPr>
      <w:r w:rsidRPr="004106B1">
        <w:rPr>
          <w:rFonts w:ascii="Arial" w:eastAsia="Arial" w:hAnsi="Arial" w:cs="Arial"/>
          <w:w w:val="105"/>
          <w:kern w:val="0"/>
          <w:sz w:val="24"/>
          <w:szCs w:val="24"/>
          <w:lang w:val="en-US"/>
          <w14:ligatures w14:val="none"/>
        </w:rPr>
        <w:t xml:space="preserve">We regulate the deposit management organisation as well as producers, suppliers, retailers and other return point operators. </w:t>
      </w:r>
    </w:p>
    <w:p w14:paraId="0B4048CD" w14:textId="77777777" w:rsidR="00770AF2" w:rsidRPr="004106B1" w:rsidRDefault="00770AF2" w:rsidP="00770AF2">
      <w:pPr>
        <w:shd w:val="clear" w:color="auto" w:fill="FFFFFF"/>
        <w:spacing w:after="300" w:line="240" w:lineRule="auto"/>
        <w:rPr>
          <w:rFonts w:ascii="Arial" w:hAnsi="Arial" w:cs="Arial"/>
          <w:w w:val="105"/>
          <w:sz w:val="24"/>
          <w:szCs w:val="24"/>
        </w:rPr>
      </w:pPr>
      <w:r w:rsidRPr="004106B1">
        <w:rPr>
          <w:rFonts w:ascii="Arial" w:hAnsi="Arial" w:cs="Arial"/>
          <w:w w:val="105"/>
          <w:sz w:val="24"/>
          <w:szCs w:val="24"/>
        </w:rPr>
        <w:t>Some obligations under DRS are enforced by local Trading Standards offices. These are referred to in the DRS Regulations as the ALA provisions. This annex does not apply to those provisions.</w:t>
      </w:r>
    </w:p>
    <w:p w14:paraId="3C35A8A1" w14:textId="77777777" w:rsidR="00770AF2" w:rsidRPr="004106B1" w:rsidRDefault="00770AF2" w:rsidP="00770AF2">
      <w:pPr>
        <w:pStyle w:val="Default"/>
        <w:rPr>
          <w:rFonts w:ascii="Arial" w:eastAsia="Arial" w:hAnsi="Arial" w:cs="Arial"/>
          <w:lang w:val="en-US"/>
        </w:rPr>
      </w:pPr>
      <w:r w:rsidRPr="004106B1">
        <w:rPr>
          <w:rFonts w:ascii="Arial" w:eastAsia="Arial" w:hAnsi="Arial" w:cs="Arial"/>
          <w:lang w:val="en-US"/>
        </w:rPr>
        <w:t>Maintaining the integrity of the DRS regulatory framework plays a vital part in:</w:t>
      </w:r>
    </w:p>
    <w:p w14:paraId="7192FF41" w14:textId="77777777" w:rsidR="00770AF2" w:rsidRPr="004106B1" w:rsidRDefault="00770AF2" w:rsidP="00770AF2">
      <w:pPr>
        <w:pStyle w:val="Default"/>
        <w:rPr>
          <w:rFonts w:ascii="Arial" w:eastAsia="Arial" w:hAnsi="Arial" w:cs="Arial"/>
          <w:lang w:val="en-US"/>
        </w:rPr>
      </w:pPr>
    </w:p>
    <w:p w14:paraId="2F57477E" w14:textId="77777777" w:rsidR="00770AF2" w:rsidRPr="004106B1" w:rsidRDefault="00770AF2" w:rsidP="00770AF2">
      <w:pPr>
        <w:pStyle w:val="Default"/>
        <w:numPr>
          <w:ilvl w:val="0"/>
          <w:numId w:val="35"/>
        </w:numPr>
        <w:rPr>
          <w:rFonts w:ascii="Arial" w:hAnsi="Arial" w:cs="Arial"/>
        </w:rPr>
      </w:pPr>
      <w:r w:rsidRPr="004106B1">
        <w:rPr>
          <w:rFonts w:ascii="Arial" w:hAnsi="Arial" w:cs="Arial"/>
        </w:rPr>
        <w:t>sustaining, promoting and securing an increase in the recycling of materials</w:t>
      </w:r>
      <w:r w:rsidRPr="004106B1">
        <w:rPr>
          <w:rFonts w:ascii="Arial" w:hAnsi="Arial" w:cs="Arial"/>
        </w:rPr>
        <w:br/>
      </w:r>
    </w:p>
    <w:p w14:paraId="425E6F63" w14:textId="77777777" w:rsidR="00770AF2" w:rsidRPr="004106B1" w:rsidRDefault="00770AF2" w:rsidP="00770AF2">
      <w:pPr>
        <w:pStyle w:val="Default"/>
        <w:numPr>
          <w:ilvl w:val="0"/>
          <w:numId w:val="35"/>
        </w:numPr>
        <w:rPr>
          <w:rFonts w:ascii="Arial" w:hAnsi="Arial" w:cs="Arial"/>
        </w:rPr>
      </w:pPr>
      <w:r w:rsidRPr="004106B1">
        <w:rPr>
          <w:rFonts w:ascii="Arial" w:hAnsi="Arial" w:cs="Arial"/>
        </w:rPr>
        <w:t>reducing the incidence of littering or fly-tipping and litter disamenity</w:t>
      </w:r>
      <w:r w:rsidRPr="004106B1">
        <w:rPr>
          <w:rFonts w:ascii="Arial" w:hAnsi="Arial" w:cs="Arial"/>
        </w:rPr>
        <w:br/>
      </w:r>
    </w:p>
    <w:p w14:paraId="3BE3EECC" w14:textId="77777777" w:rsidR="00770AF2" w:rsidRPr="004106B1" w:rsidRDefault="00770AF2" w:rsidP="00770AF2">
      <w:pPr>
        <w:numPr>
          <w:ilvl w:val="0"/>
          <w:numId w:val="35"/>
        </w:numPr>
        <w:shd w:val="clear" w:color="auto" w:fill="FFFFFF"/>
        <w:spacing w:after="1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reducing the UK’s contribution to climate change</w:t>
      </w:r>
    </w:p>
    <w:p w14:paraId="324CED0A" w14:textId="77777777" w:rsidR="00770AF2" w:rsidRPr="004106B1" w:rsidRDefault="00770AF2" w:rsidP="00770AF2">
      <w:pPr>
        <w:pStyle w:val="Default"/>
        <w:numPr>
          <w:ilvl w:val="0"/>
          <w:numId w:val="35"/>
        </w:numPr>
        <w:rPr>
          <w:rFonts w:ascii="Arial" w:hAnsi="Arial" w:cs="Arial"/>
        </w:rPr>
      </w:pPr>
      <w:r w:rsidRPr="004106B1">
        <w:rPr>
          <w:rFonts w:ascii="Arial" w:hAnsi="Arial" w:cs="Arial"/>
        </w:rPr>
        <w:t>increasing the quality of recycled materials</w:t>
      </w:r>
    </w:p>
    <w:p w14:paraId="4C2E65CF" w14:textId="77777777" w:rsidR="00770AF2" w:rsidRPr="004106B1" w:rsidRDefault="00770AF2" w:rsidP="00770AF2">
      <w:pPr>
        <w:pStyle w:val="Default"/>
        <w:ind w:left="720"/>
        <w:rPr>
          <w:rFonts w:ascii="Arial" w:hAnsi="Arial" w:cs="Arial"/>
        </w:rPr>
      </w:pPr>
    </w:p>
    <w:p w14:paraId="2B04937D" w14:textId="77777777" w:rsidR="00770AF2" w:rsidRPr="004106B1" w:rsidRDefault="00770AF2" w:rsidP="00770AF2">
      <w:pPr>
        <w:pStyle w:val="Default"/>
        <w:numPr>
          <w:ilvl w:val="0"/>
          <w:numId w:val="35"/>
        </w:numPr>
        <w:rPr>
          <w:rFonts w:ascii="Arial" w:hAnsi="Arial" w:cs="Arial"/>
        </w:rPr>
      </w:pPr>
      <w:r w:rsidRPr="004106B1">
        <w:rPr>
          <w:rFonts w:ascii="Arial" w:hAnsi="Arial" w:cs="Arial"/>
        </w:rPr>
        <w:t xml:space="preserve">stimulating greater domestic reprocessing capacity by providing a stable and high-quality supply of recyclable materials </w:t>
      </w:r>
      <w:r w:rsidRPr="004106B1">
        <w:rPr>
          <w:rFonts w:ascii="Arial" w:hAnsi="Arial" w:cs="Arial"/>
        </w:rPr>
        <w:br/>
      </w:r>
    </w:p>
    <w:p w14:paraId="699ADB5A" w14:textId="77777777" w:rsidR="00770AF2" w:rsidRPr="004106B1" w:rsidRDefault="00770AF2" w:rsidP="00770AF2">
      <w:pPr>
        <w:pStyle w:val="Default"/>
        <w:numPr>
          <w:ilvl w:val="0"/>
          <w:numId w:val="35"/>
        </w:numPr>
        <w:rPr>
          <w:rFonts w:ascii="Arial" w:hAnsi="Arial" w:cs="Arial"/>
        </w:rPr>
      </w:pPr>
      <w:r w:rsidRPr="004106B1">
        <w:rPr>
          <w:rFonts w:ascii="Arial" w:hAnsi="Arial" w:cs="Arial"/>
        </w:rPr>
        <w:t>changing the behaviour of consumers, producers and retailers to drive a significant change in the way that waste drinks containers are collected for recycling</w:t>
      </w:r>
    </w:p>
    <w:p w14:paraId="74DE0DB1" w14:textId="77777777" w:rsidR="00770AF2" w:rsidRPr="004106B1" w:rsidRDefault="00770AF2" w:rsidP="00770AF2">
      <w:pPr>
        <w:pStyle w:val="Default"/>
        <w:ind w:left="720"/>
        <w:rPr>
          <w:rFonts w:ascii="Arial" w:hAnsi="Arial" w:cs="Arial"/>
        </w:rPr>
      </w:pPr>
    </w:p>
    <w:p w14:paraId="05C04520" w14:textId="77777777" w:rsidR="00770AF2" w:rsidRPr="004106B1" w:rsidRDefault="00770AF2" w:rsidP="00770AF2">
      <w:pPr>
        <w:widowControl w:val="0"/>
        <w:autoSpaceDE w:val="0"/>
        <w:autoSpaceDN w:val="0"/>
        <w:spacing w:before="75" w:after="300" w:line="249" w:lineRule="auto"/>
        <w:ind w:right="722"/>
        <w:jc w:val="both"/>
        <w:rPr>
          <w:rFonts w:ascii="Arial" w:eastAsia="Arial" w:hAnsi="Arial" w:cs="Arial"/>
          <w:w w:val="105"/>
          <w:kern w:val="0"/>
          <w:sz w:val="24"/>
          <w:szCs w:val="24"/>
          <w:lang w:val="en-US"/>
          <w14:ligatures w14:val="none"/>
        </w:rPr>
      </w:pPr>
      <w:r w:rsidRPr="004106B1">
        <w:rPr>
          <w:rFonts w:ascii="Arial" w:eastAsia="Arial" w:hAnsi="Arial" w:cs="Arial"/>
          <w:sz w:val="24"/>
          <w:szCs w:val="24"/>
          <w:lang w:val="en-US"/>
        </w:rPr>
        <w:t xml:space="preserve"> </w:t>
      </w:r>
    </w:p>
    <w:p w14:paraId="3C289FFC"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proofErr w:type="spellStart"/>
      <w:r w:rsidRPr="004106B1">
        <w:rPr>
          <w:rFonts w:ascii="Arial" w:eastAsia="Times New Roman" w:hAnsi="Arial" w:cs="Arial"/>
          <w:b/>
          <w:bCs/>
          <w:color w:val="0B0C0C"/>
          <w:kern w:val="0"/>
          <w:sz w:val="24"/>
          <w:szCs w:val="24"/>
          <w:lang w:eastAsia="en-GB"/>
          <w14:ligatures w14:val="none"/>
        </w:rPr>
        <w:t>pEPR</w:t>
      </w:r>
      <w:proofErr w:type="spellEnd"/>
      <w:r w:rsidRPr="004106B1">
        <w:rPr>
          <w:rFonts w:ascii="Arial" w:eastAsia="Times New Roman" w:hAnsi="Arial" w:cs="Arial"/>
          <w:b/>
          <w:bCs/>
          <w:color w:val="0B0C0C"/>
          <w:kern w:val="0"/>
          <w:sz w:val="24"/>
          <w:szCs w:val="24"/>
          <w:lang w:eastAsia="en-GB"/>
          <w14:ligatures w14:val="none"/>
        </w:rPr>
        <w:t xml:space="preserve"> and DRS civil sanctions</w:t>
      </w:r>
    </w:p>
    <w:p w14:paraId="7D8E6BB2"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Where we decide that a civil sanction is appropriate, we must be satisfied on the balance of probabilities that a breach has occurred before we impose a civil sanction or accept an enforcement undertaking. We will make sure that the recipient of a </w:t>
      </w:r>
      <w:r w:rsidRPr="004106B1">
        <w:rPr>
          <w:rFonts w:ascii="Arial" w:eastAsia="Times New Roman" w:hAnsi="Arial" w:cs="Arial"/>
          <w:color w:val="0B0C0C"/>
          <w:kern w:val="0"/>
          <w:sz w:val="24"/>
          <w:szCs w:val="24"/>
          <w:lang w:eastAsia="en-GB"/>
          <w14:ligatures w14:val="none"/>
        </w:rPr>
        <w:lastRenderedPageBreak/>
        <w:t>notice of intent to impose a fixed monetary penalty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only) or variable monetary penalty (both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and DRS) understands the case against them. We will set out the alleged breach and the reasons for the proposed penalty and provide information about the right to make representations.</w:t>
      </w:r>
    </w:p>
    <w:p w14:paraId="5BC6941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When we impose a monetary penalty, it must be paid by the date stated on the notice. If we consider it appropriate, we may extend the time for payment.</w:t>
      </w:r>
    </w:p>
    <w:p w14:paraId="6C2CC72B" w14:textId="5800F2D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following explains where we would normally use or accept civil sanctions. The examples are not exhaustive.</w:t>
      </w:r>
    </w:p>
    <w:p w14:paraId="0CE1A407"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1.1 Fixed monetary penalties and variable monetary penalties (civil standard)</w:t>
      </w:r>
    </w:p>
    <w:p w14:paraId="475E4722" w14:textId="7AEC1265" w:rsidR="00770AF2"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Under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we do not have a choice whether to impose a fixed monetary penalty or variable monetary penalty in relation to a specific breach. For each breach where we have power to apply a civil sanction, we only have the power to impose a fixed monetary penalty or variable monetary penalty (alongside compliance notices and acceptance of enforcement undertakings, as applicable).</w:t>
      </w:r>
    </w:p>
    <w:p w14:paraId="6DD9DE05" w14:textId="45B6ABF5" w:rsidR="003B7CD2" w:rsidRPr="004106B1" w:rsidRDefault="003B7CD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3B7CD2">
        <w:rPr>
          <w:rFonts w:ascii="Arial" w:eastAsia="Times New Roman" w:hAnsi="Arial" w:cs="Arial"/>
          <w:color w:val="0B0C0C"/>
          <w:kern w:val="0"/>
          <w:sz w:val="24"/>
          <w:szCs w:val="24"/>
          <w:lang w:eastAsia="en-GB"/>
          <w14:ligatures w14:val="none"/>
        </w:rPr>
        <w:t xml:space="preserve">The fixed monetary penalty in </w:t>
      </w:r>
      <w:proofErr w:type="spellStart"/>
      <w:r w:rsidRPr="003B7CD2">
        <w:rPr>
          <w:rFonts w:ascii="Arial" w:eastAsia="Times New Roman" w:hAnsi="Arial" w:cs="Arial"/>
          <w:color w:val="0B0C0C"/>
          <w:kern w:val="0"/>
          <w:sz w:val="24"/>
          <w:szCs w:val="24"/>
          <w:lang w:eastAsia="en-GB"/>
          <w14:ligatures w14:val="none"/>
        </w:rPr>
        <w:t>pEPR</w:t>
      </w:r>
      <w:proofErr w:type="spellEnd"/>
      <w:r w:rsidRPr="003B7CD2">
        <w:rPr>
          <w:rFonts w:ascii="Arial" w:eastAsia="Times New Roman" w:hAnsi="Arial" w:cs="Arial"/>
          <w:color w:val="0B0C0C"/>
          <w:kern w:val="0"/>
          <w:sz w:val="24"/>
          <w:szCs w:val="24"/>
          <w:lang w:eastAsia="en-GB"/>
          <w14:ligatures w14:val="none"/>
        </w:rPr>
        <w:t xml:space="preserve"> is £1,000. If the penalty is not paid (and an appeal is not made) within 56 days of receipt of the final notice, the amount of the penalty is increased by 50%.</w:t>
      </w:r>
    </w:p>
    <w:p w14:paraId="06DBABBC" w14:textId="17443173"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do not have the power to impose fixed monetary penalties under DRS; we may only impose a variable monetary penalty (alongside compliance notices and acceptance of enforcement undertakings, as applicable).</w:t>
      </w:r>
      <w:r w:rsidRPr="004106B1">
        <w:rPr>
          <w:rFonts w:ascii="Arial" w:eastAsia="Times New Roman" w:hAnsi="Arial" w:cs="Arial"/>
          <w:color w:val="0B0C0C"/>
          <w:sz w:val="24"/>
          <w:szCs w:val="24"/>
          <w:lang w:eastAsia="en-GB"/>
        </w:rPr>
        <w:t xml:space="preserve"> Under DRS, fixed monetary penalties only apply to the obligations enforced by local Trading Standards offices.</w:t>
      </w:r>
    </w:p>
    <w:p w14:paraId="3181E4D3"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Read section 2 to find out how we calculate a variable monetary penalty.</w:t>
      </w:r>
    </w:p>
    <w:p w14:paraId="5F343650"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1.2 Compliance notices</w:t>
      </w:r>
    </w:p>
    <w:p w14:paraId="711475B9"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We may issue a compliance notice where we require the person to </w:t>
      </w:r>
      <w:proofErr w:type="gramStart"/>
      <w:r w:rsidRPr="004106B1">
        <w:rPr>
          <w:rFonts w:ascii="Arial" w:eastAsia="Times New Roman" w:hAnsi="Arial" w:cs="Arial"/>
          <w:color w:val="0B0C0C"/>
          <w:kern w:val="0"/>
          <w:sz w:val="24"/>
          <w:szCs w:val="24"/>
          <w:lang w:eastAsia="en-GB"/>
          <w14:ligatures w14:val="none"/>
        </w:rPr>
        <w:t>take action</w:t>
      </w:r>
      <w:proofErr w:type="gramEnd"/>
      <w:r w:rsidRPr="004106B1">
        <w:rPr>
          <w:rFonts w:ascii="Arial" w:eastAsia="Times New Roman" w:hAnsi="Arial" w:cs="Arial"/>
          <w:color w:val="0B0C0C"/>
          <w:kern w:val="0"/>
          <w:sz w:val="24"/>
          <w:szCs w:val="24"/>
          <w:lang w:eastAsia="en-GB"/>
          <w14:ligatures w14:val="none"/>
        </w:rPr>
        <w:t xml:space="preserve"> to be compliant, for example:</w:t>
      </w:r>
    </w:p>
    <w:p w14:paraId="38F5322B" w14:textId="77777777" w:rsidR="00770AF2" w:rsidRPr="004106B1" w:rsidRDefault="00770AF2" w:rsidP="00770AF2">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where an individual or business has failed to provide information </w:t>
      </w:r>
    </w:p>
    <w:p w14:paraId="31926E1E" w14:textId="77777777" w:rsidR="00770AF2" w:rsidRPr="004106B1" w:rsidRDefault="00770AF2" w:rsidP="00770AF2">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have given advice and guidance, the person has not followed it, and improvements have not been made</w:t>
      </w:r>
    </w:p>
    <w:p w14:paraId="59974E36" w14:textId="77777777" w:rsidR="00770AF2" w:rsidRPr="004106B1" w:rsidRDefault="00770AF2" w:rsidP="00770AF2">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under DRS, in the case of the deposit management organisation, it has failed to act in accordance with its operational plan</w:t>
      </w:r>
    </w:p>
    <w:p w14:paraId="1CA05B3D" w14:textId="27CEA240" w:rsidR="00770AF2"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may issue a compliance notice in conjunction with a variable monetary penalty or fixed monetary penalty, as applicable.</w:t>
      </w:r>
    </w:p>
    <w:p w14:paraId="4ED90308"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 xml:space="preserve">1.3 Enforcement undertakings </w:t>
      </w:r>
    </w:p>
    <w:p w14:paraId="76563BDF" w14:textId="5182C947" w:rsidR="00770AF2" w:rsidRPr="004106B1" w:rsidRDefault="00FC0CE5"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lastRenderedPageBreak/>
        <w:t xml:space="preserve">Under </w:t>
      </w:r>
      <w:r w:rsidR="00870874">
        <w:rPr>
          <w:rFonts w:ascii="Arial" w:eastAsia="Times New Roman" w:hAnsi="Arial" w:cs="Arial"/>
          <w:color w:val="0B0C0C"/>
          <w:kern w:val="0"/>
          <w:sz w:val="24"/>
          <w:szCs w:val="24"/>
          <w:lang w:eastAsia="en-GB"/>
          <w14:ligatures w14:val="none"/>
        </w:rPr>
        <w:t>both regimes</w:t>
      </w:r>
      <w:r>
        <w:rPr>
          <w:rFonts w:ascii="Arial" w:eastAsia="Times New Roman" w:hAnsi="Arial" w:cs="Arial"/>
          <w:color w:val="0B0C0C"/>
          <w:kern w:val="0"/>
          <w:sz w:val="24"/>
          <w:szCs w:val="24"/>
          <w:lang w:eastAsia="en-GB"/>
          <w14:ligatures w14:val="none"/>
        </w:rPr>
        <w:t xml:space="preserve"> we may accept </w:t>
      </w:r>
      <w:r w:rsidR="00C50F0C">
        <w:rPr>
          <w:rFonts w:ascii="Arial" w:eastAsia="Times New Roman" w:hAnsi="Arial" w:cs="Arial"/>
          <w:color w:val="0B0C0C"/>
          <w:kern w:val="0"/>
          <w:sz w:val="24"/>
          <w:szCs w:val="24"/>
          <w:lang w:eastAsia="en-GB"/>
          <w14:ligatures w14:val="none"/>
        </w:rPr>
        <w:t xml:space="preserve">enforcement undertakings. </w:t>
      </w:r>
      <w:r w:rsidR="00770AF2" w:rsidRPr="004106B1">
        <w:rPr>
          <w:rFonts w:ascii="Arial" w:eastAsia="Times New Roman" w:hAnsi="Arial" w:cs="Arial"/>
          <w:color w:val="0B0C0C"/>
          <w:kern w:val="0"/>
          <w:sz w:val="24"/>
          <w:szCs w:val="24"/>
          <w:lang w:eastAsia="en-GB"/>
          <w14:ligatures w14:val="none"/>
        </w:rPr>
        <w:t>This annex does not include details of how we decide whether to accept or reject enforcement undertakings</w:t>
      </w:r>
      <w:r w:rsidR="002A4BEA">
        <w:rPr>
          <w:rFonts w:ascii="Arial" w:eastAsia="Times New Roman" w:hAnsi="Arial" w:cs="Arial"/>
          <w:color w:val="0B0C0C"/>
          <w:kern w:val="0"/>
          <w:sz w:val="24"/>
          <w:szCs w:val="24"/>
          <w:lang w:eastAsia="en-GB"/>
          <w14:ligatures w14:val="none"/>
        </w:rPr>
        <w:t>,</w:t>
      </w:r>
      <w:r w:rsidR="00770AF2" w:rsidRPr="004106B1">
        <w:rPr>
          <w:rFonts w:ascii="Arial" w:eastAsia="Times New Roman" w:hAnsi="Arial" w:cs="Arial"/>
          <w:color w:val="0B0C0C"/>
          <w:kern w:val="0"/>
          <w:sz w:val="24"/>
          <w:szCs w:val="24"/>
          <w:lang w:eastAsia="en-GB"/>
          <w14:ligatures w14:val="none"/>
        </w:rPr>
        <w:t xml:space="preserve"> which can be found in the main enforcement and sanctions policy.</w:t>
      </w:r>
    </w:p>
    <w:p w14:paraId="6543BE6A"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The offer needs to include some form of environmental benefit or improvement, such as the prevention of littering, or an increase in the reuse and recycling of packaging </w:t>
      </w:r>
      <w:r w:rsidRPr="004106B1">
        <w:rPr>
          <w:rFonts w:ascii="Arial" w:eastAsia="Times New Roman" w:hAnsi="Arial" w:cs="Arial"/>
          <w:color w:val="0B0C0C"/>
          <w:sz w:val="24"/>
          <w:szCs w:val="24"/>
          <w:lang w:eastAsia="en-GB"/>
        </w:rPr>
        <w:t>(</w:t>
      </w:r>
      <w:proofErr w:type="spellStart"/>
      <w:r w:rsidRPr="004106B1">
        <w:rPr>
          <w:rFonts w:ascii="Arial" w:eastAsia="Times New Roman" w:hAnsi="Arial" w:cs="Arial"/>
          <w:color w:val="0B0C0C"/>
          <w:sz w:val="24"/>
          <w:szCs w:val="24"/>
          <w:lang w:eastAsia="en-GB"/>
        </w:rPr>
        <w:t>pEPR</w:t>
      </w:r>
      <w:proofErr w:type="spellEnd"/>
      <w:r w:rsidRPr="004106B1">
        <w:rPr>
          <w:rFonts w:ascii="Arial" w:eastAsia="Times New Roman" w:hAnsi="Arial" w:cs="Arial"/>
          <w:color w:val="0B0C0C"/>
          <w:sz w:val="24"/>
          <w:szCs w:val="24"/>
          <w:lang w:eastAsia="en-GB"/>
        </w:rPr>
        <w:t>) or deposit items (DRS). This could be in the form of a payment</w:t>
      </w:r>
      <w:r w:rsidRPr="004106B1">
        <w:rPr>
          <w:rFonts w:ascii="Arial" w:eastAsia="Times New Roman" w:hAnsi="Arial" w:cs="Arial"/>
          <w:color w:val="0B0C0C"/>
          <w:kern w:val="0"/>
          <w:sz w:val="24"/>
          <w:szCs w:val="24"/>
          <w:lang w:eastAsia="en-GB"/>
          <w14:ligatures w14:val="none"/>
        </w:rPr>
        <w:t xml:space="preserve"> of a sum of money to a third party</w:t>
      </w:r>
      <w:r w:rsidRPr="004106B1">
        <w:rPr>
          <w:rFonts w:ascii="Arial" w:eastAsia="Times New Roman" w:hAnsi="Arial" w:cs="Arial"/>
          <w:color w:val="0B0C0C"/>
          <w:sz w:val="24"/>
          <w:szCs w:val="24"/>
          <w:lang w:eastAsia="en-GB"/>
        </w:rPr>
        <w:t xml:space="preserve"> that secures such benefit or improvement, for example it is paid to a relevant charity.</w:t>
      </w:r>
    </w:p>
    <w:p w14:paraId="72ECD1A1"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The offeror must also state the action it will take to ensure future compliance, for example investing in systems that support compliance or </w:t>
      </w:r>
      <w:r w:rsidRPr="004106B1">
        <w:rPr>
          <w:rFonts w:ascii="Arial" w:eastAsia="Arial" w:hAnsi="Arial" w:cs="Arial"/>
          <w:color w:val="0B0C0C"/>
          <w:sz w:val="24"/>
          <w:szCs w:val="24"/>
        </w:rPr>
        <w:t>taking relevant action to prevent a reoccurrence of the breach</w:t>
      </w:r>
      <w:r w:rsidRPr="004106B1">
        <w:rPr>
          <w:rFonts w:ascii="Arial" w:eastAsia="Times New Roman" w:hAnsi="Arial" w:cs="Arial"/>
          <w:color w:val="0B0C0C"/>
          <w:kern w:val="0"/>
          <w:sz w:val="24"/>
          <w:szCs w:val="24"/>
          <w:lang w:eastAsia="en-GB"/>
          <w14:ligatures w14:val="none"/>
        </w:rPr>
        <w:t>.</w:t>
      </w:r>
    </w:p>
    <w:p w14:paraId="023307A0"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1.4 Enforcement cost recovery notices</w:t>
      </w:r>
    </w:p>
    <w:p w14:paraId="7AB83B98"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always try to recover the money we have spent on work connected with imposing a civil sanction. We can serve an enforcement cost recovery notice which will require the person to pay the actual cost to the Environment Agency. If the person is unable to pay the amount due for the civil sanction and the enforcement cost recovery notice, we may reduce the sanction but are unlikely to reduce the enforcement cost recovery notice. This is because we have a duty to protect public money.</w:t>
      </w:r>
    </w:p>
    <w:p w14:paraId="08D33873"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sz w:val="24"/>
          <w:szCs w:val="24"/>
          <w:lang w:eastAsia="en-GB"/>
        </w:rPr>
        <w:t xml:space="preserve">Under </w:t>
      </w:r>
      <w:proofErr w:type="spellStart"/>
      <w:r w:rsidRPr="004106B1">
        <w:rPr>
          <w:rFonts w:ascii="Arial" w:eastAsia="Times New Roman" w:hAnsi="Arial" w:cs="Arial"/>
          <w:color w:val="0B0C0C"/>
          <w:sz w:val="24"/>
          <w:szCs w:val="24"/>
          <w:lang w:eastAsia="en-GB"/>
        </w:rPr>
        <w:t>pEPR</w:t>
      </w:r>
      <w:proofErr w:type="spellEnd"/>
      <w:r w:rsidRPr="004106B1">
        <w:rPr>
          <w:rFonts w:ascii="Arial" w:eastAsia="Times New Roman" w:hAnsi="Arial" w:cs="Arial"/>
          <w:color w:val="0B0C0C"/>
          <w:sz w:val="24"/>
          <w:szCs w:val="24"/>
          <w:lang w:eastAsia="en-GB"/>
        </w:rPr>
        <w:t xml:space="preserve"> and DRS w</w:t>
      </w:r>
      <w:r w:rsidRPr="004106B1">
        <w:rPr>
          <w:rFonts w:ascii="Arial" w:eastAsia="Times New Roman" w:hAnsi="Arial" w:cs="Arial"/>
          <w:color w:val="0B0C0C"/>
          <w:kern w:val="0"/>
          <w:sz w:val="24"/>
          <w:szCs w:val="24"/>
          <w:lang w:eastAsia="en-GB"/>
          <w14:ligatures w14:val="none"/>
        </w:rPr>
        <w:t xml:space="preserve">e can serve an enforcement cost recovery notice with a </w:t>
      </w:r>
      <w:r w:rsidRPr="004106B1">
        <w:rPr>
          <w:rFonts w:ascii="Arial" w:eastAsia="Times New Roman" w:hAnsi="Arial" w:cs="Arial"/>
          <w:color w:val="0B0C0C"/>
          <w:sz w:val="24"/>
          <w:szCs w:val="24"/>
          <w:lang w:eastAsia="en-GB"/>
        </w:rPr>
        <w:t>variable</w:t>
      </w:r>
      <w:r w:rsidRPr="004106B1">
        <w:rPr>
          <w:rFonts w:ascii="Arial" w:eastAsia="Times New Roman" w:hAnsi="Arial" w:cs="Arial"/>
          <w:color w:val="0B0C0C"/>
          <w:kern w:val="0"/>
          <w:sz w:val="24"/>
          <w:szCs w:val="24"/>
          <w:lang w:eastAsia="en-GB"/>
          <w14:ligatures w14:val="none"/>
        </w:rPr>
        <w:t xml:space="preserve"> monetary penalty</w:t>
      </w:r>
      <w:r w:rsidRPr="004106B1">
        <w:rPr>
          <w:rFonts w:ascii="Arial" w:eastAsia="Times New Roman" w:hAnsi="Arial" w:cs="Arial"/>
          <w:color w:val="0B0C0C"/>
          <w:sz w:val="24"/>
          <w:szCs w:val="24"/>
          <w:lang w:eastAsia="en-GB"/>
        </w:rPr>
        <w:t xml:space="preserve"> or compliance notice</w:t>
      </w:r>
      <w:r w:rsidRPr="004106B1">
        <w:rPr>
          <w:rFonts w:ascii="Arial" w:eastAsia="Times New Roman" w:hAnsi="Arial" w:cs="Arial"/>
          <w:color w:val="0B0C0C"/>
          <w:kern w:val="0"/>
          <w:sz w:val="24"/>
          <w:szCs w:val="24"/>
          <w:lang w:eastAsia="en-GB"/>
          <w14:ligatures w14:val="none"/>
        </w:rPr>
        <w:t xml:space="preserve">. </w:t>
      </w:r>
    </w:p>
    <w:p w14:paraId="2A29527E"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expect cost recovery to be offered as part of an enforcement undertaking under both regimes.</w:t>
      </w:r>
    </w:p>
    <w:p w14:paraId="0E4E86E4"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p>
    <w:p w14:paraId="75998781" w14:textId="77777777" w:rsidR="00770AF2" w:rsidRPr="004106B1" w:rsidRDefault="00770AF2" w:rsidP="00770AF2">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4106B1">
        <w:rPr>
          <w:rFonts w:ascii="Arial" w:eastAsia="Times New Roman" w:hAnsi="Arial" w:cs="Arial"/>
          <w:b/>
          <w:bCs/>
          <w:color w:val="0B0C0C"/>
          <w:kern w:val="0"/>
          <w:sz w:val="36"/>
          <w:szCs w:val="36"/>
          <w:lang w:eastAsia="en-GB"/>
          <w14:ligatures w14:val="none"/>
        </w:rPr>
        <w:t>2. Variable monetary penalties (civil standard)</w:t>
      </w:r>
    </w:p>
    <w:p w14:paraId="1DF06649"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use a stepped approach to calculate the variable monetary penalties, which is based on the steps in the </w:t>
      </w:r>
      <w:hyperlink r:id="rId12" w:history="1">
        <w:r w:rsidRPr="004106B1">
          <w:rPr>
            <w:rFonts w:ascii="Arial" w:eastAsia="Times New Roman" w:hAnsi="Arial" w:cs="Arial"/>
            <w:color w:val="1D70B8"/>
            <w:kern w:val="0"/>
            <w:sz w:val="24"/>
            <w:szCs w:val="24"/>
            <w:u w:val="single"/>
            <w:lang w:eastAsia="en-GB"/>
            <w14:ligatures w14:val="none"/>
          </w:rPr>
          <w:t>Sentencing Council’s definitive guideline for the sentencing of environmental offences</w:t>
        </w:r>
      </w:hyperlink>
      <w:r w:rsidRPr="004106B1">
        <w:rPr>
          <w:rFonts w:ascii="Arial" w:eastAsia="Times New Roman" w:hAnsi="Arial" w:cs="Arial"/>
          <w:color w:val="0B0C0C"/>
          <w:kern w:val="0"/>
          <w:sz w:val="24"/>
          <w:szCs w:val="24"/>
          <w:lang w:eastAsia="en-GB"/>
          <w14:ligatures w14:val="none"/>
        </w:rPr>
        <w:t> (referred to as the ‘guideline’). The guideline explains how a court should assess a suitable penalty for an environmental offence. It follows a stepped approach. It applies to individual offenders (aged 18 and over) and organisations. We use a similar stepped approach to calculate a variable monetary penalty.</w:t>
      </w:r>
    </w:p>
    <w:p w14:paraId="2A90D344"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We have adjusted the steps in the guideline so that they are appropriate for the calculation of Environment Act 2021 variable monetary penalties, as </w:t>
      </w:r>
      <w:proofErr w:type="gramStart"/>
      <w:r w:rsidRPr="004106B1">
        <w:rPr>
          <w:rFonts w:ascii="Arial" w:eastAsia="Times New Roman" w:hAnsi="Arial" w:cs="Arial"/>
          <w:color w:val="0B0C0C"/>
          <w:kern w:val="0"/>
          <w:sz w:val="24"/>
          <w:szCs w:val="24"/>
          <w:lang w:eastAsia="en-GB"/>
          <w14:ligatures w14:val="none"/>
        </w:rPr>
        <w:t>a number of</w:t>
      </w:r>
      <w:proofErr w:type="gramEnd"/>
      <w:r w:rsidRPr="004106B1">
        <w:rPr>
          <w:rFonts w:ascii="Arial" w:eastAsia="Times New Roman" w:hAnsi="Arial" w:cs="Arial"/>
          <w:color w:val="0B0C0C"/>
          <w:kern w:val="0"/>
          <w:sz w:val="24"/>
          <w:szCs w:val="24"/>
          <w:lang w:eastAsia="en-GB"/>
          <w14:ligatures w14:val="none"/>
        </w:rPr>
        <w:t xml:space="preserve"> the steps in the guideline are only relevant to criminal offences.</w:t>
      </w:r>
    </w:p>
    <w:p w14:paraId="11059BE4"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First, we determine both the:</w:t>
      </w:r>
    </w:p>
    <w:p w14:paraId="1F3A388C" w14:textId="77777777" w:rsidR="00770AF2" w:rsidRPr="004106B1" w:rsidRDefault="00770AF2" w:rsidP="00770AF2">
      <w:pPr>
        <w:numPr>
          <w:ilvl w:val="0"/>
          <w:numId w:val="3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lastRenderedPageBreak/>
        <w:t>breach category (step 1)</w:t>
      </w:r>
    </w:p>
    <w:p w14:paraId="1798079D" w14:textId="77777777" w:rsidR="00770AF2" w:rsidRPr="004106B1" w:rsidRDefault="00770AF2" w:rsidP="00770AF2">
      <w:pPr>
        <w:numPr>
          <w:ilvl w:val="0"/>
          <w:numId w:val="3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starting point and category range (step 2)</w:t>
      </w:r>
    </w:p>
    <w:p w14:paraId="3E68C0B7"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Then we consider whether there are any aggravating and mitigating factors which should result in the starting point penalty being adjusted up or down (as set out in step 3).   </w:t>
      </w:r>
    </w:p>
    <w:p w14:paraId="53B60C8A"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starting point for the most serious, deliberate offence by a large organisation is £1 million (within a range of between £450,000 to £3 million) – that is the top of the tariff scale.</w:t>
      </w:r>
    </w:p>
    <w:p w14:paraId="0A0BDEB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Under Environment Act 2021 civil sanctions, we may impose a variable monetary penalty up to an unlimited amount. We believe it is appropriate for us to consider the levels of penalties and guidance issued by the courts when they sentence environmental offences.</w:t>
      </w:r>
    </w:p>
    <w:p w14:paraId="046C6230"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may treat very large organisations under the guideline in a class of their own. This is in line with the guideline and how the courts deal with fines for very large organisations. An example of this is the judgment in the case </w:t>
      </w:r>
      <w:hyperlink r:id="rId13" w:history="1">
        <w:r w:rsidRPr="004106B1">
          <w:rPr>
            <w:rFonts w:ascii="Arial" w:eastAsia="Times New Roman" w:hAnsi="Arial" w:cs="Arial"/>
            <w:color w:val="1D70B8"/>
            <w:kern w:val="0"/>
            <w:sz w:val="24"/>
            <w:szCs w:val="24"/>
            <w:u w:val="single"/>
            <w:lang w:eastAsia="en-GB"/>
            <w14:ligatures w14:val="none"/>
          </w:rPr>
          <w:t>R v Thames Water Utilities Limited (2015) EWCA Crim 960</w:t>
        </w:r>
      </w:hyperlink>
      <w:r w:rsidRPr="004106B1">
        <w:rPr>
          <w:rFonts w:ascii="Arial" w:eastAsia="Times New Roman" w:hAnsi="Arial" w:cs="Arial"/>
          <w:color w:val="0B0C0C"/>
          <w:kern w:val="0"/>
          <w:sz w:val="24"/>
          <w:szCs w:val="24"/>
          <w:lang w:eastAsia="en-GB"/>
          <w14:ligatures w14:val="none"/>
        </w:rPr>
        <w:t> where the court held that applying a mechanistic increase or reduction is not considered helpful.</w:t>
      </w:r>
    </w:p>
    <w:p w14:paraId="4CFF6C08" w14:textId="77777777" w:rsidR="00770AF2" w:rsidRPr="004106B1" w:rsidRDefault="00770AF2" w:rsidP="00770AF2">
      <w:pPr>
        <w:shd w:val="clear" w:color="auto" w:fill="FFFFFF" w:themeFill="background1"/>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Some helpful guidance has been provided in the landmark case of R v Southern Water Services Limited in July 2021</w:t>
      </w:r>
      <w:r w:rsidRPr="004106B1">
        <w:rPr>
          <w:rFonts w:ascii="Arial" w:eastAsia="Times New Roman" w:hAnsi="Arial" w:cs="Arial"/>
          <w:color w:val="0B0C0C"/>
          <w:sz w:val="24"/>
          <w:szCs w:val="24"/>
          <w:lang w:eastAsia="en-GB"/>
        </w:rPr>
        <w:t>. We will consider the approach and guidance set out in these and other cases, particularly decisions of the Court of Appeal and the Supreme Court on sentencing very large organisations.</w:t>
      </w:r>
    </w:p>
    <w:p w14:paraId="7DE04944"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Step 1: determining the breach category</w:t>
      </w:r>
    </w:p>
    <w:p w14:paraId="2067B828"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use culpability (blame) and harm factors when we work out the category of breach.</w:t>
      </w:r>
    </w:p>
    <w:p w14:paraId="46109326"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Due to the nature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and DRS regimes, it is appropriate to rely on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regime or DRS regime when applying the categories of harm in the guideline: “interference with, prevention or undermining of other lawful activities or regulatory regime due to offence”. This is the approach we will take.</w:t>
      </w:r>
    </w:p>
    <w:p w14:paraId="04E9F0A0"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 xml:space="preserve">Applying categories of harm: the </w:t>
      </w:r>
      <w:proofErr w:type="spellStart"/>
      <w:r w:rsidRPr="004106B1">
        <w:rPr>
          <w:rFonts w:ascii="Arial" w:eastAsia="Times New Roman" w:hAnsi="Arial" w:cs="Arial"/>
          <w:b/>
          <w:bCs/>
          <w:color w:val="0B0C0C"/>
          <w:kern w:val="0"/>
          <w:sz w:val="24"/>
          <w:szCs w:val="24"/>
          <w:lang w:eastAsia="en-GB"/>
          <w14:ligatures w14:val="none"/>
        </w:rPr>
        <w:t>pEPR</w:t>
      </w:r>
      <w:proofErr w:type="spellEnd"/>
      <w:r w:rsidRPr="004106B1">
        <w:rPr>
          <w:rFonts w:ascii="Arial" w:eastAsia="Times New Roman" w:hAnsi="Arial" w:cs="Arial"/>
          <w:b/>
          <w:bCs/>
          <w:color w:val="0B0C0C"/>
          <w:kern w:val="0"/>
          <w:sz w:val="24"/>
          <w:szCs w:val="24"/>
          <w:lang w:eastAsia="en-GB"/>
          <w14:ligatures w14:val="none"/>
        </w:rPr>
        <w:t xml:space="preserve"> regime</w:t>
      </w:r>
    </w:p>
    <w:p w14:paraId="1DC0D91C"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There are 2 overriding objectives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regulatory regime – the trust in, transparency, reliability and effectiveness of both:</w:t>
      </w:r>
    </w:p>
    <w:p w14:paraId="0A55B661" w14:textId="77777777" w:rsidR="00770AF2" w:rsidRPr="004106B1" w:rsidRDefault="00770AF2" w:rsidP="00770AF2">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recycling obligation and   PRN and PERN evidence system</w:t>
      </w:r>
    </w:p>
    <w:p w14:paraId="15426B5A" w14:textId="77777777" w:rsidR="00770AF2" w:rsidRPr="004106B1" w:rsidRDefault="00770AF2" w:rsidP="00770AF2">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disposal fee and costs system</w:t>
      </w:r>
    </w:p>
    <w:p w14:paraId="301D1371"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Most obligations in the regulations relate to one or </w:t>
      </w:r>
      <w:proofErr w:type="gramStart"/>
      <w:r w:rsidRPr="004106B1">
        <w:rPr>
          <w:rFonts w:ascii="Arial" w:eastAsia="Times New Roman" w:hAnsi="Arial" w:cs="Arial"/>
          <w:color w:val="0B0C0C"/>
          <w:kern w:val="0"/>
          <w:sz w:val="24"/>
          <w:szCs w:val="24"/>
          <w:lang w:eastAsia="en-GB"/>
          <w14:ligatures w14:val="none"/>
        </w:rPr>
        <w:t>both of these</w:t>
      </w:r>
      <w:proofErr w:type="gramEnd"/>
      <w:r w:rsidRPr="004106B1">
        <w:rPr>
          <w:rFonts w:ascii="Arial" w:eastAsia="Times New Roman" w:hAnsi="Arial" w:cs="Arial"/>
          <w:color w:val="0B0C0C"/>
          <w:kern w:val="0"/>
          <w:sz w:val="24"/>
          <w:szCs w:val="24"/>
          <w:lang w:eastAsia="en-GB"/>
          <w14:ligatures w14:val="none"/>
        </w:rPr>
        <w:t xml:space="preserve"> systems. For example, producer registration and reporting of household packaging data relates to both. Some obligations relate to only one system, for example:</w:t>
      </w:r>
    </w:p>
    <w:p w14:paraId="667FB548" w14:textId="77777777" w:rsidR="00770AF2" w:rsidRPr="004106B1" w:rsidRDefault="00770AF2" w:rsidP="00770AF2">
      <w:pPr>
        <w:numPr>
          <w:ilvl w:val="0"/>
          <w:numId w:val="3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lastRenderedPageBreak/>
        <w:t xml:space="preserve">an accredited </w:t>
      </w:r>
      <w:proofErr w:type="spellStart"/>
      <w:r w:rsidRPr="004106B1">
        <w:rPr>
          <w:rFonts w:ascii="Arial" w:eastAsia="Times New Roman" w:hAnsi="Arial" w:cs="Arial"/>
          <w:color w:val="0B0C0C"/>
          <w:kern w:val="0"/>
          <w:sz w:val="24"/>
          <w:szCs w:val="24"/>
          <w:lang w:eastAsia="en-GB"/>
          <w14:ligatures w14:val="none"/>
        </w:rPr>
        <w:t>reprocessor’s</w:t>
      </w:r>
      <w:proofErr w:type="spellEnd"/>
      <w:r w:rsidRPr="004106B1">
        <w:rPr>
          <w:rFonts w:ascii="Arial" w:eastAsia="Times New Roman" w:hAnsi="Arial" w:cs="Arial"/>
          <w:color w:val="0B0C0C"/>
          <w:kern w:val="0"/>
          <w:sz w:val="24"/>
          <w:szCs w:val="24"/>
          <w:lang w:eastAsia="en-GB"/>
          <w14:ligatures w14:val="none"/>
        </w:rPr>
        <w:t xml:space="preserve"> requirement to issue PRNs in line with its accreditation conditions relates only to the recycling obligation and PRN system</w:t>
      </w:r>
    </w:p>
    <w:p w14:paraId="4C5A8630" w14:textId="77777777" w:rsidR="00770AF2" w:rsidRPr="004106B1" w:rsidRDefault="00770AF2" w:rsidP="00770AF2">
      <w:pPr>
        <w:numPr>
          <w:ilvl w:val="0"/>
          <w:numId w:val="3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 liable producer’s obligation to report its recyclability assessment relates only to the disposal fee and costs system</w:t>
      </w:r>
    </w:p>
    <w:p w14:paraId="47DAC304"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Some obligations have no relationship with either system, for example:</w:t>
      </w:r>
    </w:p>
    <w:p w14:paraId="2E7859A7" w14:textId="77777777" w:rsidR="00770AF2" w:rsidRPr="004106B1" w:rsidRDefault="00770AF2" w:rsidP="00770AF2">
      <w:pPr>
        <w:numPr>
          <w:ilvl w:val="0"/>
          <w:numId w:val="3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 producers’ obligation to report data on plastic or paper bags supplied in England</w:t>
      </w:r>
    </w:p>
    <w:p w14:paraId="5A143668" w14:textId="77777777" w:rsidR="00770AF2" w:rsidRPr="004106B1" w:rsidRDefault="00770AF2" w:rsidP="00770AF2">
      <w:pPr>
        <w:numPr>
          <w:ilvl w:val="0"/>
          <w:numId w:val="3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small producer obligations</w:t>
      </w:r>
    </w:p>
    <w:p w14:paraId="54780C58"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categorise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regime based on whether the obligation that has been breached impacts either system.</w:t>
      </w:r>
    </w:p>
    <w:p w14:paraId="1C7E80A2"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normally apply the categories of harm in the guideline as follows. A breach which impacts:</w:t>
      </w:r>
    </w:p>
    <w:p w14:paraId="3C199993" w14:textId="77777777" w:rsidR="00770AF2" w:rsidRPr="004106B1" w:rsidRDefault="00770AF2" w:rsidP="00770AF2">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both systems will be assessed as category 1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regime</w:t>
      </w:r>
    </w:p>
    <w:p w14:paraId="3D256442" w14:textId="77777777" w:rsidR="00770AF2" w:rsidRPr="004106B1" w:rsidRDefault="00770AF2" w:rsidP="00770AF2">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one of the systems will be assessed as category 2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regime</w:t>
      </w:r>
    </w:p>
    <w:p w14:paraId="5E84193B" w14:textId="77777777" w:rsidR="00770AF2" w:rsidRPr="004106B1" w:rsidRDefault="00770AF2" w:rsidP="00770AF2">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neither system will be assessed as category 3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regime</w:t>
      </w:r>
    </w:p>
    <w:p w14:paraId="0CC8E3CC"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There are a small number of breaches where the impact of the breach on either system is not clear cut. In those cases, we will determine the harm category of the breach on a case-by-case basis. We will do this by assessing whether the breach impacts </w:t>
      </w:r>
      <w:proofErr w:type="gramStart"/>
      <w:r w:rsidRPr="004106B1">
        <w:rPr>
          <w:rFonts w:ascii="Arial" w:eastAsia="Times New Roman" w:hAnsi="Arial" w:cs="Arial"/>
          <w:color w:val="0B0C0C"/>
          <w:kern w:val="0"/>
          <w:sz w:val="24"/>
          <w:szCs w:val="24"/>
          <w:lang w:eastAsia="en-GB"/>
          <w14:ligatures w14:val="none"/>
        </w:rPr>
        <w:t>either system</w:t>
      </w:r>
      <w:proofErr w:type="gramEnd"/>
      <w:r w:rsidRPr="004106B1">
        <w:rPr>
          <w:rFonts w:ascii="Arial" w:eastAsia="Times New Roman" w:hAnsi="Arial" w:cs="Arial"/>
          <w:color w:val="0B0C0C"/>
          <w:kern w:val="0"/>
          <w:sz w:val="24"/>
          <w:szCs w:val="24"/>
          <w:lang w:eastAsia="en-GB"/>
          <w14:ligatures w14:val="none"/>
        </w:rPr>
        <w:t xml:space="preserve"> on the facts of the specific case.</w:t>
      </w:r>
    </w:p>
    <w:p w14:paraId="11D7CA26"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also reserve the flexibility to regard a breach which impacts:</w:t>
      </w:r>
    </w:p>
    <w:p w14:paraId="1E72E0C2" w14:textId="77777777" w:rsidR="00770AF2" w:rsidRPr="004106B1" w:rsidRDefault="00770AF2" w:rsidP="00770AF2">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both systems as category 2 harm, if the facts of a particular case do not justify the approach of applying category 1 harm</w:t>
      </w:r>
    </w:p>
    <w:p w14:paraId="38253ADC" w14:textId="77777777" w:rsidR="00770AF2" w:rsidRPr="004106B1" w:rsidRDefault="00770AF2" w:rsidP="00770AF2">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one system as category 3 harm, if the facts of a particular case do not justify the approach of applying category 2 harm</w:t>
      </w:r>
    </w:p>
    <w:p w14:paraId="074FCF3C"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Because category 4 harm relates only to “risk of category 3 harm” in the guideline, we will not utilise category 4 when determining the category of harm to the integrity of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regime.</w:t>
      </w:r>
    </w:p>
    <w:p w14:paraId="1BCDE4F3"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Applying categories of harm: the DRS regime</w:t>
      </w:r>
    </w:p>
    <w:p w14:paraId="44D501F0" w14:textId="77777777" w:rsidR="00770AF2" w:rsidRPr="004106B1" w:rsidRDefault="00770AF2" w:rsidP="00770AF2">
      <w:pPr>
        <w:contextualSpacing/>
        <w:rPr>
          <w:rFonts w:ascii="Arial" w:hAnsi="Arial" w:cs="Arial"/>
          <w:sz w:val="24"/>
          <w:szCs w:val="24"/>
        </w:rPr>
      </w:pPr>
      <w:r w:rsidRPr="004106B1">
        <w:rPr>
          <w:rFonts w:ascii="Arial" w:hAnsi="Arial" w:cs="Arial"/>
          <w:sz w:val="24"/>
          <w:szCs w:val="24"/>
        </w:rPr>
        <w:t>There are two critical categories of obligations in the DRS regime – the trust in, transparency, reliability and effectiveness of:</w:t>
      </w:r>
      <w:r w:rsidRPr="004106B1">
        <w:rPr>
          <w:rFonts w:ascii="Arial" w:hAnsi="Arial" w:cs="Arial"/>
          <w:sz w:val="24"/>
          <w:szCs w:val="24"/>
        </w:rPr>
        <w:br/>
      </w:r>
    </w:p>
    <w:p w14:paraId="3AB82EDA" w14:textId="77777777" w:rsidR="00770AF2" w:rsidRPr="004106B1" w:rsidRDefault="00770AF2" w:rsidP="00770AF2">
      <w:pPr>
        <w:numPr>
          <w:ilvl w:val="1"/>
          <w:numId w:val="20"/>
        </w:numPr>
        <w:contextualSpacing/>
        <w:rPr>
          <w:rFonts w:ascii="Arial" w:hAnsi="Arial" w:cs="Arial"/>
          <w:sz w:val="24"/>
          <w:szCs w:val="24"/>
        </w:rPr>
      </w:pPr>
      <w:r w:rsidRPr="004106B1">
        <w:rPr>
          <w:rFonts w:ascii="Arial" w:hAnsi="Arial" w:cs="Arial"/>
          <w:sz w:val="24"/>
          <w:szCs w:val="24"/>
        </w:rPr>
        <w:t xml:space="preserve">the deposit management organisation’s compliance with its obligations including the conditions of its appointment, compliance with its </w:t>
      </w:r>
      <w:r w:rsidRPr="004106B1">
        <w:rPr>
          <w:rFonts w:ascii="Arial" w:hAnsi="Arial" w:cs="Arial"/>
          <w:sz w:val="24"/>
          <w:szCs w:val="24"/>
        </w:rPr>
        <w:lastRenderedPageBreak/>
        <w:t>operational plan, publication of the scheme logo, collection of drink containers, registration of producers, management of deposits, handling payments and achieving the collection targets</w:t>
      </w:r>
      <w:r w:rsidRPr="004106B1">
        <w:rPr>
          <w:rFonts w:ascii="Arial" w:hAnsi="Arial" w:cs="Arial"/>
        </w:rPr>
        <w:br/>
      </w:r>
    </w:p>
    <w:p w14:paraId="46EA32CB" w14:textId="77777777" w:rsidR="00770AF2" w:rsidRPr="004106B1" w:rsidRDefault="00770AF2" w:rsidP="00770AF2">
      <w:pPr>
        <w:pStyle w:val="ListParagraph"/>
        <w:numPr>
          <w:ilvl w:val="1"/>
          <w:numId w:val="20"/>
        </w:numPr>
        <w:rPr>
          <w:rFonts w:ascii="Arial" w:hAnsi="Arial" w:cs="Arial"/>
          <w:sz w:val="24"/>
          <w:szCs w:val="24"/>
        </w:rPr>
      </w:pPr>
      <w:r w:rsidRPr="004106B1">
        <w:rPr>
          <w:rFonts w:ascii="Arial" w:hAnsi="Arial" w:cs="Arial"/>
          <w:sz w:val="24"/>
          <w:szCs w:val="24"/>
        </w:rPr>
        <w:t>producers’, retailers’, suppliers’ and return point operators’ compliance with their obligations including registration with the deposit management organisation, submission of information relating to drink containers placed on the market and information relating to the operation of return points.</w:t>
      </w:r>
      <w:r w:rsidRPr="004106B1">
        <w:rPr>
          <w:rFonts w:ascii="Arial" w:hAnsi="Arial" w:cs="Arial"/>
          <w:sz w:val="24"/>
          <w:szCs w:val="24"/>
        </w:rPr>
        <w:br/>
      </w:r>
    </w:p>
    <w:p w14:paraId="21AB682B" w14:textId="77777777" w:rsidR="00770AF2" w:rsidRPr="004106B1" w:rsidRDefault="00770AF2" w:rsidP="00770AF2">
      <w:pPr>
        <w:rPr>
          <w:rFonts w:ascii="Arial" w:hAnsi="Arial" w:cs="Arial"/>
          <w:sz w:val="24"/>
          <w:szCs w:val="24"/>
        </w:rPr>
      </w:pPr>
      <w:r w:rsidRPr="004106B1">
        <w:rPr>
          <w:rFonts w:ascii="Arial" w:hAnsi="Arial" w:cs="Arial"/>
          <w:sz w:val="24"/>
          <w:szCs w:val="24"/>
        </w:rPr>
        <w:t xml:space="preserve">Most obligations under the DRS regime relate to one of these 2 categories.  </w:t>
      </w:r>
    </w:p>
    <w:p w14:paraId="47C80BF8" w14:textId="77777777" w:rsidR="00770AF2" w:rsidRPr="004106B1" w:rsidRDefault="00770AF2" w:rsidP="00770AF2">
      <w:pPr>
        <w:rPr>
          <w:rFonts w:ascii="Arial" w:hAnsi="Arial" w:cs="Arial"/>
          <w:sz w:val="24"/>
          <w:szCs w:val="24"/>
        </w:rPr>
      </w:pPr>
      <w:r w:rsidRPr="004106B1">
        <w:rPr>
          <w:rFonts w:ascii="Arial" w:hAnsi="Arial" w:cs="Arial"/>
          <w:sz w:val="24"/>
          <w:szCs w:val="24"/>
        </w:rPr>
        <w:t xml:space="preserve">It is crucial that the deposit management organisation meets its obligations in administering the scheme so that producers, suppliers, retailers and other return point operators </w:t>
      </w:r>
      <w:proofErr w:type="gramStart"/>
      <w:r w:rsidRPr="004106B1">
        <w:rPr>
          <w:rFonts w:ascii="Arial" w:hAnsi="Arial" w:cs="Arial"/>
          <w:sz w:val="24"/>
          <w:szCs w:val="24"/>
        </w:rPr>
        <w:t>are able to</w:t>
      </w:r>
      <w:proofErr w:type="gramEnd"/>
      <w:r w:rsidRPr="004106B1">
        <w:rPr>
          <w:rFonts w:ascii="Arial" w:hAnsi="Arial" w:cs="Arial"/>
          <w:sz w:val="24"/>
          <w:szCs w:val="24"/>
        </w:rPr>
        <w:t xml:space="preserve"> meet their obligations. The deposit management organisation is also required to meet the collection targets for returned drinks containers and if they are not met, this will discourage relevant producers, suppliers, retailers and other return point operators from complying with their obligations and undermine public confidence in the scheme.</w:t>
      </w:r>
    </w:p>
    <w:p w14:paraId="607FF478" w14:textId="77777777" w:rsidR="00770AF2" w:rsidRPr="004106B1" w:rsidRDefault="00770AF2" w:rsidP="00770AF2">
      <w:pPr>
        <w:rPr>
          <w:rFonts w:ascii="Arial" w:hAnsi="Arial" w:cs="Arial"/>
          <w:sz w:val="24"/>
          <w:szCs w:val="24"/>
        </w:rPr>
      </w:pPr>
      <w:r w:rsidRPr="004106B1">
        <w:rPr>
          <w:rFonts w:ascii="Arial" w:hAnsi="Arial" w:cs="Arial"/>
          <w:sz w:val="24"/>
          <w:szCs w:val="24"/>
        </w:rPr>
        <w:t xml:space="preserve">Individuals’ and businesses’ compliance with their obligations are also vital to the success of the scheme, to ensure that each party contributes fairly and lawfully to the scheme so that its effectiveness and operation is not undermined.  They are for example, required to only market deposit items which display the correct DRS logo and return codes, charge the deposit and submit accurate information to the deposit management organisation. </w:t>
      </w:r>
    </w:p>
    <w:p w14:paraId="27D29575" w14:textId="217089D4" w:rsidR="00770AF2" w:rsidRPr="004106B1" w:rsidRDefault="00770AF2" w:rsidP="00770AF2">
      <w:pPr>
        <w:rPr>
          <w:rFonts w:ascii="Arial" w:hAnsi="Arial" w:cs="Arial"/>
          <w:sz w:val="24"/>
          <w:szCs w:val="24"/>
        </w:rPr>
      </w:pPr>
      <w:r w:rsidRPr="004106B1">
        <w:rPr>
          <w:rFonts w:ascii="Arial" w:hAnsi="Arial" w:cs="Arial"/>
          <w:sz w:val="24"/>
          <w:szCs w:val="24"/>
        </w:rPr>
        <w:t xml:space="preserve">The acts or omissions of either the deposit management organisation or obligated individuals and businesses may impact the ability of the other  to meet their obligations.    We will categorise harm to the integrity of the DRS regime </w:t>
      </w:r>
      <w:proofErr w:type="gramStart"/>
      <w:r w:rsidRPr="004106B1">
        <w:rPr>
          <w:rFonts w:ascii="Arial" w:hAnsi="Arial" w:cs="Arial"/>
          <w:sz w:val="24"/>
          <w:szCs w:val="24"/>
        </w:rPr>
        <w:t>on the basis of</w:t>
      </w:r>
      <w:proofErr w:type="gramEnd"/>
      <w:r w:rsidRPr="004106B1">
        <w:rPr>
          <w:rFonts w:ascii="Arial" w:hAnsi="Arial" w:cs="Arial"/>
          <w:sz w:val="24"/>
          <w:szCs w:val="24"/>
        </w:rPr>
        <w:t xml:space="preserve"> whether the obligation that has been breached has undermined the ability of another obligated party to meet its obligations or it prevents or discourages recycling.</w:t>
      </w:r>
    </w:p>
    <w:p w14:paraId="54BC78A1" w14:textId="77777777" w:rsidR="00770AF2" w:rsidRPr="004106B1" w:rsidRDefault="00770AF2" w:rsidP="00770AF2">
      <w:pPr>
        <w:rPr>
          <w:rFonts w:ascii="Arial" w:hAnsi="Arial" w:cs="Arial"/>
          <w:sz w:val="24"/>
          <w:szCs w:val="24"/>
        </w:rPr>
      </w:pPr>
      <w:r w:rsidRPr="004106B1">
        <w:rPr>
          <w:rFonts w:ascii="Arial" w:hAnsi="Arial" w:cs="Arial"/>
          <w:sz w:val="24"/>
          <w:szCs w:val="24"/>
        </w:rPr>
        <w:t>We will normally apply the categories of harm in the guideline as follows:</w:t>
      </w:r>
    </w:p>
    <w:p w14:paraId="5D6C8B22" w14:textId="77777777" w:rsidR="00770AF2" w:rsidRPr="004106B1" w:rsidRDefault="00770AF2" w:rsidP="00770AF2">
      <w:pPr>
        <w:numPr>
          <w:ilvl w:val="0"/>
          <w:numId w:val="32"/>
        </w:numPr>
        <w:contextualSpacing/>
        <w:rPr>
          <w:rFonts w:ascii="Arial" w:hAnsi="Arial" w:cs="Arial"/>
          <w:sz w:val="24"/>
          <w:szCs w:val="24"/>
        </w:rPr>
      </w:pPr>
      <w:r w:rsidRPr="004106B1">
        <w:rPr>
          <w:rFonts w:ascii="Arial" w:hAnsi="Arial" w:cs="Arial"/>
          <w:sz w:val="24"/>
          <w:szCs w:val="24"/>
        </w:rPr>
        <w:t>A breach which has prevented or is more than likely to prevent another person from meeting its obligations will be assessed as category 1 harm to the integrity of the DRS regime</w:t>
      </w:r>
    </w:p>
    <w:p w14:paraId="28227E9B" w14:textId="77777777" w:rsidR="00770AF2" w:rsidRPr="004106B1" w:rsidRDefault="00770AF2" w:rsidP="00770AF2">
      <w:pPr>
        <w:ind w:left="720"/>
        <w:contextualSpacing/>
        <w:rPr>
          <w:rFonts w:ascii="Arial" w:hAnsi="Arial" w:cs="Arial"/>
          <w:sz w:val="24"/>
          <w:szCs w:val="24"/>
        </w:rPr>
      </w:pPr>
    </w:p>
    <w:p w14:paraId="4E5FBF53" w14:textId="77777777" w:rsidR="00770AF2" w:rsidRPr="004106B1" w:rsidRDefault="00770AF2" w:rsidP="00770AF2">
      <w:pPr>
        <w:numPr>
          <w:ilvl w:val="0"/>
          <w:numId w:val="32"/>
        </w:numPr>
        <w:contextualSpacing/>
        <w:rPr>
          <w:rFonts w:ascii="Arial" w:hAnsi="Arial" w:cs="Arial"/>
          <w:sz w:val="24"/>
          <w:szCs w:val="24"/>
        </w:rPr>
      </w:pPr>
      <w:r w:rsidRPr="004106B1">
        <w:rPr>
          <w:rFonts w:ascii="Arial" w:hAnsi="Arial" w:cs="Arial"/>
          <w:sz w:val="24"/>
          <w:szCs w:val="24"/>
        </w:rPr>
        <w:t>A breach which if allowed to continue is likely to deter another person from meeting its obligations or which has significantly prejudiced another person will be assessed as category 2 harm to the integrity of the DRS regime</w:t>
      </w:r>
      <w:r w:rsidRPr="004106B1">
        <w:rPr>
          <w:rFonts w:ascii="Arial" w:hAnsi="Arial" w:cs="Arial"/>
          <w:sz w:val="24"/>
          <w:szCs w:val="24"/>
        </w:rPr>
        <w:br/>
      </w:r>
    </w:p>
    <w:p w14:paraId="4A3BA3C6" w14:textId="77777777" w:rsidR="00770AF2" w:rsidRPr="004106B1" w:rsidRDefault="00770AF2" w:rsidP="00770AF2">
      <w:pPr>
        <w:numPr>
          <w:ilvl w:val="0"/>
          <w:numId w:val="32"/>
        </w:numPr>
        <w:contextualSpacing/>
        <w:rPr>
          <w:rFonts w:ascii="Arial" w:hAnsi="Arial" w:cs="Arial"/>
          <w:b/>
          <w:bCs/>
          <w:color w:val="000000"/>
        </w:rPr>
      </w:pPr>
      <w:r w:rsidRPr="004106B1">
        <w:rPr>
          <w:rFonts w:ascii="Arial" w:hAnsi="Arial" w:cs="Arial"/>
          <w:sz w:val="24"/>
          <w:szCs w:val="24"/>
        </w:rPr>
        <w:t>A breach which does not impact the ability of another person to comply with its obligations will be assessed as category 3 harm to the integrity of the DRS regime</w:t>
      </w:r>
    </w:p>
    <w:p w14:paraId="6D06CDDA" w14:textId="77777777" w:rsidR="00770AF2" w:rsidRPr="004106B1" w:rsidRDefault="00770AF2" w:rsidP="00770AF2">
      <w:pPr>
        <w:rPr>
          <w:rFonts w:ascii="Arial" w:hAnsi="Arial" w:cs="Arial"/>
          <w:kern w:val="0"/>
          <w:sz w:val="24"/>
          <w:szCs w:val="24"/>
          <w14:ligatures w14:val="none"/>
        </w:rPr>
      </w:pPr>
    </w:p>
    <w:p w14:paraId="391405C1" w14:textId="54892987" w:rsidR="00770AF2" w:rsidRPr="004106B1" w:rsidRDefault="00770AF2" w:rsidP="00770AF2">
      <w:pPr>
        <w:rPr>
          <w:rFonts w:ascii="Arial" w:hAnsi="Arial" w:cs="Arial"/>
          <w:kern w:val="0"/>
          <w:sz w:val="24"/>
          <w:szCs w:val="24"/>
          <w14:ligatures w14:val="none"/>
        </w:rPr>
      </w:pPr>
      <w:r w:rsidRPr="004106B1">
        <w:rPr>
          <w:rFonts w:ascii="Arial" w:hAnsi="Arial" w:cs="Arial"/>
          <w:kern w:val="0"/>
          <w:sz w:val="24"/>
          <w:szCs w:val="24"/>
          <w14:ligatures w14:val="none"/>
        </w:rPr>
        <w:lastRenderedPageBreak/>
        <w:t xml:space="preserve">An example of a breach falling within category 1 harm would arise if the deposit management organisation </w:t>
      </w:r>
      <w:r w:rsidR="00607854">
        <w:rPr>
          <w:rFonts w:ascii="Arial" w:hAnsi="Arial" w:cs="Arial"/>
          <w:kern w:val="0"/>
          <w:sz w:val="24"/>
          <w:szCs w:val="24"/>
          <w14:ligatures w14:val="none"/>
        </w:rPr>
        <w:t>revise</w:t>
      </w:r>
      <w:r w:rsidR="00B907D9">
        <w:rPr>
          <w:rFonts w:ascii="Arial" w:hAnsi="Arial" w:cs="Arial"/>
          <w:kern w:val="0"/>
          <w:sz w:val="24"/>
          <w:szCs w:val="24"/>
          <w14:ligatures w14:val="none"/>
        </w:rPr>
        <w:t>d</w:t>
      </w:r>
      <w:r w:rsidR="00607854">
        <w:rPr>
          <w:rFonts w:ascii="Arial" w:hAnsi="Arial" w:cs="Arial"/>
          <w:kern w:val="0"/>
          <w:sz w:val="24"/>
          <w:szCs w:val="24"/>
          <w14:ligatures w14:val="none"/>
        </w:rPr>
        <w:t xml:space="preserve"> the </w:t>
      </w:r>
      <w:r w:rsidR="002B12A4">
        <w:rPr>
          <w:rFonts w:ascii="Arial" w:hAnsi="Arial" w:cs="Arial"/>
          <w:kern w:val="0"/>
          <w:sz w:val="24"/>
          <w:szCs w:val="24"/>
          <w14:ligatures w14:val="none"/>
        </w:rPr>
        <w:t>scheme</w:t>
      </w:r>
      <w:r w:rsidRPr="004106B1">
        <w:rPr>
          <w:rFonts w:ascii="Arial" w:hAnsi="Arial" w:cs="Arial"/>
          <w:kern w:val="0"/>
          <w:sz w:val="24"/>
          <w:szCs w:val="24"/>
          <w14:ligatures w14:val="none"/>
        </w:rPr>
        <w:t xml:space="preserve"> logo without giving producers sufficient time to enable them to ensure that the logo is carried on each deposit item </w:t>
      </w:r>
      <w:r w:rsidR="00E179F2">
        <w:rPr>
          <w:rFonts w:ascii="Arial" w:hAnsi="Arial" w:cs="Arial"/>
          <w:kern w:val="0"/>
          <w:sz w:val="24"/>
          <w:szCs w:val="24"/>
          <w14:ligatures w14:val="none"/>
        </w:rPr>
        <w:t xml:space="preserve">in accordance with </w:t>
      </w:r>
      <w:r w:rsidR="00D902E9">
        <w:rPr>
          <w:rFonts w:ascii="Arial" w:hAnsi="Arial" w:cs="Arial"/>
          <w:kern w:val="0"/>
          <w:sz w:val="24"/>
          <w:szCs w:val="24"/>
          <w14:ligatures w14:val="none"/>
        </w:rPr>
        <w:t>their</w:t>
      </w:r>
      <w:r w:rsidR="00E179F2">
        <w:rPr>
          <w:rFonts w:ascii="Arial" w:hAnsi="Arial" w:cs="Arial"/>
          <w:kern w:val="0"/>
          <w:sz w:val="24"/>
          <w:szCs w:val="24"/>
          <w14:ligatures w14:val="none"/>
        </w:rPr>
        <w:t xml:space="preserve"> labelling </w:t>
      </w:r>
      <w:r w:rsidRPr="004106B1">
        <w:rPr>
          <w:rFonts w:ascii="Arial" w:hAnsi="Arial" w:cs="Arial"/>
          <w:kern w:val="0"/>
          <w:sz w:val="24"/>
          <w:szCs w:val="24"/>
          <w14:ligatures w14:val="none"/>
        </w:rPr>
        <w:t>obligation</w:t>
      </w:r>
      <w:r w:rsidR="00E179F2">
        <w:rPr>
          <w:rFonts w:ascii="Arial" w:hAnsi="Arial" w:cs="Arial"/>
          <w:kern w:val="0"/>
          <w:sz w:val="24"/>
          <w:szCs w:val="24"/>
          <w14:ligatures w14:val="none"/>
        </w:rPr>
        <w:t>.</w:t>
      </w:r>
      <w:r w:rsidRPr="004106B1">
        <w:rPr>
          <w:rFonts w:ascii="Arial" w:hAnsi="Arial" w:cs="Arial"/>
          <w:kern w:val="0"/>
          <w:sz w:val="24"/>
          <w:szCs w:val="24"/>
          <w14:ligatures w14:val="none"/>
        </w:rPr>
        <w:t xml:space="preserve"> </w:t>
      </w:r>
    </w:p>
    <w:p w14:paraId="502D83C5" w14:textId="77777777" w:rsidR="00770AF2" w:rsidRPr="004106B1" w:rsidRDefault="00770AF2" w:rsidP="00770AF2">
      <w:pPr>
        <w:rPr>
          <w:rFonts w:ascii="Arial" w:hAnsi="Arial" w:cs="Arial"/>
          <w:kern w:val="0"/>
          <w:sz w:val="24"/>
          <w:szCs w:val="24"/>
          <w14:ligatures w14:val="none"/>
        </w:rPr>
      </w:pPr>
      <w:r w:rsidRPr="004106B1">
        <w:rPr>
          <w:rFonts w:ascii="Arial" w:hAnsi="Arial" w:cs="Arial"/>
          <w:kern w:val="0"/>
          <w:sz w:val="24"/>
          <w:szCs w:val="24"/>
          <w14:ligatures w14:val="none"/>
        </w:rPr>
        <w:t>An example of a breach falling within category 2 harm would arise if a producer or supplier provided false information with the effect that the producer or supplier failed to comply with its obligation(s).</w:t>
      </w:r>
    </w:p>
    <w:p w14:paraId="7D25016B" w14:textId="6F2C6CDF" w:rsidR="00770AF2" w:rsidRPr="004106B1" w:rsidRDefault="00027C1C" w:rsidP="00770AF2">
      <w:pPr>
        <w:rPr>
          <w:rFonts w:ascii="Arial" w:hAnsi="Arial" w:cs="Arial"/>
          <w:kern w:val="0"/>
          <w:sz w:val="24"/>
          <w:szCs w:val="24"/>
          <w14:ligatures w14:val="none"/>
        </w:rPr>
      </w:pPr>
      <w:r>
        <w:rPr>
          <w:rFonts w:ascii="Arial" w:hAnsi="Arial" w:cs="Arial"/>
          <w:kern w:val="0"/>
          <w:sz w:val="24"/>
          <w:szCs w:val="24"/>
          <w14:ligatures w14:val="none"/>
        </w:rPr>
        <w:t xml:space="preserve">Our initial assessment </w:t>
      </w:r>
      <w:r w:rsidR="00937E95">
        <w:rPr>
          <w:rFonts w:ascii="Arial" w:hAnsi="Arial" w:cs="Arial"/>
          <w:kern w:val="0"/>
          <w:sz w:val="24"/>
          <w:szCs w:val="24"/>
          <w14:ligatures w14:val="none"/>
        </w:rPr>
        <w:t xml:space="preserve">is that during the </w:t>
      </w:r>
      <w:r w:rsidR="00695938">
        <w:rPr>
          <w:rFonts w:ascii="Arial" w:hAnsi="Arial" w:cs="Arial"/>
          <w:kern w:val="0"/>
          <w:sz w:val="24"/>
          <w:szCs w:val="24"/>
          <w14:ligatures w14:val="none"/>
        </w:rPr>
        <w:t>early</w:t>
      </w:r>
      <w:r w:rsidR="00C94F18">
        <w:rPr>
          <w:rFonts w:ascii="Arial" w:hAnsi="Arial" w:cs="Arial"/>
          <w:kern w:val="0"/>
          <w:sz w:val="24"/>
          <w:szCs w:val="24"/>
          <w14:ligatures w14:val="none"/>
        </w:rPr>
        <w:t xml:space="preserve"> stages</w:t>
      </w:r>
      <w:r w:rsidR="00937E95">
        <w:rPr>
          <w:rFonts w:ascii="Arial" w:hAnsi="Arial" w:cs="Arial"/>
          <w:kern w:val="0"/>
          <w:sz w:val="24"/>
          <w:szCs w:val="24"/>
          <w14:ligatures w14:val="none"/>
        </w:rPr>
        <w:t xml:space="preserve"> of the operation of DRS</w:t>
      </w:r>
      <w:r w:rsidR="0091533C">
        <w:rPr>
          <w:rFonts w:ascii="Arial" w:hAnsi="Arial" w:cs="Arial"/>
          <w:kern w:val="0"/>
          <w:sz w:val="24"/>
          <w:szCs w:val="24"/>
          <w14:ligatures w14:val="none"/>
        </w:rPr>
        <w:t xml:space="preserve"> </w:t>
      </w:r>
      <w:r w:rsidR="00770AF2" w:rsidRPr="004106B1">
        <w:rPr>
          <w:rFonts w:ascii="Arial" w:hAnsi="Arial" w:cs="Arial"/>
          <w:kern w:val="0"/>
          <w:sz w:val="24"/>
          <w:szCs w:val="24"/>
          <w14:ligatures w14:val="none"/>
        </w:rPr>
        <w:t>most breaches</w:t>
      </w:r>
      <w:r w:rsidR="001A73A5">
        <w:rPr>
          <w:rFonts w:ascii="Arial" w:hAnsi="Arial" w:cs="Arial"/>
          <w:kern w:val="0"/>
          <w:sz w:val="24"/>
          <w:szCs w:val="24"/>
          <w14:ligatures w14:val="none"/>
        </w:rPr>
        <w:t xml:space="preserve"> are likely to</w:t>
      </w:r>
      <w:r w:rsidR="0091533C">
        <w:rPr>
          <w:rFonts w:ascii="Arial" w:hAnsi="Arial" w:cs="Arial"/>
          <w:kern w:val="0"/>
          <w:sz w:val="24"/>
          <w:szCs w:val="24"/>
          <w14:ligatures w14:val="none"/>
        </w:rPr>
        <w:t xml:space="preserve"> </w:t>
      </w:r>
      <w:r w:rsidR="00770AF2" w:rsidRPr="004106B1">
        <w:rPr>
          <w:rFonts w:ascii="Arial" w:hAnsi="Arial" w:cs="Arial"/>
          <w:kern w:val="0"/>
          <w:sz w:val="24"/>
          <w:szCs w:val="24"/>
          <w14:ligatures w14:val="none"/>
        </w:rPr>
        <w:t>fall within category 3 harm.</w:t>
      </w:r>
      <w:r w:rsidR="0091533C">
        <w:rPr>
          <w:rFonts w:ascii="Arial" w:hAnsi="Arial" w:cs="Arial"/>
          <w:kern w:val="0"/>
          <w:sz w:val="24"/>
          <w:szCs w:val="24"/>
          <w14:ligatures w14:val="none"/>
        </w:rPr>
        <w:t xml:space="preserve"> </w:t>
      </w:r>
      <w:r w:rsidR="00734D26">
        <w:rPr>
          <w:rFonts w:ascii="Arial" w:hAnsi="Arial" w:cs="Arial"/>
          <w:kern w:val="0"/>
          <w:sz w:val="24"/>
          <w:szCs w:val="24"/>
          <w14:ligatures w14:val="none"/>
        </w:rPr>
        <w:t xml:space="preserve">For </w:t>
      </w:r>
      <w:r w:rsidR="00645523">
        <w:rPr>
          <w:rFonts w:ascii="Arial" w:hAnsi="Arial" w:cs="Arial"/>
          <w:kern w:val="0"/>
          <w:sz w:val="24"/>
          <w:szCs w:val="24"/>
          <w14:ligatures w14:val="none"/>
        </w:rPr>
        <w:t>example,</w:t>
      </w:r>
      <w:r w:rsidR="00734D26">
        <w:rPr>
          <w:rFonts w:ascii="Arial" w:hAnsi="Arial" w:cs="Arial"/>
          <w:kern w:val="0"/>
          <w:sz w:val="24"/>
          <w:szCs w:val="24"/>
          <w14:ligatures w14:val="none"/>
        </w:rPr>
        <w:t xml:space="preserve"> the breach may prevent </w:t>
      </w:r>
      <w:r w:rsidR="00DD700E">
        <w:rPr>
          <w:rFonts w:ascii="Arial" w:hAnsi="Arial" w:cs="Arial"/>
          <w:kern w:val="0"/>
          <w:sz w:val="24"/>
          <w:szCs w:val="24"/>
          <w14:ligatures w14:val="none"/>
        </w:rPr>
        <w:t>or discourage consumers from recycling deposit items.</w:t>
      </w:r>
      <w:r w:rsidR="00930DA7">
        <w:rPr>
          <w:rFonts w:ascii="Arial" w:hAnsi="Arial" w:cs="Arial"/>
          <w:kern w:val="0"/>
          <w:sz w:val="24"/>
          <w:szCs w:val="24"/>
          <w14:ligatures w14:val="none"/>
        </w:rPr>
        <w:t xml:space="preserve"> </w:t>
      </w:r>
      <w:r w:rsidR="0091533C">
        <w:rPr>
          <w:rFonts w:ascii="Arial" w:hAnsi="Arial" w:cs="Arial"/>
          <w:kern w:val="0"/>
          <w:sz w:val="24"/>
          <w:szCs w:val="24"/>
          <w14:ligatures w14:val="none"/>
        </w:rPr>
        <w:t>This</w:t>
      </w:r>
      <w:r w:rsidR="00930DA7">
        <w:rPr>
          <w:rFonts w:ascii="Arial" w:hAnsi="Arial" w:cs="Arial"/>
          <w:kern w:val="0"/>
          <w:sz w:val="24"/>
          <w:szCs w:val="24"/>
          <w14:ligatures w14:val="none"/>
        </w:rPr>
        <w:t xml:space="preserve"> assessment</w:t>
      </w:r>
      <w:r w:rsidR="0091533C">
        <w:rPr>
          <w:rFonts w:ascii="Arial" w:hAnsi="Arial" w:cs="Arial"/>
          <w:kern w:val="0"/>
          <w:sz w:val="24"/>
          <w:szCs w:val="24"/>
          <w14:ligatures w14:val="none"/>
        </w:rPr>
        <w:t xml:space="preserve"> will be kept under review so as not to undermine the integrity of the </w:t>
      </w:r>
      <w:r w:rsidR="00A33A3D">
        <w:rPr>
          <w:rFonts w:ascii="Arial" w:hAnsi="Arial" w:cs="Arial"/>
          <w:kern w:val="0"/>
          <w:sz w:val="24"/>
          <w:szCs w:val="24"/>
          <w14:ligatures w14:val="none"/>
        </w:rPr>
        <w:t xml:space="preserve">DRS </w:t>
      </w:r>
      <w:r w:rsidR="00C04ACD">
        <w:rPr>
          <w:rFonts w:ascii="Arial" w:hAnsi="Arial" w:cs="Arial"/>
          <w:kern w:val="0"/>
          <w:sz w:val="24"/>
          <w:szCs w:val="24"/>
          <w14:ligatures w14:val="none"/>
        </w:rPr>
        <w:t>regime</w:t>
      </w:r>
      <w:r w:rsidR="00643117">
        <w:rPr>
          <w:rFonts w:ascii="Arial" w:hAnsi="Arial" w:cs="Arial"/>
          <w:kern w:val="0"/>
          <w:sz w:val="24"/>
          <w:szCs w:val="24"/>
          <w14:ligatures w14:val="none"/>
        </w:rPr>
        <w:t>.</w:t>
      </w:r>
      <w:r w:rsidR="00770AF2" w:rsidRPr="004106B1">
        <w:rPr>
          <w:rFonts w:ascii="Arial" w:hAnsi="Arial" w:cs="Arial"/>
          <w:kern w:val="0"/>
          <w:sz w:val="24"/>
          <w:szCs w:val="24"/>
          <w14:ligatures w14:val="none"/>
        </w:rPr>
        <w:t xml:space="preserve">  </w:t>
      </w:r>
    </w:p>
    <w:p w14:paraId="0FB45272" w14:textId="77777777" w:rsidR="00770AF2" w:rsidRPr="004106B1" w:rsidRDefault="00770AF2" w:rsidP="00770AF2">
      <w:pPr>
        <w:rPr>
          <w:rFonts w:ascii="Arial" w:hAnsi="Arial" w:cs="Arial"/>
          <w:kern w:val="0"/>
          <w:sz w:val="24"/>
          <w:szCs w:val="24"/>
          <w14:ligatures w14:val="none"/>
        </w:rPr>
      </w:pPr>
      <w:r w:rsidRPr="004106B1">
        <w:rPr>
          <w:rFonts w:ascii="Arial" w:hAnsi="Arial" w:cs="Arial"/>
          <w:kern w:val="0"/>
          <w:sz w:val="24"/>
          <w:szCs w:val="24"/>
          <w14:ligatures w14:val="none"/>
        </w:rPr>
        <w:t xml:space="preserve">We will reserve the flexibility to determine the harm category of the breach on a case-by-case basis by assessing the impact of the breach on the facts of the specific case. </w:t>
      </w:r>
    </w:p>
    <w:p w14:paraId="13CB9A89" w14:textId="77777777" w:rsidR="00770AF2" w:rsidRPr="004106B1" w:rsidRDefault="00770AF2" w:rsidP="00770AF2">
      <w:pPr>
        <w:rPr>
          <w:rFonts w:ascii="Arial" w:hAnsi="Arial" w:cs="Arial"/>
          <w:color w:val="000000"/>
          <w:sz w:val="24"/>
          <w:szCs w:val="24"/>
        </w:rPr>
      </w:pPr>
      <w:r w:rsidRPr="004106B1">
        <w:rPr>
          <w:rFonts w:ascii="Arial" w:hAnsi="Arial" w:cs="Arial"/>
          <w:color w:val="000000"/>
          <w:sz w:val="24"/>
          <w:szCs w:val="24"/>
        </w:rPr>
        <w:t>Because category 4 harm relates only to “</w:t>
      </w:r>
      <w:r w:rsidRPr="004106B1">
        <w:rPr>
          <w:rFonts w:ascii="Arial" w:hAnsi="Arial" w:cs="Arial"/>
          <w:i/>
          <w:iCs/>
          <w:color w:val="000000"/>
          <w:sz w:val="24"/>
          <w:szCs w:val="24"/>
        </w:rPr>
        <w:t>risk of category 3 harm</w:t>
      </w:r>
      <w:r w:rsidRPr="004106B1">
        <w:rPr>
          <w:rFonts w:ascii="Arial" w:hAnsi="Arial" w:cs="Arial"/>
          <w:color w:val="000000"/>
          <w:sz w:val="24"/>
          <w:szCs w:val="24"/>
        </w:rPr>
        <w:t>” in the guideline, we will not utilise category 4 when determining the category of harm to the integrity of the DRS regime.</w:t>
      </w:r>
    </w:p>
    <w:p w14:paraId="04F43950" w14:textId="77777777" w:rsidR="00770AF2" w:rsidRPr="004106B1" w:rsidRDefault="00770AF2" w:rsidP="00770AF2">
      <w:pPr>
        <w:rPr>
          <w:rFonts w:ascii="Arial" w:eastAsia="Times New Roman" w:hAnsi="Arial" w:cs="Arial"/>
          <w:b/>
          <w:bCs/>
          <w:color w:val="0B0C0C"/>
          <w:kern w:val="0"/>
          <w:sz w:val="24"/>
          <w:szCs w:val="24"/>
          <w:lang w:eastAsia="en-GB"/>
          <w14:ligatures w14:val="none"/>
        </w:rPr>
      </w:pPr>
      <w:r w:rsidRPr="004106B1">
        <w:rPr>
          <w:rFonts w:ascii="Arial" w:hAnsi="Arial" w:cs="Arial"/>
          <w:b/>
          <w:bCs/>
          <w:color w:val="000000"/>
          <w:sz w:val="24"/>
          <w:szCs w:val="24"/>
        </w:rPr>
        <w:t>Culpability</w:t>
      </w:r>
    </w:p>
    <w:p w14:paraId="284766BD"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In relation to both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and DRS we will use the definitions in the guideline to assess culpability. Together the culpability and harm factors indicate how serious the breach is. We will use the result to identify our starting point and category range when we assess the appropriate penalty.</w:t>
      </w:r>
    </w:p>
    <w:p w14:paraId="563D2EBC"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Step 2: starting point and category range</w:t>
      </w:r>
    </w:p>
    <w:p w14:paraId="0436C67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When we calculate a variable monetary penalty we will assess the size of the organisation, by turnover or equivalent. If the non-compliant person is an individual, we will assess turnover or income, whichever is appropriate.</w:t>
      </w:r>
    </w:p>
    <w:p w14:paraId="44690A8A"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By the end of step 2 we will have identified our starting point and category range.</w:t>
      </w:r>
    </w:p>
    <w:p w14:paraId="0CC63045" w14:textId="77777777" w:rsidR="00770AF2" w:rsidRPr="004106B1" w:rsidRDefault="00770AF2" w:rsidP="00770AF2">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4106B1">
        <w:rPr>
          <w:rFonts w:ascii="Arial" w:eastAsia="Times New Roman" w:hAnsi="Arial" w:cs="Arial"/>
          <w:b/>
          <w:bCs/>
          <w:color w:val="0B0C0C"/>
          <w:kern w:val="0"/>
          <w:sz w:val="27"/>
          <w:szCs w:val="27"/>
          <w:lang w:eastAsia="en-GB"/>
          <w14:ligatures w14:val="none"/>
        </w:rPr>
        <w:t>Step 3: set the final penalty amount</w:t>
      </w:r>
    </w:p>
    <w:p w14:paraId="2A367C44"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In step 3 we may adjust the penalty from the starting point within the penalty range. We do this by assessing the following aggravating and mitigating factors, to ensure the penalty </w:t>
      </w:r>
      <w:proofErr w:type="gramStart"/>
      <w:r w:rsidRPr="004106B1">
        <w:rPr>
          <w:rFonts w:ascii="Arial" w:eastAsia="Times New Roman" w:hAnsi="Arial" w:cs="Arial"/>
          <w:color w:val="0B0C0C"/>
          <w:kern w:val="0"/>
          <w:sz w:val="24"/>
          <w:szCs w:val="24"/>
          <w:lang w:eastAsia="en-GB"/>
          <w14:ligatures w14:val="none"/>
        </w:rPr>
        <w:t>as a whole is</w:t>
      </w:r>
      <w:proofErr w:type="gramEnd"/>
      <w:r w:rsidRPr="004106B1">
        <w:rPr>
          <w:rFonts w:ascii="Arial" w:eastAsia="Times New Roman" w:hAnsi="Arial" w:cs="Arial"/>
          <w:color w:val="0B0C0C"/>
          <w:kern w:val="0"/>
          <w:sz w:val="24"/>
          <w:szCs w:val="24"/>
          <w:lang w:eastAsia="en-GB"/>
          <w14:ligatures w14:val="none"/>
        </w:rPr>
        <w:t xml:space="preserve"> fair and proportionate.</w:t>
      </w:r>
    </w:p>
    <w:p w14:paraId="074A1532"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These are the factors we will assess:</w:t>
      </w:r>
    </w:p>
    <w:p w14:paraId="401BE67F" w14:textId="77777777" w:rsidR="00770AF2" w:rsidRPr="004106B1" w:rsidRDefault="00770AF2" w:rsidP="00770AF2">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financial gain – </w:t>
      </w:r>
      <w:proofErr w:type="gramStart"/>
      <w:r w:rsidRPr="004106B1">
        <w:rPr>
          <w:rFonts w:ascii="Arial" w:eastAsia="Times New Roman" w:hAnsi="Arial" w:cs="Arial"/>
          <w:color w:val="0B0C0C"/>
          <w:kern w:val="0"/>
          <w:sz w:val="24"/>
          <w:szCs w:val="24"/>
          <w:lang w:eastAsia="en-GB"/>
          <w14:ligatures w14:val="none"/>
        </w:rPr>
        <w:t>whether or not</w:t>
      </w:r>
      <w:proofErr w:type="gramEnd"/>
      <w:r w:rsidRPr="004106B1">
        <w:rPr>
          <w:rFonts w:ascii="Arial" w:eastAsia="Times New Roman" w:hAnsi="Arial" w:cs="Arial"/>
          <w:color w:val="0B0C0C"/>
          <w:kern w:val="0"/>
          <w:sz w:val="24"/>
          <w:szCs w:val="24"/>
          <w:lang w:eastAsia="en-GB"/>
          <w14:ligatures w14:val="none"/>
        </w:rPr>
        <w:t xml:space="preserve"> a profit has been made or costs avoided </w:t>
      </w:r>
      <w:proofErr w:type="gramStart"/>
      <w:r w:rsidRPr="004106B1">
        <w:rPr>
          <w:rFonts w:ascii="Arial" w:eastAsia="Times New Roman" w:hAnsi="Arial" w:cs="Arial"/>
          <w:color w:val="0B0C0C"/>
          <w:kern w:val="0"/>
          <w:sz w:val="24"/>
          <w:szCs w:val="24"/>
          <w:lang w:eastAsia="en-GB"/>
          <w14:ligatures w14:val="none"/>
        </w:rPr>
        <w:t>as a result of</w:t>
      </w:r>
      <w:proofErr w:type="gramEnd"/>
      <w:r w:rsidRPr="004106B1">
        <w:rPr>
          <w:rFonts w:ascii="Arial" w:eastAsia="Times New Roman" w:hAnsi="Arial" w:cs="Arial"/>
          <w:color w:val="0B0C0C"/>
          <w:kern w:val="0"/>
          <w:sz w:val="24"/>
          <w:szCs w:val="24"/>
          <w:lang w:eastAsia="en-GB"/>
          <w14:ligatures w14:val="none"/>
        </w:rPr>
        <w:t xml:space="preserve"> the breach</w:t>
      </w:r>
    </w:p>
    <w:p w14:paraId="09666CFB" w14:textId="77777777" w:rsidR="00770AF2" w:rsidRPr="004106B1" w:rsidRDefault="00770AF2" w:rsidP="00770AF2">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history of non-compliance – includes the number, nature and time elapsed since the previous non-compliance</w:t>
      </w:r>
    </w:p>
    <w:p w14:paraId="396FA0AA" w14:textId="77777777" w:rsidR="00770AF2" w:rsidRPr="004106B1" w:rsidRDefault="00770AF2" w:rsidP="00770AF2">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lastRenderedPageBreak/>
        <w:t>attitude of the non-compliant person – the person’s reaction, including co-operation, self-reporting, acceptance of responsibility, exemplary conduct and steps taken to remedy the problem</w:t>
      </w:r>
    </w:p>
    <w:p w14:paraId="0A737E8A" w14:textId="77777777" w:rsidR="00770AF2" w:rsidRPr="004106B1" w:rsidRDefault="00770AF2" w:rsidP="00770AF2">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personal circumstances – including financial circumstances (such as profit relative to turnover), economic impact and ability to pay (only if sufficient evidence is provided); </w:t>
      </w:r>
      <w:proofErr w:type="gramStart"/>
      <w:r w:rsidRPr="004106B1">
        <w:rPr>
          <w:rFonts w:ascii="Arial" w:eastAsia="Times New Roman" w:hAnsi="Arial" w:cs="Arial"/>
          <w:color w:val="0B0C0C"/>
          <w:kern w:val="0"/>
          <w:sz w:val="24"/>
          <w:szCs w:val="24"/>
          <w:lang w:eastAsia="en-GB"/>
          <w14:ligatures w14:val="none"/>
        </w:rPr>
        <w:t>also</w:t>
      </w:r>
      <w:proofErr w:type="gramEnd"/>
      <w:r w:rsidRPr="004106B1">
        <w:rPr>
          <w:rFonts w:ascii="Arial" w:eastAsia="Times New Roman" w:hAnsi="Arial" w:cs="Arial"/>
          <w:color w:val="0B0C0C"/>
          <w:kern w:val="0"/>
          <w:sz w:val="24"/>
          <w:szCs w:val="24"/>
          <w:lang w:eastAsia="en-GB"/>
          <w14:ligatures w14:val="none"/>
        </w:rPr>
        <w:t xml:space="preserve"> for a public body whether the proposed penalty would have a significant impact on the provision of its service (only if sufficient evidence is provided)</w:t>
      </w:r>
    </w:p>
    <w:p w14:paraId="0BCA3360" w14:textId="77777777" w:rsidR="00770AF2" w:rsidRPr="004106B1" w:rsidRDefault="00770AF2" w:rsidP="00770AF2">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any other relevant factors that may warrant adjustment</w:t>
      </w:r>
    </w:p>
    <w:p w14:paraId="6721A90A"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These factors differ to those listed in the guideline. We have:</w:t>
      </w:r>
    </w:p>
    <w:p w14:paraId="115EC332" w14:textId="77777777" w:rsidR="00770AF2" w:rsidRPr="004106B1" w:rsidRDefault="00770AF2" w:rsidP="00770AF2">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selected the factors that apply from the list</w:t>
      </w:r>
    </w:p>
    <w:p w14:paraId="7B73117A" w14:textId="77777777" w:rsidR="00770AF2" w:rsidRPr="004106B1" w:rsidRDefault="00770AF2" w:rsidP="00770AF2">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taken factors from other steps in the guideline</w:t>
      </w:r>
    </w:p>
    <w:p w14:paraId="08727DFE" w14:textId="77777777" w:rsidR="00770AF2" w:rsidRPr="004106B1" w:rsidRDefault="00770AF2" w:rsidP="00770AF2">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adjusted and simplified factors so they are relevant to the </w:t>
      </w:r>
      <w:proofErr w:type="spellStart"/>
      <w:r w:rsidRPr="004106B1">
        <w:rPr>
          <w:rFonts w:ascii="Arial" w:eastAsia="Times New Roman" w:hAnsi="Arial" w:cs="Arial"/>
          <w:color w:val="0B0C0C"/>
          <w:kern w:val="0"/>
          <w:sz w:val="24"/>
          <w:szCs w:val="24"/>
          <w:lang w:eastAsia="en-GB"/>
          <w14:ligatures w14:val="none"/>
        </w:rPr>
        <w:t>pEPR</w:t>
      </w:r>
      <w:proofErr w:type="spellEnd"/>
      <w:r w:rsidRPr="004106B1">
        <w:rPr>
          <w:rFonts w:ascii="Arial" w:eastAsia="Times New Roman" w:hAnsi="Arial" w:cs="Arial"/>
          <w:color w:val="0B0C0C"/>
          <w:kern w:val="0"/>
          <w:sz w:val="24"/>
          <w:szCs w:val="24"/>
          <w:lang w:eastAsia="en-GB"/>
          <w14:ligatures w14:val="none"/>
        </w:rPr>
        <w:t xml:space="preserve"> and DRS regimes under which we can impose Environment Act 2021 civil sanctions</w:t>
      </w:r>
    </w:p>
    <w:p w14:paraId="2B5838BD"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We will normally adjust a penalty within the range but, in some circumstances, it may be appropriate to move outside the identified category range.  However, any financial gain derived from the breach will normally be added to the penalty which will in some cases mean that the penalty exceeds the upper limit of the identified category range.</w:t>
      </w:r>
    </w:p>
    <w:p w14:paraId="72857EBA"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At the end of step 3 we will have calculated the final penalty amount.</w:t>
      </w:r>
    </w:p>
    <w:p w14:paraId="065B9E22" w14:textId="77777777" w:rsidR="00770AF2" w:rsidRPr="004106B1" w:rsidRDefault="00770AF2" w:rsidP="00770AF2">
      <w:pPr>
        <w:shd w:val="clear" w:color="auto" w:fill="FFFFFF"/>
        <w:spacing w:after="150" w:line="240" w:lineRule="auto"/>
        <w:ind w:left="1020"/>
        <w:rPr>
          <w:rFonts w:ascii="Arial" w:eastAsia="Times New Roman" w:hAnsi="Arial" w:cs="Arial"/>
          <w:color w:val="0B0C0C"/>
          <w:kern w:val="0"/>
          <w:sz w:val="24"/>
          <w:szCs w:val="24"/>
          <w:lang w:eastAsia="en-GB"/>
          <w14:ligatures w14:val="none"/>
        </w:rPr>
      </w:pPr>
    </w:p>
    <w:p w14:paraId="03CE3BDF" w14:textId="63690418" w:rsidR="00770AF2" w:rsidRPr="004106B1" w:rsidRDefault="005B394A" w:rsidP="00770AF2">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Pr>
          <w:rFonts w:ascii="Arial" w:eastAsia="Times New Roman" w:hAnsi="Arial" w:cs="Arial"/>
          <w:b/>
          <w:bCs/>
          <w:color w:val="0B0C0C"/>
          <w:kern w:val="0"/>
          <w:sz w:val="36"/>
          <w:szCs w:val="36"/>
          <w:lang w:eastAsia="en-GB"/>
          <w14:ligatures w14:val="none"/>
        </w:rPr>
        <w:t>3</w:t>
      </w:r>
      <w:r w:rsidR="00770AF2" w:rsidRPr="004106B1">
        <w:rPr>
          <w:rFonts w:ascii="Arial" w:eastAsia="Times New Roman" w:hAnsi="Arial" w:cs="Arial"/>
          <w:b/>
          <w:bCs/>
          <w:color w:val="0B0C0C"/>
          <w:kern w:val="0"/>
          <w:sz w:val="36"/>
          <w:szCs w:val="36"/>
          <w:lang w:eastAsia="en-GB"/>
          <w14:ligatures w14:val="none"/>
        </w:rPr>
        <w:t xml:space="preserve">. Appeals </w:t>
      </w:r>
    </w:p>
    <w:p w14:paraId="19DB925C" w14:textId="53EDE4C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 xml:space="preserve">Where we can impose a civil </w:t>
      </w:r>
      <w:proofErr w:type="gramStart"/>
      <w:r w:rsidRPr="004106B1">
        <w:rPr>
          <w:rFonts w:ascii="Arial" w:eastAsia="Times New Roman" w:hAnsi="Arial" w:cs="Arial"/>
          <w:color w:val="0B0C0C"/>
          <w:kern w:val="0"/>
          <w:sz w:val="24"/>
          <w:szCs w:val="24"/>
          <w:lang w:eastAsia="en-GB"/>
          <w14:ligatures w14:val="none"/>
        </w:rPr>
        <w:t>sanction</w:t>
      </w:r>
      <w:proofErr w:type="gramEnd"/>
      <w:r w:rsidRPr="004106B1">
        <w:rPr>
          <w:rFonts w:ascii="Arial" w:eastAsia="Times New Roman" w:hAnsi="Arial" w:cs="Arial"/>
          <w:color w:val="0B0C0C"/>
          <w:kern w:val="0"/>
          <w:sz w:val="24"/>
          <w:szCs w:val="24"/>
          <w:lang w:eastAsia="en-GB"/>
          <w14:ligatures w14:val="none"/>
        </w:rPr>
        <w:t xml:space="preserve"> our notices will set out rights of appeal. There is guidance available here: </w:t>
      </w:r>
    </w:p>
    <w:p w14:paraId="178A9DAE"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hyperlink r:id="rId14" w:history="1">
        <w:r w:rsidRPr="004106B1">
          <w:rPr>
            <w:rFonts w:ascii="Arial" w:eastAsia="Times New Roman" w:hAnsi="Arial" w:cs="Arial"/>
            <w:color w:val="1D70B8"/>
            <w:kern w:val="0"/>
            <w:sz w:val="24"/>
            <w:szCs w:val="24"/>
            <w:u w:val="single"/>
            <w:lang w:eastAsia="en-GB"/>
            <w14:ligatures w14:val="none"/>
          </w:rPr>
          <w:t>how to appeal to a tribunal against a fine or notice for an environmental offence</w:t>
        </w:r>
      </w:hyperlink>
    </w:p>
    <w:p w14:paraId="3BCFCFE9" w14:textId="77777777" w:rsidR="00770AF2" w:rsidRPr="004106B1" w:rsidRDefault="00770AF2" w:rsidP="00770AF2">
      <w:pPr>
        <w:pStyle w:val="pf0"/>
        <w:rPr>
          <w:rFonts w:ascii="Arial" w:hAnsi="Arial" w:cs="Arial"/>
        </w:rPr>
      </w:pPr>
      <w:hyperlink r:id="rId15" w:history="1">
        <w:r w:rsidRPr="004106B1">
          <w:rPr>
            <w:rStyle w:val="cf01"/>
            <w:rFonts w:ascii="Arial" w:hAnsi="Arial" w:cs="Arial"/>
            <w:color w:val="0000FF"/>
            <w:sz w:val="24"/>
            <w:szCs w:val="24"/>
            <w:u w:val="single"/>
          </w:rPr>
          <w:t>General Regulatory Chamber Guidance and Information - Courts and Tribunals Judiciary</w:t>
        </w:r>
      </w:hyperlink>
      <w:r w:rsidRPr="004106B1">
        <w:rPr>
          <w:rStyle w:val="cf01"/>
          <w:rFonts w:ascii="Arial" w:hAnsi="Arial" w:cs="Arial"/>
          <w:sz w:val="24"/>
          <w:szCs w:val="24"/>
        </w:rPr>
        <w:t xml:space="preserve"> </w:t>
      </w:r>
    </w:p>
    <w:p w14:paraId="2E680439" w14:textId="77777777" w:rsidR="00770AF2" w:rsidRPr="004106B1" w:rsidRDefault="00770AF2" w:rsidP="00770AF2">
      <w:pPr>
        <w:pStyle w:val="NormalWeb"/>
        <w:rPr>
          <w:rFonts w:ascii="Arial" w:hAnsi="Arial" w:cs="Arial"/>
        </w:rPr>
      </w:pPr>
      <w:hyperlink r:id="rId16" w:history="1">
        <w:r w:rsidRPr="004106B1">
          <w:rPr>
            <w:rStyle w:val="cf01"/>
            <w:rFonts w:ascii="Arial" w:hAnsi="Arial" w:cs="Arial"/>
            <w:color w:val="0000FF"/>
            <w:sz w:val="24"/>
            <w:szCs w:val="24"/>
            <w:u w:val="single"/>
          </w:rPr>
          <w:t>First-tier Tribunal (General Regulatory Chamber) - GOV.UK</w:t>
        </w:r>
      </w:hyperlink>
    </w:p>
    <w:p w14:paraId="6776CBB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following tables set out the grounds of appeal against the imposition of a civil sanction, or in the case of an enforcement undertaking the decision not to issue a certificate of compliance.</w:t>
      </w:r>
    </w:p>
    <w:p w14:paraId="5372BAA5"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proofErr w:type="spellStart"/>
      <w:r w:rsidRPr="004106B1">
        <w:rPr>
          <w:rFonts w:ascii="Arial" w:eastAsia="Times New Roman" w:hAnsi="Arial" w:cs="Arial"/>
          <w:b/>
          <w:bCs/>
          <w:color w:val="0B0C0C"/>
          <w:kern w:val="0"/>
          <w:sz w:val="24"/>
          <w:szCs w:val="24"/>
          <w:lang w:eastAsia="en-GB"/>
          <w14:ligatures w14:val="none"/>
        </w:rPr>
        <w:t>pEPR</w:t>
      </w:r>
      <w:proofErr w:type="spellEnd"/>
      <w:r w:rsidRPr="004106B1">
        <w:rPr>
          <w:rFonts w:ascii="Arial" w:eastAsia="Times New Roman" w:hAnsi="Arial" w:cs="Arial"/>
          <w:b/>
          <w:bCs/>
          <w:color w:val="0B0C0C"/>
          <w:kern w:val="0"/>
          <w:sz w:val="24"/>
          <w:szCs w:val="24"/>
          <w:lang w:eastAsia="en-GB"/>
          <w14:ligatures w14:val="none"/>
        </w:rPr>
        <w:t xml:space="preserve"> grounds of appeal table</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2928"/>
        <w:gridCol w:w="1904"/>
        <w:gridCol w:w="2004"/>
        <w:gridCol w:w="1914"/>
        <w:gridCol w:w="1938"/>
      </w:tblGrid>
      <w:tr w:rsidR="00770AF2" w:rsidRPr="004106B1" w14:paraId="1556F33F" w14:textId="77777777" w:rsidTr="00F16963">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736F337D"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lastRenderedPageBreak/>
              <w:t>Ground of appeal</w:t>
            </w:r>
          </w:p>
        </w:tc>
        <w:tc>
          <w:tcPr>
            <w:tcW w:w="0" w:type="auto"/>
            <w:tcBorders>
              <w:bottom w:val="single" w:sz="6" w:space="0" w:color="B1B4B6"/>
            </w:tcBorders>
            <w:shd w:val="clear" w:color="auto" w:fill="FFFFFF"/>
            <w:tcMar>
              <w:top w:w="150" w:type="dxa"/>
              <w:left w:w="0" w:type="dxa"/>
              <w:bottom w:w="150" w:type="dxa"/>
              <w:right w:w="300" w:type="dxa"/>
            </w:tcMar>
            <w:hideMark/>
          </w:tcPr>
          <w:p w14:paraId="0C1743AA"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Fixed monetary penalty</w:t>
            </w:r>
          </w:p>
        </w:tc>
        <w:tc>
          <w:tcPr>
            <w:tcW w:w="0" w:type="auto"/>
            <w:tcBorders>
              <w:bottom w:val="single" w:sz="6" w:space="0" w:color="B1B4B6"/>
            </w:tcBorders>
            <w:shd w:val="clear" w:color="auto" w:fill="FFFFFF"/>
            <w:tcMar>
              <w:top w:w="150" w:type="dxa"/>
              <w:left w:w="0" w:type="dxa"/>
              <w:bottom w:w="150" w:type="dxa"/>
              <w:right w:w="300" w:type="dxa"/>
            </w:tcMar>
            <w:hideMark/>
          </w:tcPr>
          <w:p w14:paraId="738B90F8"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Variable monetary penalty</w:t>
            </w:r>
          </w:p>
        </w:tc>
        <w:tc>
          <w:tcPr>
            <w:tcW w:w="0" w:type="auto"/>
            <w:tcBorders>
              <w:bottom w:val="single" w:sz="6" w:space="0" w:color="B1B4B6"/>
            </w:tcBorders>
            <w:shd w:val="clear" w:color="auto" w:fill="FFFFFF"/>
            <w:tcMar>
              <w:top w:w="150" w:type="dxa"/>
              <w:left w:w="0" w:type="dxa"/>
              <w:bottom w:w="150" w:type="dxa"/>
              <w:right w:w="300" w:type="dxa"/>
            </w:tcMar>
            <w:hideMark/>
          </w:tcPr>
          <w:p w14:paraId="4C456D7C"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Compliance notice</w:t>
            </w:r>
          </w:p>
        </w:tc>
        <w:tc>
          <w:tcPr>
            <w:tcW w:w="0" w:type="auto"/>
            <w:tcBorders>
              <w:bottom w:val="single" w:sz="6" w:space="0" w:color="B1B4B6"/>
            </w:tcBorders>
            <w:shd w:val="clear" w:color="auto" w:fill="FFFFFF"/>
            <w:tcMar>
              <w:top w:w="150" w:type="dxa"/>
              <w:left w:w="0" w:type="dxa"/>
              <w:bottom w:w="150" w:type="dxa"/>
              <w:right w:w="0" w:type="dxa"/>
            </w:tcMar>
            <w:hideMark/>
          </w:tcPr>
          <w:p w14:paraId="1E85FD66"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Enforcement undertaking</w:t>
            </w:r>
          </w:p>
        </w:tc>
      </w:tr>
      <w:tr w:rsidR="00770AF2" w:rsidRPr="004106B1" w14:paraId="6591B8D5"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43BE6C69"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Decision was based on an error of fact</w:t>
            </w:r>
          </w:p>
        </w:tc>
        <w:tc>
          <w:tcPr>
            <w:tcW w:w="0" w:type="auto"/>
            <w:tcBorders>
              <w:bottom w:val="single" w:sz="6" w:space="0" w:color="B1B4B6"/>
            </w:tcBorders>
            <w:shd w:val="clear" w:color="auto" w:fill="FFFFFF"/>
            <w:tcMar>
              <w:top w:w="150" w:type="dxa"/>
              <w:left w:w="0" w:type="dxa"/>
              <w:bottom w:w="150" w:type="dxa"/>
              <w:right w:w="300" w:type="dxa"/>
            </w:tcMar>
            <w:hideMark/>
          </w:tcPr>
          <w:p w14:paraId="7B51DEA5"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0ED74C5E"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74995F54"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0" w:type="dxa"/>
            </w:tcMar>
            <w:hideMark/>
          </w:tcPr>
          <w:p w14:paraId="3AEB07A9"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r>
      <w:tr w:rsidR="00770AF2" w:rsidRPr="004106B1" w14:paraId="5C93A736"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226CA670"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Decision was wrong in law</w:t>
            </w:r>
          </w:p>
        </w:tc>
        <w:tc>
          <w:tcPr>
            <w:tcW w:w="0" w:type="auto"/>
            <w:tcBorders>
              <w:bottom w:val="single" w:sz="6" w:space="0" w:color="B1B4B6"/>
            </w:tcBorders>
            <w:shd w:val="clear" w:color="auto" w:fill="FFFFFF"/>
            <w:tcMar>
              <w:top w:w="150" w:type="dxa"/>
              <w:left w:w="0" w:type="dxa"/>
              <w:bottom w:w="150" w:type="dxa"/>
              <w:right w:w="300" w:type="dxa"/>
            </w:tcMar>
            <w:hideMark/>
          </w:tcPr>
          <w:p w14:paraId="3D39CF1C"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6DCB3664"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27F296A3"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0" w:type="dxa"/>
            </w:tcMar>
            <w:hideMark/>
          </w:tcPr>
          <w:p w14:paraId="2089ABE1"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r>
      <w:tr w:rsidR="00770AF2" w:rsidRPr="004106B1" w14:paraId="4979B364"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27829F9B"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Decision was unreasonable</w:t>
            </w:r>
          </w:p>
        </w:tc>
        <w:tc>
          <w:tcPr>
            <w:tcW w:w="0" w:type="auto"/>
            <w:tcBorders>
              <w:bottom w:val="single" w:sz="6" w:space="0" w:color="B1B4B6"/>
            </w:tcBorders>
            <w:shd w:val="clear" w:color="auto" w:fill="FFFFFF"/>
            <w:tcMar>
              <w:top w:w="150" w:type="dxa"/>
              <w:left w:w="0" w:type="dxa"/>
              <w:bottom w:w="150" w:type="dxa"/>
              <w:right w:w="300" w:type="dxa"/>
            </w:tcMar>
            <w:hideMark/>
          </w:tcPr>
          <w:p w14:paraId="5931C0BE"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64BC2525"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20E9DA67"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0" w:type="dxa"/>
            </w:tcMar>
            <w:hideMark/>
          </w:tcPr>
          <w:p w14:paraId="466C72B7"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r>
      <w:tr w:rsidR="00770AF2" w:rsidRPr="004106B1" w14:paraId="60E4A696"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5CE3E628"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Amount is unreasonable</w:t>
            </w:r>
          </w:p>
        </w:tc>
        <w:tc>
          <w:tcPr>
            <w:tcW w:w="0" w:type="auto"/>
            <w:tcBorders>
              <w:bottom w:val="single" w:sz="6" w:space="0" w:color="B1B4B6"/>
            </w:tcBorders>
            <w:shd w:val="clear" w:color="auto" w:fill="FFFFFF"/>
            <w:tcMar>
              <w:top w:w="150" w:type="dxa"/>
              <w:left w:w="0" w:type="dxa"/>
              <w:bottom w:w="150" w:type="dxa"/>
              <w:right w:w="300" w:type="dxa"/>
            </w:tcMar>
            <w:hideMark/>
          </w:tcPr>
          <w:p w14:paraId="2E017CC6"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300" w:type="dxa"/>
            </w:tcMar>
            <w:hideMark/>
          </w:tcPr>
          <w:p w14:paraId="0A1C9585"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300" w:type="dxa"/>
            </w:tcMar>
            <w:hideMark/>
          </w:tcPr>
          <w:p w14:paraId="05A0BDC7"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0" w:type="dxa"/>
            </w:tcMar>
            <w:hideMark/>
          </w:tcPr>
          <w:p w14:paraId="029D2016"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r>
      <w:tr w:rsidR="00770AF2" w:rsidRPr="004106B1" w14:paraId="593283B3"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3ED7A3FB"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Nature of the requirement is unreasonable</w:t>
            </w:r>
          </w:p>
        </w:tc>
        <w:tc>
          <w:tcPr>
            <w:tcW w:w="0" w:type="auto"/>
            <w:tcBorders>
              <w:bottom w:val="single" w:sz="6" w:space="0" w:color="B1B4B6"/>
            </w:tcBorders>
            <w:shd w:val="clear" w:color="auto" w:fill="FFFFFF"/>
            <w:tcMar>
              <w:top w:w="150" w:type="dxa"/>
              <w:left w:w="0" w:type="dxa"/>
              <w:bottom w:w="150" w:type="dxa"/>
              <w:right w:w="300" w:type="dxa"/>
            </w:tcMar>
            <w:hideMark/>
          </w:tcPr>
          <w:p w14:paraId="71BABCB5"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300" w:type="dxa"/>
            </w:tcMar>
            <w:hideMark/>
          </w:tcPr>
          <w:p w14:paraId="23E65481"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300" w:type="dxa"/>
            </w:tcMar>
            <w:hideMark/>
          </w:tcPr>
          <w:p w14:paraId="5644B04E"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c>
          <w:tcPr>
            <w:tcW w:w="0" w:type="auto"/>
            <w:tcBorders>
              <w:bottom w:val="single" w:sz="6" w:space="0" w:color="B1B4B6"/>
            </w:tcBorders>
            <w:shd w:val="clear" w:color="auto" w:fill="FFFFFF"/>
            <w:tcMar>
              <w:top w:w="150" w:type="dxa"/>
              <w:left w:w="0" w:type="dxa"/>
              <w:bottom w:w="150" w:type="dxa"/>
              <w:right w:w="0" w:type="dxa"/>
            </w:tcMar>
            <w:hideMark/>
          </w:tcPr>
          <w:p w14:paraId="242C7934"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r>
      <w:tr w:rsidR="00770AF2" w:rsidRPr="004106B1" w14:paraId="33B5B46C" w14:textId="77777777" w:rsidTr="00F16963">
        <w:tc>
          <w:tcPr>
            <w:tcW w:w="0" w:type="auto"/>
            <w:tcBorders>
              <w:bottom w:val="single" w:sz="6" w:space="0" w:color="B1B4B6"/>
            </w:tcBorders>
            <w:shd w:val="clear" w:color="auto" w:fill="FFFFFF"/>
            <w:tcMar>
              <w:top w:w="150" w:type="dxa"/>
              <w:left w:w="0" w:type="dxa"/>
              <w:bottom w:w="150" w:type="dxa"/>
              <w:right w:w="300" w:type="dxa"/>
            </w:tcMar>
            <w:hideMark/>
          </w:tcPr>
          <w:p w14:paraId="01F352A2" w14:textId="77777777" w:rsidR="00770AF2" w:rsidRPr="004106B1" w:rsidRDefault="00770AF2" w:rsidP="00F16963">
            <w:pPr>
              <w:spacing w:after="45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Wrong for any other reason</w:t>
            </w:r>
          </w:p>
        </w:tc>
        <w:tc>
          <w:tcPr>
            <w:tcW w:w="0" w:type="auto"/>
            <w:tcBorders>
              <w:bottom w:val="single" w:sz="6" w:space="0" w:color="B1B4B6"/>
            </w:tcBorders>
            <w:shd w:val="clear" w:color="auto" w:fill="FFFFFF"/>
            <w:tcMar>
              <w:top w:w="150" w:type="dxa"/>
              <w:left w:w="0" w:type="dxa"/>
              <w:bottom w:w="150" w:type="dxa"/>
              <w:right w:w="300" w:type="dxa"/>
            </w:tcMar>
            <w:hideMark/>
          </w:tcPr>
          <w:p w14:paraId="6EB5B3D7"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300" w:type="dxa"/>
            </w:tcMar>
            <w:hideMark/>
          </w:tcPr>
          <w:p w14:paraId="4BC138A4"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300" w:type="dxa"/>
            </w:tcMar>
            <w:hideMark/>
          </w:tcPr>
          <w:p w14:paraId="4EA6CDF5"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No</w:t>
            </w:r>
          </w:p>
        </w:tc>
        <w:tc>
          <w:tcPr>
            <w:tcW w:w="0" w:type="auto"/>
            <w:tcBorders>
              <w:bottom w:val="single" w:sz="6" w:space="0" w:color="B1B4B6"/>
            </w:tcBorders>
            <w:shd w:val="clear" w:color="auto" w:fill="FFFFFF"/>
            <w:tcMar>
              <w:top w:w="150" w:type="dxa"/>
              <w:left w:w="0" w:type="dxa"/>
              <w:bottom w:w="150" w:type="dxa"/>
              <w:right w:w="0" w:type="dxa"/>
            </w:tcMar>
            <w:hideMark/>
          </w:tcPr>
          <w:p w14:paraId="70381CCC" w14:textId="77777777" w:rsidR="00770AF2" w:rsidRPr="004106B1" w:rsidRDefault="00770AF2" w:rsidP="00F16963">
            <w:pPr>
              <w:spacing w:after="45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Yes</w:t>
            </w:r>
          </w:p>
        </w:tc>
      </w:tr>
    </w:tbl>
    <w:p w14:paraId="5CD765E1"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p>
    <w:p w14:paraId="4E6C4FFD" w14:textId="77777777" w:rsidR="00770AF2" w:rsidRPr="004106B1" w:rsidRDefault="00770AF2" w:rsidP="00770AF2">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4106B1">
        <w:rPr>
          <w:rFonts w:ascii="Arial" w:eastAsia="Times New Roman" w:hAnsi="Arial" w:cs="Arial"/>
          <w:b/>
          <w:bCs/>
          <w:color w:val="0B0C0C"/>
          <w:kern w:val="0"/>
          <w:sz w:val="24"/>
          <w:szCs w:val="24"/>
          <w:lang w:eastAsia="en-GB"/>
          <w14:ligatures w14:val="none"/>
        </w:rPr>
        <w:t>DRS grounds of appeal table</w:t>
      </w:r>
    </w:p>
    <w:p w14:paraId="2C45824A" w14:textId="77777777" w:rsidR="00770AF2" w:rsidRPr="004106B1" w:rsidRDefault="00770AF2" w:rsidP="00770AF2">
      <w:pPr>
        <w:spacing w:before="300" w:after="300" w:line="240" w:lineRule="auto"/>
        <w:rPr>
          <w:rFonts w:ascii="Arial" w:eastAsia="Times New Roman" w:hAnsi="Arial" w:cs="Arial"/>
          <w:color w:val="0B0C0C"/>
          <w:kern w:val="0"/>
          <w:sz w:val="24"/>
          <w:szCs w:val="24"/>
          <w:lang w:eastAsia="en-GB"/>
          <w14:ligatures w14:val="none"/>
        </w:rPr>
      </w:pPr>
    </w:p>
    <w:tbl>
      <w:tblPr>
        <w:tblStyle w:val="TableGrid"/>
        <w:tblW w:w="0" w:type="auto"/>
        <w:tblLook w:val="04A0" w:firstRow="1" w:lastRow="0" w:firstColumn="1" w:lastColumn="0" w:noHBand="0" w:noVBand="1"/>
      </w:tblPr>
      <w:tblGrid>
        <w:gridCol w:w="1803"/>
        <w:gridCol w:w="1803"/>
        <w:gridCol w:w="1803"/>
        <w:gridCol w:w="1804"/>
      </w:tblGrid>
      <w:tr w:rsidR="00770AF2" w:rsidRPr="004106B1" w14:paraId="629D6088" w14:textId="77777777" w:rsidTr="00F16963">
        <w:tc>
          <w:tcPr>
            <w:tcW w:w="1803" w:type="dxa"/>
          </w:tcPr>
          <w:p w14:paraId="01A42183" w14:textId="77777777" w:rsidR="00770AF2" w:rsidRPr="004106B1" w:rsidRDefault="00770AF2" w:rsidP="00F16963">
            <w:pPr>
              <w:rPr>
                <w:rFonts w:ascii="Arial" w:hAnsi="Arial" w:cs="Arial"/>
                <w:b/>
                <w:bCs/>
              </w:rPr>
            </w:pPr>
            <w:r w:rsidRPr="004106B1">
              <w:rPr>
                <w:rFonts w:ascii="Arial" w:hAnsi="Arial" w:cs="Arial"/>
                <w:b/>
                <w:bCs/>
              </w:rPr>
              <w:t>Ground of appeal</w:t>
            </w:r>
          </w:p>
        </w:tc>
        <w:tc>
          <w:tcPr>
            <w:tcW w:w="1803" w:type="dxa"/>
          </w:tcPr>
          <w:p w14:paraId="10A63CCA" w14:textId="77777777" w:rsidR="00770AF2" w:rsidRPr="004106B1" w:rsidRDefault="00770AF2" w:rsidP="00F16963">
            <w:pPr>
              <w:rPr>
                <w:rFonts w:ascii="Arial" w:hAnsi="Arial" w:cs="Arial"/>
                <w:b/>
                <w:bCs/>
              </w:rPr>
            </w:pPr>
            <w:r w:rsidRPr="004106B1">
              <w:rPr>
                <w:rFonts w:ascii="Arial" w:hAnsi="Arial" w:cs="Arial"/>
                <w:b/>
                <w:bCs/>
              </w:rPr>
              <w:t>VMP</w:t>
            </w:r>
          </w:p>
        </w:tc>
        <w:tc>
          <w:tcPr>
            <w:tcW w:w="1803" w:type="dxa"/>
          </w:tcPr>
          <w:p w14:paraId="5476CC94" w14:textId="77777777" w:rsidR="00770AF2" w:rsidRPr="004106B1" w:rsidRDefault="00770AF2" w:rsidP="00F16963">
            <w:pPr>
              <w:rPr>
                <w:rFonts w:ascii="Arial" w:hAnsi="Arial" w:cs="Arial"/>
                <w:b/>
                <w:bCs/>
              </w:rPr>
            </w:pPr>
            <w:r w:rsidRPr="004106B1">
              <w:rPr>
                <w:rFonts w:ascii="Arial" w:hAnsi="Arial" w:cs="Arial"/>
                <w:b/>
                <w:bCs/>
              </w:rPr>
              <w:t>CN</w:t>
            </w:r>
          </w:p>
        </w:tc>
        <w:tc>
          <w:tcPr>
            <w:tcW w:w="1804" w:type="dxa"/>
          </w:tcPr>
          <w:p w14:paraId="6C931BC6" w14:textId="77777777" w:rsidR="00770AF2" w:rsidRPr="004106B1" w:rsidRDefault="00770AF2" w:rsidP="00F16963">
            <w:pPr>
              <w:rPr>
                <w:rFonts w:ascii="Arial" w:hAnsi="Arial" w:cs="Arial"/>
                <w:b/>
                <w:bCs/>
              </w:rPr>
            </w:pPr>
            <w:r w:rsidRPr="004106B1">
              <w:rPr>
                <w:rFonts w:ascii="Arial" w:hAnsi="Arial" w:cs="Arial"/>
                <w:b/>
                <w:bCs/>
              </w:rPr>
              <w:t>EU</w:t>
            </w:r>
          </w:p>
        </w:tc>
      </w:tr>
      <w:tr w:rsidR="00770AF2" w:rsidRPr="004106B1" w14:paraId="3CE123B2" w14:textId="77777777" w:rsidTr="00F16963">
        <w:tc>
          <w:tcPr>
            <w:tcW w:w="1803" w:type="dxa"/>
          </w:tcPr>
          <w:p w14:paraId="4A8D26EF" w14:textId="77777777" w:rsidR="00770AF2" w:rsidRPr="004106B1" w:rsidRDefault="00770AF2" w:rsidP="00F16963">
            <w:pPr>
              <w:rPr>
                <w:rFonts w:ascii="Arial" w:hAnsi="Arial" w:cs="Arial"/>
              </w:rPr>
            </w:pPr>
            <w:r w:rsidRPr="004106B1">
              <w:rPr>
                <w:rFonts w:ascii="Arial" w:hAnsi="Arial" w:cs="Arial"/>
              </w:rPr>
              <w:t>Decision was based on an error of fact</w:t>
            </w:r>
          </w:p>
        </w:tc>
        <w:tc>
          <w:tcPr>
            <w:tcW w:w="1803" w:type="dxa"/>
          </w:tcPr>
          <w:p w14:paraId="241B7D63" w14:textId="77777777" w:rsidR="00770AF2" w:rsidRPr="004106B1" w:rsidRDefault="00770AF2" w:rsidP="00F16963">
            <w:pPr>
              <w:rPr>
                <w:rFonts w:ascii="Arial" w:hAnsi="Arial" w:cs="Arial"/>
              </w:rPr>
            </w:pPr>
            <w:r w:rsidRPr="004106B1">
              <w:rPr>
                <w:rFonts w:ascii="Arial" w:hAnsi="Arial" w:cs="Arial"/>
              </w:rPr>
              <w:t>Yes</w:t>
            </w:r>
          </w:p>
        </w:tc>
        <w:tc>
          <w:tcPr>
            <w:tcW w:w="1803" w:type="dxa"/>
          </w:tcPr>
          <w:p w14:paraId="4DA5FB48" w14:textId="77777777" w:rsidR="00770AF2" w:rsidRPr="004106B1" w:rsidRDefault="00770AF2" w:rsidP="00F16963">
            <w:pPr>
              <w:rPr>
                <w:rFonts w:ascii="Arial" w:hAnsi="Arial" w:cs="Arial"/>
              </w:rPr>
            </w:pPr>
            <w:r w:rsidRPr="004106B1">
              <w:rPr>
                <w:rFonts w:ascii="Arial" w:hAnsi="Arial" w:cs="Arial"/>
              </w:rPr>
              <w:t>Yes</w:t>
            </w:r>
          </w:p>
        </w:tc>
        <w:tc>
          <w:tcPr>
            <w:tcW w:w="1804" w:type="dxa"/>
          </w:tcPr>
          <w:p w14:paraId="73A5DB76" w14:textId="77777777" w:rsidR="00770AF2" w:rsidRPr="004106B1" w:rsidRDefault="00770AF2" w:rsidP="00F16963">
            <w:pPr>
              <w:rPr>
                <w:rFonts w:ascii="Arial" w:hAnsi="Arial" w:cs="Arial"/>
              </w:rPr>
            </w:pPr>
            <w:r w:rsidRPr="004106B1">
              <w:rPr>
                <w:rFonts w:ascii="Arial" w:hAnsi="Arial" w:cs="Arial"/>
              </w:rPr>
              <w:t>Yes</w:t>
            </w:r>
          </w:p>
        </w:tc>
      </w:tr>
      <w:tr w:rsidR="00770AF2" w:rsidRPr="004106B1" w14:paraId="5FBB5BD7" w14:textId="77777777" w:rsidTr="00F16963">
        <w:tc>
          <w:tcPr>
            <w:tcW w:w="1803" w:type="dxa"/>
          </w:tcPr>
          <w:p w14:paraId="242337D0" w14:textId="77777777" w:rsidR="00770AF2" w:rsidRPr="004106B1" w:rsidRDefault="00770AF2" w:rsidP="00F16963">
            <w:pPr>
              <w:rPr>
                <w:rFonts w:ascii="Arial" w:hAnsi="Arial" w:cs="Arial"/>
              </w:rPr>
            </w:pPr>
            <w:r w:rsidRPr="004106B1">
              <w:rPr>
                <w:rFonts w:ascii="Arial" w:hAnsi="Arial" w:cs="Arial"/>
              </w:rPr>
              <w:t xml:space="preserve">Decision was wrong in law </w:t>
            </w:r>
          </w:p>
        </w:tc>
        <w:tc>
          <w:tcPr>
            <w:tcW w:w="1803" w:type="dxa"/>
          </w:tcPr>
          <w:p w14:paraId="7620D95C" w14:textId="77777777" w:rsidR="00770AF2" w:rsidRPr="004106B1" w:rsidRDefault="00770AF2" w:rsidP="00F16963">
            <w:pPr>
              <w:rPr>
                <w:rFonts w:ascii="Arial" w:hAnsi="Arial" w:cs="Arial"/>
              </w:rPr>
            </w:pPr>
            <w:r w:rsidRPr="004106B1">
              <w:rPr>
                <w:rFonts w:ascii="Arial" w:hAnsi="Arial" w:cs="Arial"/>
              </w:rPr>
              <w:t>Yes</w:t>
            </w:r>
          </w:p>
        </w:tc>
        <w:tc>
          <w:tcPr>
            <w:tcW w:w="1803" w:type="dxa"/>
          </w:tcPr>
          <w:p w14:paraId="653FA477" w14:textId="77777777" w:rsidR="00770AF2" w:rsidRPr="004106B1" w:rsidRDefault="00770AF2" w:rsidP="00F16963">
            <w:pPr>
              <w:rPr>
                <w:rFonts w:ascii="Arial" w:hAnsi="Arial" w:cs="Arial"/>
              </w:rPr>
            </w:pPr>
            <w:r w:rsidRPr="004106B1">
              <w:rPr>
                <w:rFonts w:ascii="Arial" w:hAnsi="Arial" w:cs="Arial"/>
              </w:rPr>
              <w:t>Yes</w:t>
            </w:r>
          </w:p>
        </w:tc>
        <w:tc>
          <w:tcPr>
            <w:tcW w:w="1804" w:type="dxa"/>
          </w:tcPr>
          <w:p w14:paraId="559567C9" w14:textId="77777777" w:rsidR="00770AF2" w:rsidRPr="004106B1" w:rsidRDefault="00770AF2" w:rsidP="00F16963">
            <w:pPr>
              <w:rPr>
                <w:rFonts w:ascii="Arial" w:hAnsi="Arial" w:cs="Arial"/>
              </w:rPr>
            </w:pPr>
            <w:r w:rsidRPr="004106B1">
              <w:rPr>
                <w:rFonts w:ascii="Arial" w:hAnsi="Arial" w:cs="Arial"/>
              </w:rPr>
              <w:t>Yes</w:t>
            </w:r>
          </w:p>
        </w:tc>
      </w:tr>
      <w:tr w:rsidR="00770AF2" w:rsidRPr="004106B1" w14:paraId="13F700B1" w14:textId="77777777" w:rsidTr="00F16963">
        <w:tc>
          <w:tcPr>
            <w:tcW w:w="1803" w:type="dxa"/>
          </w:tcPr>
          <w:p w14:paraId="31BF2E6F" w14:textId="77777777" w:rsidR="00770AF2" w:rsidRPr="004106B1" w:rsidRDefault="00770AF2" w:rsidP="00F16963">
            <w:pPr>
              <w:rPr>
                <w:rFonts w:ascii="Arial" w:hAnsi="Arial" w:cs="Arial"/>
              </w:rPr>
            </w:pPr>
            <w:r w:rsidRPr="004106B1">
              <w:rPr>
                <w:rFonts w:ascii="Arial" w:hAnsi="Arial" w:cs="Arial"/>
              </w:rPr>
              <w:t xml:space="preserve">Decision was unreasonable </w:t>
            </w:r>
            <w:r w:rsidRPr="004106B1">
              <w:rPr>
                <w:rFonts w:ascii="Arial" w:hAnsi="Arial" w:cs="Arial"/>
              </w:rPr>
              <w:lastRenderedPageBreak/>
              <w:t>for any other reason</w:t>
            </w:r>
          </w:p>
        </w:tc>
        <w:tc>
          <w:tcPr>
            <w:tcW w:w="1803" w:type="dxa"/>
          </w:tcPr>
          <w:p w14:paraId="0E651E50" w14:textId="77777777" w:rsidR="00770AF2" w:rsidRPr="004106B1" w:rsidRDefault="00770AF2" w:rsidP="00F16963">
            <w:pPr>
              <w:rPr>
                <w:rFonts w:ascii="Arial" w:hAnsi="Arial" w:cs="Arial"/>
              </w:rPr>
            </w:pPr>
            <w:r w:rsidRPr="004106B1">
              <w:rPr>
                <w:rFonts w:ascii="Arial" w:hAnsi="Arial" w:cs="Arial"/>
              </w:rPr>
              <w:lastRenderedPageBreak/>
              <w:t>Yes</w:t>
            </w:r>
          </w:p>
        </w:tc>
        <w:tc>
          <w:tcPr>
            <w:tcW w:w="1803" w:type="dxa"/>
          </w:tcPr>
          <w:p w14:paraId="58488933" w14:textId="77777777" w:rsidR="00770AF2" w:rsidRPr="004106B1" w:rsidRDefault="00770AF2" w:rsidP="00F16963">
            <w:pPr>
              <w:rPr>
                <w:rFonts w:ascii="Arial" w:hAnsi="Arial" w:cs="Arial"/>
              </w:rPr>
            </w:pPr>
            <w:r w:rsidRPr="004106B1">
              <w:rPr>
                <w:rFonts w:ascii="Arial" w:hAnsi="Arial" w:cs="Arial"/>
              </w:rPr>
              <w:t>Yes</w:t>
            </w:r>
          </w:p>
        </w:tc>
        <w:tc>
          <w:tcPr>
            <w:tcW w:w="1804" w:type="dxa"/>
          </w:tcPr>
          <w:p w14:paraId="71C454D2" w14:textId="77777777" w:rsidR="00770AF2" w:rsidRPr="004106B1" w:rsidRDefault="00770AF2" w:rsidP="00F16963">
            <w:pPr>
              <w:rPr>
                <w:rFonts w:ascii="Arial" w:hAnsi="Arial" w:cs="Arial"/>
              </w:rPr>
            </w:pPr>
            <w:r w:rsidRPr="004106B1">
              <w:rPr>
                <w:rFonts w:ascii="Arial" w:hAnsi="Arial" w:cs="Arial"/>
              </w:rPr>
              <w:t>No</w:t>
            </w:r>
          </w:p>
        </w:tc>
      </w:tr>
      <w:tr w:rsidR="00770AF2" w:rsidRPr="004106B1" w14:paraId="3313B7C9" w14:textId="77777777" w:rsidTr="00F16963">
        <w:tc>
          <w:tcPr>
            <w:tcW w:w="1803" w:type="dxa"/>
          </w:tcPr>
          <w:p w14:paraId="05E23848" w14:textId="77777777" w:rsidR="00770AF2" w:rsidRPr="004106B1" w:rsidRDefault="00770AF2" w:rsidP="00F16963">
            <w:pPr>
              <w:rPr>
                <w:rFonts w:ascii="Arial" w:hAnsi="Arial" w:cs="Arial"/>
              </w:rPr>
            </w:pPr>
            <w:r w:rsidRPr="004106B1">
              <w:rPr>
                <w:rFonts w:ascii="Arial" w:hAnsi="Arial" w:cs="Arial"/>
              </w:rPr>
              <w:t>Decision was unfair or unreasonable</w:t>
            </w:r>
          </w:p>
        </w:tc>
        <w:tc>
          <w:tcPr>
            <w:tcW w:w="1803" w:type="dxa"/>
          </w:tcPr>
          <w:p w14:paraId="5295DB8D" w14:textId="77777777" w:rsidR="00770AF2" w:rsidRPr="004106B1" w:rsidRDefault="00770AF2" w:rsidP="00F16963">
            <w:pPr>
              <w:rPr>
                <w:rFonts w:ascii="Arial" w:hAnsi="Arial" w:cs="Arial"/>
              </w:rPr>
            </w:pPr>
            <w:r w:rsidRPr="004106B1">
              <w:rPr>
                <w:rFonts w:ascii="Arial" w:hAnsi="Arial" w:cs="Arial"/>
              </w:rPr>
              <w:t>No</w:t>
            </w:r>
          </w:p>
        </w:tc>
        <w:tc>
          <w:tcPr>
            <w:tcW w:w="1803" w:type="dxa"/>
          </w:tcPr>
          <w:p w14:paraId="5A148F4E" w14:textId="77777777" w:rsidR="00770AF2" w:rsidRPr="004106B1" w:rsidRDefault="00770AF2" w:rsidP="00F16963">
            <w:pPr>
              <w:rPr>
                <w:rFonts w:ascii="Arial" w:hAnsi="Arial" w:cs="Arial"/>
              </w:rPr>
            </w:pPr>
            <w:r w:rsidRPr="004106B1">
              <w:rPr>
                <w:rFonts w:ascii="Arial" w:hAnsi="Arial" w:cs="Arial"/>
              </w:rPr>
              <w:t>No</w:t>
            </w:r>
          </w:p>
        </w:tc>
        <w:tc>
          <w:tcPr>
            <w:tcW w:w="1804" w:type="dxa"/>
          </w:tcPr>
          <w:p w14:paraId="61CA906E" w14:textId="77777777" w:rsidR="00770AF2" w:rsidRPr="004106B1" w:rsidRDefault="00770AF2" w:rsidP="00F16963">
            <w:pPr>
              <w:rPr>
                <w:rFonts w:ascii="Arial" w:hAnsi="Arial" w:cs="Arial"/>
              </w:rPr>
            </w:pPr>
            <w:r w:rsidRPr="004106B1">
              <w:rPr>
                <w:rFonts w:ascii="Arial" w:hAnsi="Arial" w:cs="Arial"/>
              </w:rPr>
              <w:t>Yes</w:t>
            </w:r>
          </w:p>
        </w:tc>
      </w:tr>
      <w:tr w:rsidR="00770AF2" w:rsidRPr="004106B1" w14:paraId="3283B956" w14:textId="77777777" w:rsidTr="00F16963">
        <w:tc>
          <w:tcPr>
            <w:tcW w:w="1803" w:type="dxa"/>
          </w:tcPr>
          <w:p w14:paraId="167E5C1C" w14:textId="77777777" w:rsidR="00770AF2" w:rsidRPr="004106B1" w:rsidRDefault="00770AF2" w:rsidP="00F16963">
            <w:pPr>
              <w:rPr>
                <w:rFonts w:ascii="Arial" w:hAnsi="Arial" w:cs="Arial"/>
              </w:rPr>
            </w:pPr>
            <w:r w:rsidRPr="004106B1">
              <w:rPr>
                <w:rFonts w:ascii="Arial" w:hAnsi="Arial" w:cs="Arial"/>
              </w:rPr>
              <w:t xml:space="preserve">Amount is unreasonable </w:t>
            </w:r>
          </w:p>
        </w:tc>
        <w:tc>
          <w:tcPr>
            <w:tcW w:w="1803" w:type="dxa"/>
          </w:tcPr>
          <w:p w14:paraId="08A05998" w14:textId="77777777" w:rsidR="00770AF2" w:rsidRPr="004106B1" w:rsidRDefault="00770AF2" w:rsidP="00F16963">
            <w:pPr>
              <w:rPr>
                <w:rFonts w:ascii="Arial" w:hAnsi="Arial" w:cs="Arial"/>
              </w:rPr>
            </w:pPr>
            <w:r w:rsidRPr="004106B1">
              <w:rPr>
                <w:rFonts w:ascii="Arial" w:hAnsi="Arial" w:cs="Arial"/>
              </w:rPr>
              <w:t>Yes</w:t>
            </w:r>
          </w:p>
        </w:tc>
        <w:tc>
          <w:tcPr>
            <w:tcW w:w="1803" w:type="dxa"/>
          </w:tcPr>
          <w:p w14:paraId="0A99D146" w14:textId="77777777" w:rsidR="00770AF2" w:rsidRPr="004106B1" w:rsidRDefault="00770AF2" w:rsidP="00F16963">
            <w:pPr>
              <w:rPr>
                <w:rFonts w:ascii="Arial" w:hAnsi="Arial" w:cs="Arial"/>
              </w:rPr>
            </w:pPr>
            <w:r w:rsidRPr="004106B1">
              <w:rPr>
                <w:rFonts w:ascii="Arial" w:hAnsi="Arial" w:cs="Arial"/>
              </w:rPr>
              <w:t>No</w:t>
            </w:r>
          </w:p>
        </w:tc>
        <w:tc>
          <w:tcPr>
            <w:tcW w:w="1804" w:type="dxa"/>
          </w:tcPr>
          <w:p w14:paraId="49FE0E9F" w14:textId="77777777" w:rsidR="00770AF2" w:rsidRPr="004106B1" w:rsidRDefault="00770AF2" w:rsidP="00F16963">
            <w:pPr>
              <w:rPr>
                <w:rFonts w:ascii="Arial" w:hAnsi="Arial" w:cs="Arial"/>
              </w:rPr>
            </w:pPr>
            <w:r w:rsidRPr="004106B1">
              <w:rPr>
                <w:rFonts w:ascii="Arial" w:hAnsi="Arial" w:cs="Arial"/>
              </w:rPr>
              <w:t>No</w:t>
            </w:r>
          </w:p>
        </w:tc>
      </w:tr>
      <w:tr w:rsidR="00770AF2" w:rsidRPr="004106B1" w14:paraId="3661CCC4" w14:textId="77777777" w:rsidTr="00F16963">
        <w:tc>
          <w:tcPr>
            <w:tcW w:w="1803" w:type="dxa"/>
          </w:tcPr>
          <w:p w14:paraId="0269EE57" w14:textId="77777777" w:rsidR="00770AF2" w:rsidRPr="004106B1" w:rsidRDefault="00770AF2" w:rsidP="00F16963">
            <w:pPr>
              <w:rPr>
                <w:rFonts w:ascii="Arial" w:hAnsi="Arial" w:cs="Arial"/>
              </w:rPr>
            </w:pPr>
            <w:r w:rsidRPr="004106B1">
              <w:rPr>
                <w:rFonts w:ascii="Arial" w:hAnsi="Arial" w:cs="Arial"/>
              </w:rPr>
              <w:t>Nature of the requirement is unreasonable</w:t>
            </w:r>
          </w:p>
        </w:tc>
        <w:tc>
          <w:tcPr>
            <w:tcW w:w="1803" w:type="dxa"/>
          </w:tcPr>
          <w:p w14:paraId="34E927C5" w14:textId="77777777" w:rsidR="00770AF2" w:rsidRPr="004106B1" w:rsidRDefault="00770AF2" w:rsidP="00F16963">
            <w:pPr>
              <w:rPr>
                <w:rFonts w:ascii="Arial" w:hAnsi="Arial" w:cs="Arial"/>
              </w:rPr>
            </w:pPr>
            <w:r w:rsidRPr="004106B1">
              <w:rPr>
                <w:rFonts w:ascii="Arial" w:hAnsi="Arial" w:cs="Arial"/>
              </w:rPr>
              <w:t>No</w:t>
            </w:r>
          </w:p>
        </w:tc>
        <w:tc>
          <w:tcPr>
            <w:tcW w:w="1803" w:type="dxa"/>
          </w:tcPr>
          <w:p w14:paraId="6FA771D4" w14:textId="77777777" w:rsidR="00770AF2" w:rsidRPr="004106B1" w:rsidRDefault="00770AF2" w:rsidP="00F16963">
            <w:pPr>
              <w:rPr>
                <w:rFonts w:ascii="Arial" w:hAnsi="Arial" w:cs="Arial"/>
              </w:rPr>
            </w:pPr>
            <w:r w:rsidRPr="004106B1">
              <w:rPr>
                <w:rFonts w:ascii="Arial" w:hAnsi="Arial" w:cs="Arial"/>
              </w:rPr>
              <w:t xml:space="preserve">Yes </w:t>
            </w:r>
          </w:p>
        </w:tc>
        <w:tc>
          <w:tcPr>
            <w:tcW w:w="1804" w:type="dxa"/>
          </w:tcPr>
          <w:p w14:paraId="05C6CAE1" w14:textId="77777777" w:rsidR="00770AF2" w:rsidRPr="004106B1" w:rsidRDefault="00770AF2" w:rsidP="00F16963">
            <w:pPr>
              <w:rPr>
                <w:rFonts w:ascii="Arial" w:hAnsi="Arial" w:cs="Arial"/>
              </w:rPr>
            </w:pPr>
            <w:r w:rsidRPr="004106B1">
              <w:rPr>
                <w:rFonts w:ascii="Arial" w:hAnsi="Arial" w:cs="Arial"/>
              </w:rPr>
              <w:t>No</w:t>
            </w:r>
          </w:p>
        </w:tc>
      </w:tr>
      <w:tr w:rsidR="00770AF2" w:rsidRPr="004106B1" w14:paraId="4897C38F" w14:textId="77777777" w:rsidTr="00F16963">
        <w:tc>
          <w:tcPr>
            <w:tcW w:w="1803" w:type="dxa"/>
          </w:tcPr>
          <w:p w14:paraId="60F9496D" w14:textId="77777777" w:rsidR="00770AF2" w:rsidRPr="004106B1" w:rsidRDefault="00770AF2" w:rsidP="00F16963">
            <w:pPr>
              <w:rPr>
                <w:rFonts w:ascii="Arial" w:hAnsi="Arial" w:cs="Arial"/>
              </w:rPr>
            </w:pPr>
            <w:r w:rsidRPr="004106B1">
              <w:rPr>
                <w:rFonts w:ascii="Arial" w:hAnsi="Arial" w:cs="Arial"/>
              </w:rPr>
              <w:t xml:space="preserve">Wrong for any other reason </w:t>
            </w:r>
          </w:p>
        </w:tc>
        <w:tc>
          <w:tcPr>
            <w:tcW w:w="1803" w:type="dxa"/>
          </w:tcPr>
          <w:p w14:paraId="5682CCB6" w14:textId="77777777" w:rsidR="00770AF2" w:rsidRPr="004106B1" w:rsidRDefault="00770AF2" w:rsidP="00F16963">
            <w:pPr>
              <w:rPr>
                <w:rFonts w:ascii="Arial" w:hAnsi="Arial" w:cs="Arial"/>
              </w:rPr>
            </w:pPr>
            <w:r w:rsidRPr="004106B1">
              <w:rPr>
                <w:rFonts w:ascii="Arial" w:hAnsi="Arial" w:cs="Arial"/>
              </w:rPr>
              <w:t>No</w:t>
            </w:r>
          </w:p>
        </w:tc>
        <w:tc>
          <w:tcPr>
            <w:tcW w:w="1803" w:type="dxa"/>
          </w:tcPr>
          <w:p w14:paraId="72F45474" w14:textId="77777777" w:rsidR="00770AF2" w:rsidRPr="004106B1" w:rsidRDefault="00770AF2" w:rsidP="00F16963">
            <w:pPr>
              <w:rPr>
                <w:rFonts w:ascii="Arial" w:hAnsi="Arial" w:cs="Arial"/>
              </w:rPr>
            </w:pPr>
            <w:r w:rsidRPr="004106B1">
              <w:rPr>
                <w:rFonts w:ascii="Arial" w:hAnsi="Arial" w:cs="Arial"/>
              </w:rPr>
              <w:t>No</w:t>
            </w:r>
          </w:p>
        </w:tc>
        <w:tc>
          <w:tcPr>
            <w:tcW w:w="1804" w:type="dxa"/>
          </w:tcPr>
          <w:p w14:paraId="2258ED63" w14:textId="77777777" w:rsidR="00770AF2" w:rsidRPr="004106B1" w:rsidRDefault="00770AF2" w:rsidP="00F16963">
            <w:pPr>
              <w:rPr>
                <w:rFonts w:ascii="Arial" w:hAnsi="Arial" w:cs="Arial"/>
              </w:rPr>
            </w:pPr>
            <w:r w:rsidRPr="004106B1">
              <w:rPr>
                <w:rFonts w:ascii="Arial" w:hAnsi="Arial" w:cs="Arial"/>
              </w:rPr>
              <w:t>Yes</w:t>
            </w:r>
          </w:p>
        </w:tc>
      </w:tr>
    </w:tbl>
    <w:p w14:paraId="01362191" w14:textId="77777777" w:rsidR="00770AF2" w:rsidRPr="004106B1" w:rsidRDefault="00770AF2" w:rsidP="00770AF2">
      <w:pPr>
        <w:spacing w:after="75" w:line="240" w:lineRule="auto"/>
        <w:rPr>
          <w:rFonts w:ascii="Arial" w:eastAsia="Times New Roman" w:hAnsi="Arial" w:cs="Arial"/>
          <w:color w:val="0B0C0C"/>
          <w:kern w:val="0"/>
          <w:sz w:val="24"/>
          <w:szCs w:val="24"/>
          <w:highlight w:val="yellow"/>
          <w:lang w:eastAsia="en-GB"/>
          <w14:ligatures w14:val="none"/>
        </w:rPr>
      </w:pPr>
    </w:p>
    <w:p w14:paraId="091F146B" w14:textId="77777777" w:rsidR="00770AF2" w:rsidRPr="004106B1" w:rsidRDefault="00770AF2" w:rsidP="00770AF2">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In relation to an enforcement cost recovery notice, the person required to pay costs may appeal against either:</w:t>
      </w:r>
    </w:p>
    <w:p w14:paraId="085EF7CF" w14:textId="77777777" w:rsidR="00770AF2" w:rsidRPr="004106B1" w:rsidRDefault="00770AF2" w:rsidP="00770AF2">
      <w:pPr>
        <w:numPr>
          <w:ilvl w:val="0"/>
          <w:numId w:val="1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decision to impose the requirement to pay costs</w:t>
      </w:r>
    </w:p>
    <w:p w14:paraId="3E5576BF" w14:textId="77777777" w:rsidR="00770AF2" w:rsidRPr="004106B1" w:rsidRDefault="00770AF2" w:rsidP="00770AF2">
      <w:pPr>
        <w:numPr>
          <w:ilvl w:val="0"/>
          <w:numId w:val="1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4106B1">
        <w:rPr>
          <w:rFonts w:ascii="Arial" w:eastAsia="Times New Roman" w:hAnsi="Arial" w:cs="Arial"/>
          <w:color w:val="0B0C0C"/>
          <w:kern w:val="0"/>
          <w:sz w:val="24"/>
          <w:szCs w:val="24"/>
          <w:lang w:eastAsia="en-GB"/>
          <w14:ligatures w14:val="none"/>
        </w:rPr>
        <w:t>the decision as to the amount of those costs</w:t>
      </w:r>
    </w:p>
    <w:p w14:paraId="6FB96037" w14:textId="77777777" w:rsidR="00770AF2" w:rsidRPr="004106B1" w:rsidRDefault="00770AF2" w:rsidP="00770AF2">
      <w:pPr>
        <w:rPr>
          <w:rFonts w:ascii="Arial" w:hAnsi="Arial" w:cs="Arial"/>
        </w:rPr>
      </w:pPr>
    </w:p>
    <w:p w14:paraId="40184559" w14:textId="50981A8C" w:rsidR="00770AF2" w:rsidRPr="004106B1" w:rsidRDefault="00770AF2" w:rsidP="00770AF2">
      <w:pPr>
        <w:spacing w:line="278" w:lineRule="auto"/>
        <w:rPr>
          <w:rFonts w:ascii="Arial" w:hAnsi="Arial" w:cs="Arial"/>
        </w:rPr>
      </w:pPr>
      <w:r w:rsidRPr="004106B1">
        <w:rPr>
          <w:rFonts w:ascii="Arial" w:hAnsi="Arial" w:cs="Arial"/>
        </w:rPr>
        <w:br w:type="page"/>
      </w:r>
      <w:r w:rsidRPr="004106B1">
        <w:rPr>
          <w:rFonts w:ascii="Arial" w:hAnsi="Arial" w:cs="Arial"/>
          <w:b/>
          <w:bCs/>
          <w:sz w:val="36"/>
          <w:szCs w:val="36"/>
        </w:rPr>
        <w:lastRenderedPageBreak/>
        <w:t xml:space="preserve">Part B: </w:t>
      </w:r>
      <w:r w:rsidR="009D139A">
        <w:rPr>
          <w:rFonts w:ascii="Arial" w:hAnsi="Arial" w:cs="Arial"/>
          <w:b/>
          <w:bCs/>
          <w:sz w:val="36"/>
          <w:szCs w:val="36"/>
        </w:rPr>
        <w:t xml:space="preserve">the Environment Agency`s approach under the </w:t>
      </w:r>
      <w:r w:rsidRPr="004106B1">
        <w:rPr>
          <w:rFonts w:ascii="Arial" w:hAnsi="Arial" w:cs="Arial"/>
          <w:b/>
          <w:bCs/>
          <w:sz w:val="36"/>
          <w:szCs w:val="36"/>
        </w:rPr>
        <w:t>Digital Waste Tracking Regulations 2026</w:t>
      </w:r>
    </w:p>
    <w:p w14:paraId="0CA829D6" w14:textId="4FA17AD6" w:rsidR="00770AF2" w:rsidRPr="009258B7" w:rsidRDefault="00770AF2" w:rsidP="00770AF2">
      <w:pPr>
        <w:rPr>
          <w:rFonts w:ascii="Arial" w:hAnsi="Arial" w:cs="Arial"/>
          <w:sz w:val="36"/>
          <w:szCs w:val="36"/>
        </w:rPr>
      </w:pPr>
      <w:r w:rsidRPr="009258B7">
        <w:rPr>
          <w:rFonts w:ascii="Arial" w:hAnsi="Arial" w:cs="Arial"/>
          <w:b/>
          <w:bCs/>
          <w:sz w:val="36"/>
          <w:szCs w:val="36"/>
        </w:rPr>
        <w:t>1. En</w:t>
      </w:r>
      <w:r w:rsidR="00D77143" w:rsidRPr="009258B7">
        <w:rPr>
          <w:rFonts w:ascii="Arial" w:hAnsi="Arial" w:cs="Arial"/>
          <w:b/>
          <w:bCs/>
          <w:sz w:val="36"/>
          <w:szCs w:val="36"/>
        </w:rPr>
        <w:t>forcement approach</w:t>
      </w:r>
      <w:r w:rsidRPr="009258B7">
        <w:rPr>
          <w:rFonts w:ascii="Arial" w:hAnsi="Arial" w:cs="Arial"/>
          <w:b/>
          <w:bCs/>
          <w:sz w:val="36"/>
          <w:szCs w:val="36"/>
        </w:rPr>
        <w:t> </w:t>
      </w:r>
      <w:r w:rsidRPr="009258B7">
        <w:rPr>
          <w:rFonts w:ascii="Arial" w:hAnsi="Arial" w:cs="Arial"/>
          <w:sz w:val="36"/>
          <w:szCs w:val="36"/>
        </w:rPr>
        <w:t> </w:t>
      </w:r>
    </w:p>
    <w:p w14:paraId="4E1A6A0C" w14:textId="4DF61E84" w:rsidR="00770AF2" w:rsidRPr="004106B1" w:rsidRDefault="00770AF2" w:rsidP="00770AF2">
      <w:pPr>
        <w:rPr>
          <w:rFonts w:ascii="Arial" w:hAnsi="Arial" w:cs="Arial"/>
        </w:rPr>
      </w:pPr>
      <w:r w:rsidRPr="004106B1">
        <w:rPr>
          <w:rFonts w:ascii="Arial" w:hAnsi="Arial" w:cs="Arial"/>
        </w:rPr>
        <w:t>The civil sanctions in the Digital Waste Tracking (England) Regulations 2026 (“DWT Regulations”) came into force on 1 October 2026. Other obligations relating to Digital Waste Tracking will fall within the scope of this </w:t>
      </w:r>
      <w:r w:rsidR="004106B1" w:rsidRPr="004106B1">
        <w:rPr>
          <w:rFonts w:ascii="Arial" w:hAnsi="Arial" w:cs="Arial"/>
        </w:rPr>
        <w:t>section</w:t>
      </w:r>
      <w:r w:rsidRPr="004106B1">
        <w:rPr>
          <w:rFonts w:ascii="Arial" w:hAnsi="Arial" w:cs="Arial"/>
        </w:rPr>
        <w:t xml:space="preserve"> as they come into force.</w:t>
      </w:r>
    </w:p>
    <w:p w14:paraId="66633708" w14:textId="77777777" w:rsidR="00770AF2" w:rsidRPr="004106B1" w:rsidRDefault="00770AF2" w:rsidP="00770AF2">
      <w:pPr>
        <w:rPr>
          <w:rFonts w:ascii="Arial" w:hAnsi="Arial" w:cs="Arial"/>
        </w:rPr>
      </w:pPr>
      <w:r w:rsidRPr="004106B1">
        <w:rPr>
          <w:rFonts w:ascii="Arial" w:hAnsi="Arial" w:cs="Arial"/>
        </w:rPr>
        <w:t>A full list of every breach and offence we regulate and the enforcement action available to us is in the </w:t>
      </w:r>
      <w:hyperlink r:id="rId17" w:history="1">
        <w:r w:rsidRPr="004106B1">
          <w:rPr>
            <w:rStyle w:val="Hyperlink"/>
            <w:rFonts w:ascii="Arial" w:hAnsi="Arial" w:cs="Arial"/>
          </w:rPr>
          <w:t>offence response options</w:t>
        </w:r>
      </w:hyperlink>
      <w:r w:rsidRPr="004106B1">
        <w:rPr>
          <w:rFonts w:ascii="Arial" w:hAnsi="Arial" w:cs="Arial"/>
        </w:rPr>
        <w:t> document. </w:t>
      </w:r>
    </w:p>
    <w:p w14:paraId="07432499" w14:textId="77777777" w:rsidR="00770AF2" w:rsidRPr="004106B1" w:rsidRDefault="00770AF2" w:rsidP="00770AF2">
      <w:pPr>
        <w:rPr>
          <w:rFonts w:ascii="Arial" w:hAnsi="Arial" w:cs="Arial"/>
        </w:rPr>
      </w:pPr>
      <w:r w:rsidRPr="004106B1">
        <w:rPr>
          <w:rFonts w:ascii="Arial" w:hAnsi="Arial" w:cs="Arial"/>
        </w:rPr>
        <w:t>Maintaining the integrity of the DWT system plays a vital part in:</w:t>
      </w:r>
    </w:p>
    <w:p w14:paraId="35DFAA45" w14:textId="77777777" w:rsidR="00770AF2" w:rsidRPr="004106B1" w:rsidRDefault="00770AF2" w:rsidP="00770AF2">
      <w:pPr>
        <w:numPr>
          <w:ilvl w:val="0"/>
          <w:numId w:val="25"/>
        </w:numPr>
        <w:rPr>
          <w:rFonts w:ascii="Arial" w:hAnsi="Arial" w:cs="Arial"/>
        </w:rPr>
      </w:pPr>
      <w:r w:rsidRPr="004106B1">
        <w:rPr>
          <w:rFonts w:ascii="Arial" w:hAnsi="Arial" w:cs="Arial"/>
        </w:rPr>
        <w:t>tackling waste crime</w:t>
      </w:r>
    </w:p>
    <w:p w14:paraId="6093E4BE" w14:textId="77777777" w:rsidR="00770AF2" w:rsidRPr="004106B1" w:rsidRDefault="00770AF2" w:rsidP="00770AF2">
      <w:pPr>
        <w:numPr>
          <w:ilvl w:val="0"/>
          <w:numId w:val="23"/>
        </w:numPr>
        <w:rPr>
          <w:rFonts w:ascii="Arial" w:hAnsi="Arial" w:cs="Arial"/>
        </w:rPr>
      </w:pPr>
      <w:r w:rsidRPr="004106B1">
        <w:rPr>
          <w:rFonts w:ascii="Arial" w:hAnsi="Arial" w:cs="Arial"/>
        </w:rPr>
        <w:t>promoting green growth and the circular economy</w:t>
      </w:r>
    </w:p>
    <w:p w14:paraId="24BB3866" w14:textId="77777777" w:rsidR="00770AF2" w:rsidRPr="004106B1" w:rsidRDefault="00770AF2" w:rsidP="00770AF2">
      <w:pPr>
        <w:numPr>
          <w:ilvl w:val="0"/>
          <w:numId w:val="19"/>
        </w:numPr>
        <w:rPr>
          <w:rFonts w:ascii="Arial" w:hAnsi="Arial" w:cs="Arial"/>
        </w:rPr>
      </w:pPr>
      <w:r w:rsidRPr="004106B1">
        <w:rPr>
          <w:rFonts w:ascii="Arial" w:hAnsi="Arial" w:cs="Arial"/>
        </w:rPr>
        <w:t>enhancing our data and evidence to enable more targeted intervention</w:t>
      </w:r>
    </w:p>
    <w:p w14:paraId="3D6F5FB2" w14:textId="77777777" w:rsidR="00770AF2" w:rsidRPr="004106B1" w:rsidRDefault="00770AF2" w:rsidP="00770AF2">
      <w:pPr>
        <w:numPr>
          <w:ilvl w:val="0"/>
          <w:numId w:val="14"/>
        </w:numPr>
        <w:rPr>
          <w:rFonts w:ascii="Arial" w:eastAsia="Arial" w:hAnsi="Arial" w:cs="Arial"/>
        </w:rPr>
      </w:pPr>
      <w:r w:rsidRPr="3C91BFF9">
        <w:rPr>
          <w:rFonts w:ascii="Arial" w:eastAsia="Arial" w:hAnsi="Arial" w:cs="Arial"/>
        </w:rPr>
        <w:t>reducing the UK’s contribution to climate change</w:t>
      </w:r>
    </w:p>
    <w:p w14:paraId="74B703CE" w14:textId="45F3BD34" w:rsidR="00770AF2" w:rsidRPr="004106B1" w:rsidRDefault="00770AF2" w:rsidP="00770AF2">
      <w:pPr>
        <w:rPr>
          <w:rFonts w:ascii="Arial" w:hAnsi="Arial" w:cs="Arial"/>
        </w:rPr>
      </w:pPr>
      <w:r w:rsidRPr="3C91BFF9">
        <w:rPr>
          <w:rFonts w:ascii="Arial" w:eastAsia="Arial" w:hAnsi="Arial" w:cs="Arial"/>
        </w:rPr>
        <w:t xml:space="preserve">DWT seeks to achieve these key goals by placing a responsibility on operators to comply with administrative requirements in respect of waste movements. Phase 1 of DWT will place requirements on </w:t>
      </w:r>
      <w:r w:rsidRPr="6DDE4B31">
        <w:rPr>
          <w:rFonts w:ascii="Arial" w:eastAsia="Arial" w:hAnsi="Arial" w:cs="Arial"/>
        </w:rPr>
        <w:t>permitted</w:t>
      </w:r>
      <w:r w:rsidR="2806F3EF" w:rsidRPr="6DDE4B31">
        <w:rPr>
          <w:rFonts w:ascii="Arial" w:eastAsia="Arial" w:hAnsi="Arial" w:cs="Arial"/>
        </w:rPr>
        <w:t xml:space="preserve"> waste</w:t>
      </w:r>
      <w:r w:rsidRPr="6DDE4B31">
        <w:rPr>
          <w:rFonts w:ascii="Arial" w:eastAsia="Arial" w:hAnsi="Arial" w:cs="Arial"/>
        </w:rPr>
        <w:t xml:space="preserve"> </w:t>
      </w:r>
      <w:r w:rsidR="2806F3EF" w:rsidRPr="6DDE4B31">
        <w:rPr>
          <w:rFonts w:ascii="Arial" w:eastAsia="Arial" w:hAnsi="Arial" w:cs="Arial"/>
        </w:rPr>
        <w:t xml:space="preserve">operations, installations and mobile plants that receive </w:t>
      </w:r>
      <w:r w:rsidRPr="6DDE4B31">
        <w:rPr>
          <w:rFonts w:ascii="Arial" w:eastAsia="Arial" w:hAnsi="Arial" w:cs="Arial"/>
        </w:rPr>
        <w:t>waste</w:t>
      </w:r>
      <w:r w:rsidR="2806F3EF" w:rsidRPr="6DDE4B31">
        <w:rPr>
          <w:rFonts w:ascii="Arial" w:eastAsia="Arial" w:hAnsi="Arial" w:cs="Arial"/>
        </w:rPr>
        <w:t>, including those receiving sites that are located on the same site where the waste is produced</w:t>
      </w:r>
      <w:r w:rsidRPr="3C91BFF9">
        <w:rPr>
          <w:rFonts w:ascii="Arial" w:eastAsia="Arial" w:hAnsi="Arial" w:cs="Arial"/>
        </w:rPr>
        <w:t>. Later phases will place requirements on others involved in a waste movement including waste receivers wit</w:t>
      </w:r>
      <w:r w:rsidRPr="004106B1">
        <w:rPr>
          <w:rFonts w:ascii="Arial" w:hAnsi="Arial" w:cs="Arial"/>
        </w:rPr>
        <w:t>h registered exemptions, producers and holders, including those who transport and control waste. Due to the nature of the DWT system, it is appropriate to rely on harm to the integrity of the system when applying the categories of harm in the guideline: “interference with, prevention or undermining of other lawful activities or regulatory regime due to offence”.  </w:t>
      </w:r>
    </w:p>
    <w:p w14:paraId="2C19F55E" w14:textId="0E0365E7" w:rsidR="00770AF2" w:rsidRPr="004106B1" w:rsidRDefault="00890632" w:rsidP="00770AF2">
      <w:pPr>
        <w:rPr>
          <w:rFonts w:ascii="Arial" w:hAnsi="Arial" w:cs="Arial"/>
        </w:rPr>
      </w:pPr>
      <w:r>
        <w:rPr>
          <w:rFonts w:ascii="Arial" w:hAnsi="Arial" w:cs="Arial"/>
        </w:rPr>
        <w:t>The Environment Agency</w:t>
      </w:r>
      <w:r w:rsidR="00770AF2" w:rsidRPr="004106B1">
        <w:rPr>
          <w:rFonts w:ascii="Arial" w:hAnsi="Arial" w:cs="Arial"/>
        </w:rPr>
        <w:t xml:space="preserve"> ha</w:t>
      </w:r>
      <w:r>
        <w:rPr>
          <w:rFonts w:ascii="Arial" w:hAnsi="Arial" w:cs="Arial"/>
        </w:rPr>
        <w:t>s</w:t>
      </w:r>
      <w:r w:rsidR="00770AF2" w:rsidRPr="004106B1">
        <w:rPr>
          <w:rFonts w:ascii="Arial" w:hAnsi="Arial" w:cs="Arial"/>
        </w:rPr>
        <w:t xml:space="preserve"> the power to impose a civil or criminal sanction in relation to a breach of a requirement or prohibition </w:t>
      </w:r>
      <w:r w:rsidR="00B7501E">
        <w:rPr>
          <w:rFonts w:ascii="Arial" w:hAnsi="Arial" w:cs="Arial"/>
        </w:rPr>
        <w:t>in</w:t>
      </w:r>
      <w:r w:rsidR="00770AF2" w:rsidRPr="004106B1">
        <w:rPr>
          <w:rFonts w:ascii="Arial" w:hAnsi="Arial" w:cs="Arial"/>
        </w:rPr>
        <w:t xml:space="preserve"> the DWT Regulations. We will assess the nature and circumstances of the breach to determine the most appropriate enforcement response. If we decide that a civil sanction is appropriate, we also have a choice whether to impose a fixed monetary penalty (FMP) or variable monetary penalty (VMP) in relation to a specific breach, alongside compliance notices.</w:t>
      </w:r>
    </w:p>
    <w:p w14:paraId="217D7999" w14:textId="30ADBEC1" w:rsidR="7A1D7D5B" w:rsidRDefault="7A1D7D5B" w:rsidP="60B048B1">
      <w:pPr>
        <w:rPr>
          <w:rFonts w:ascii="Arial" w:eastAsia="Aptos" w:hAnsi="Arial" w:cs="Arial"/>
        </w:rPr>
      </w:pPr>
      <w:r w:rsidRPr="5AC1832F">
        <w:rPr>
          <w:rFonts w:ascii="Arial" w:eastAsia="Aptos" w:hAnsi="Arial" w:cs="Arial"/>
        </w:rPr>
        <w:t>Breaches of the DWT Regulations may be identified in conjunction with breaches of other environmental laws</w:t>
      </w:r>
      <w:r w:rsidR="001E49AE">
        <w:rPr>
          <w:rFonts w:ascii="Arial" w:eastAsia="Aptos" w:hAnsi="Arial" w:cs="Arial"/>
        </w:rPr>
        <w:t xml:space="preserve"> by </w:t>
      </w:r>
      <w:r w:rsidR="008C5CFF">
        <w:rPr>
          <w:rFonts w:ascii="Arial" w:eastAsia="Aptos" w:hAnsi="Arial" w:cs="Arial"/>
        </w:rPr>
        <w:t>the sam</w:t>
      </w:r>
      <w:r w:rsidR="005947A1">
        <w:rPr>
          <w:rFonts w:ascii="Arial" w:eastAsia="Aptos" w:hAnsi="Arial" w:cs="Arial"/>
        </w:rPr>
        <w:t xml:space="preserve">e </w:t>
      </w:r>
      <w:r w:rsidR="00091892">
        <w:rPr>
          <w:rFonts w:ascii="Arial" w:eastAsia="Aptos" w:hAnsi="Arial" w:cs="Arial"/>
        </w:rPr>
        <w:t>per</w:t>
      </w:r>
      <w:r w:rsidR="00E330D8">
        <w:rPr>
          <w:rFonts w:ascii="Arial" w:eastAsia="Aptos" w:hAnsi="Arial" w:cs="Arial"/>
        </w:rPr>
        <w:t>son</w:t>
      </w:r>
      <w:r w:rsidRPr="5AC1832F">
        <w:rPr>
          <w:rFonts w:ascii="Arial" w:eastAsia="Aptos" w:hAnsi="Arial" w:cs="Arial"/>
        </w:rPr>
        <w:t xml:space="preserve"> (which would then be “associated breaches”) such as: Environmental Permitting Regulations 2016, Hazardous Waste Regulations 2005, Environmental Protection Act </w:t>
      </w:r>
      <w:r w:rsidRPr="47CF0021">
        <w:rPr>
          <w:rFonts w:ascii="Arial" w:eastAsia="Aptos" w:hAnsi="Arial" w:cs="Arial"/>
        </w:rPr>
        <w:t>1990</w:t>
      </w:r>
      <w:r w:rsidRPr="5AC1832F">
        <w:rPr>
          <w:rFonts w:ascii="Arial" w:eastAsia="Aptos" w:hAnsi="Arial" w:cs="Arial"/>
        </w:rPr>
        <w:t xml:space="preserve"> or Transfrontier Shipment of Waste Regulations 2007. Where we decide that prosecution is an appropriate enforcement response for an associated breach </w:t>
      </w:r>
      <w:r w:rsidRPr="67CBEF23">
        <w:rPr>
          <w:rFonts w:ascii="Arial" w:eastAsia="Aptos" w:hAnsi="Arial" w:cs="Arial"/>
        </w:rPr>
        <w:t>which arises from the same fact pattern</w:t>
      </w:r>
      <w:r w:rsidRPr="5AC1832F">
        <w:rPr>
          <w:rFonts w:ascii="Arial" w:eastAsia="Aptos" w:hAnsi="Arial" w:cs="Arial"/>
        </w:rPr>
        <w:t>, we will consider the DWT offences as part of the charging decision</w:t>
      </w:r>
      <w:r w:rsidR="007E39C6">
        <w:rPr>
          <w:rFonts w:ascii="Arial" w:eastAsia="Aptos" w:hAnsi="Arial" w:cs="Arial"/>
        </w:rPr>
        <w:t xml:space="preserve"> a</w:t>
      </w:r>
      <w:r w:rsidR="001B6BCD">
        <w:rPr>
          <w:rFonts w:ascii="Arial" w:eastAsia="Aptos" w:hAnsi="Arial" w:cs="Arial"/>
        </w:rPr>
        <w:t>nd</w:t>
      </w:r>
      <w:r w:rsidR="00447FC1">
        <w:rPr>
          <w:rFonts w:ascii="Arial" w:eastAsia="Aptos" w:hAnsi="Arial" w:cs="Arial"/>
        </w:rPr>
        <w:t xml:space="preserve"> w</w:t>
      </w:r>
      <w:r w:rsidRPr="5AC1832F">
        <w:rPr>
          <w:rFonts w:ascii="Arial" w:eastAsia="Aptos" w:hAnsi="Arial" w:cs="Arial"/>
        </w:rPr>
        <w:t xml:space="preserve">e will not impose a civil penalty in a case where we have </w:t>
      </w:r>
      <w:r w:rsidR="00EF7D84">
        <w:rPr>
          <w:rFonts w:ascii="Arial" w:eastAsia="Aptos" w:hAnsi="Arial" w:cs="Arial"/>
        </w:rPr>
        <w:t>decide</w:t>
      </w:r>
      <w:r w:rsidR="007F7B41">
        <w:rPr>
          <w:rFonts w:ascii="Arial" w:eastAsia="Aptos" w:hAnsi="Arial" w:cs="Arial"/>
        </w:rPr>
        <w:t>d not t</w:t>
      </w:r>
      <w:r w:rsidR="0084734E">
        <w:rPr>
          <w:rFonts w:ascii="Arial" w:eastAsia="Aptos" w:hAnsi="Arial" w:cs="Arial"/>
        </w:rPr>
        <w:t>o pros</w:t>
      </w:r>
      <w:r w:rsidR="004479EE">
        <w:rPr>
          <w:rFonts w:ascii="Arial" w:eastAsia="Aptos" w:hAnsi="Arial" w:cs="Arial"/>
        </w:rPr>
        <w:t xml:space="preserve">ecute </w:t>
      </w:r>
      <w:r w:rsidRPr="5AC1832F">
        <w:rPr>
          <w:rFonts w:ascii="Arial" w:eastAsia="Aptos" w:hAnsi="Arial" w:cs="Arial"/>
        </w:rPr>
        <w:t>for the DWT offence</w:t>
      </w:r>
      <w:r w:rsidR="00D52A98">
        <w:rPr>
          <w:rFonts w:ascii="Arial" w:eastAsia="Aptos" w:hAnsi="Arial" w:cs="Arial"/>
        </w:rPr>
        <w:t>s</w:t>
      </w:r>
      <w:r w:rsidR="0096678C">
        <w:rPr>
          <w:rFonts w:ascii="Arial" w:eastAsia="Aptos" w:hAnsi="Arial" w:cs="Arial"/>
        </w:rPr>
        <w:t xml:space="preserve"> in these circumstances</w:t>
      </w:r>
      <w:r w:rsidRPr="5AC1832F">
        <w:rPr>
          <w:rFonts w:ascii="Arial" w:eastAsia="Aptos" w:hAnsi="Arial" w:cs="Arial"/>
        </w:rPr>
        <w:t xml:space="preserve">.  </w:t>
      </w:r>
    </w:p>
    <w:p w14:paraId="4A63158D" w14:textId="04FA0E32" w:rsidR="7A1D7D5B" w:rsidRDefault="7A1D7D5B" w:rsidP="60B048B1">
      <w:pPr>
        <w:rPr>
          <w:rFonts w:ascii="Arial" w:eastAsia="Aptos" w:hAnsi="Arial" w:cs="Arial"/>
        </w:rPr>
      </w:pPr>
      <w:r w:rsidRPr="5AC1832F">
        <w:rPr>
          <w:rFonts w:ascii="Arial" w:eastAsia="Aptos" w:hAnsi="Arial" w:cs="Arial"/>
        </w:rPr>
        <w:t xml:space="preserve">In certain </w:t>
      </w:r>
      <w:proofErr w:type="gramStart"/>
      <w:r w:rsidRPr="5AC1832F">
        <w:rPr>
          <w:rFonts w:ascii="Arial" w:eastAsia="Aptos" w:hAnsi="Arial" w:cs="Arial"/>
        </w:rPr>
        <w:t>cases</w:t>
      </w:r>
      <w:proofErr w:type="gramEnd"/>
      <w:r w:rsidRPr="5AC1832F">
        <w:rPr>
          <w:rFonts w:ascii="Arial" w:eastAsia="Aptos" w:hAnsi="Arial" w:cs="Arial"/>
        </w:rPr>
        <w:t xml:space="preserve"> we may decide that it is appropriate to take enforcement action in respect of associated </w:t>
      </w:r>
      <w:r w:rsidR="00827258">
        <w:rPr>
          <w:rFonts w:ascii="Arial" w:eastAsia="Aptos" w:hAnsi="Arial" w:cs="Arial"/>
        </w:rPr>
        <w:t>breaches</w:t>
      </w:r>
      <w:r w:rsidRPr="5AC1832F">
        <w:rPr>
          <w:rFonts w:ascii="Arial" w:eastAsia="Aptos" w:hAnsi="Arial" w:cs="Arial"/>
        </w:rPr>
        <w:t xml:space="preserve"> after a civil penalty has been imposed for the DWT breaches</w:t>
      </w:r>
      <w:r w:rsidR="45F27AFB" w:rsidRPr="38506CE8">
        <w:rPr>
          <w:rFonts w:ascii="Arial" w:eastAsia="Aptos" w:hAnsi="Arial" w:cs="Arial"/>
        </w:rPr>
        <w:t xml:space="preserve">. </w:t>
      </w:r>
      <w:r w:rsidR="45F27AFB" w:rsidRPr="794CDA74">
        <w:rPr>
          <w:rFonts w:ascii="Arial" w:eastAsia="Aptos" w:hAnsi="Arial" w:cs="Arial"/>
        </w:rPr>
        <w:t>T</w:t>
      </w:r>
      <w:r w:rsidRPr="794CDA74">
        <w:rPr>
          <w:rFonts w:ascii="Arial" w:eastAsia="Aptos" w:hAnsi="Arial" w:cs="Arial"/>
        </w:rPr>
        <w:t>his</w:t>
      </w:r>
      <w:r w:rsidRPr="5AC1832F">
        <w:rPr>
          <w:rFonts w:ascii="Arial" w:eastAsia="Aptos" w:hAnsi="Arial" w:cs="Arial"/>
        </w:rPr>
        <w:t xml:space="preserve"> may include, for example, where we were unaware of the associated </w:t>
      </w:r>
      <w:r w:rsidR="002839CB">
        <w:rPr>
          <w:rFonts w:ascii="Arial" w:eastAsia="Aptos" w:hAnsi="Arial" w:cs="Arial"/>
        </w:rPr>
        <w:t>b</w:t>
      </w:r>
      <w:r w:rsidR="005D789C">
        <w:rPr>
          <w:rFonts w:ascii="Arial" w:eastAsia="Aptos" w:hAnsi="Arial" w:cs="Arial"/>
        </w:rPr>
        <w:t>reac</w:t>
      </w:r>
      <w:r w:rsidR="00AF6512">
        <w:rPr>
          <w:rFonts w:ascii="Arial" w:eastAsia="Aptos" w:hAnsi="Arial" w:cs="Arial"/>
        </w:rPr>
        <w:t xml:space="preserve">hes </w:t>
      </w:r>
      <w:r w:rsidRPr="5AC1832F">
        <w:rPr>
          <w:rFonts w:ascii="Arial" w:eastAsia="Aptos" w:hAnsi="Arial" w:cs="Arial"/>
        </w:rPr>
        <w:t xml:space="preserve">or </w:t>
      </w:r>
      <w:r w:rsidR="00221B02">
        <w:rPr>
          <w:rFonts w:ascii="Arial" w:eastAsia="Aptos" w:hAnsi="Arial" w:cs="Arial"/>
        </w:rPr>
        <w:t>their</w:t>
      </w:r>
      <w:r w:rsidRPr="5AC1832F">
        <w:rPr>
          <w:rFonts w:ascii="Arial" w:eastAsia="Aptos" w:hAnsi="Arial" w:cs="Arial"/>
        </w:rPr>
        <w:t xml:space="preserve"> severity at the time the penalty was imposed. </w:t>
      </w:r>
    </w:p>
    <w:p w14:paraId="6912C8BC" w14:textId="77777777" w:rsidR="0046013F" w:rsidRDefault="0046013F" w:rsidP="60B048B1">
      <w:pPr>
        <w:rPr>
          <w:rFonts w:ascii="Arial" w:eastAsia="Aptos" w:hAnsi="Arial" w:cs="Arial"/>
          <w:i/>
          <w:iCs/>
        </w:rPr>
      </w:pPr>
    </w:p>
    <w:p w14:paraId="03DE2374" w14:textId="0D6406AE" w:rsidR="00770AF2" w:rsidRPr="004106B1" w:rsidRDefault="00F2753F" w:rsidP="00770AF2">
      <w:pPr>
        <w:rPr>
          <w:rFonts w:ascii="Arial" w:hAnsi="Arial" w:cs="Arial"/>
        </w:rPr>
      </w:pPr>
      <w:r>
        <w:rPr>
          <w:rFonts w:ascii="Arial" w:hAnsi="Arial" w:cs="Arial"/>
        </w:rPr>
        <w:t>W</w:t>
      </w:r>
      <w:r w:rsidR="00770AF2" w:rsidRPr="004106B1">
        <w:rPr>
          <w:rFonts w:ascii="Arial" w:hAnsi="Arial" w:cs="Arial"/>
        </w:rPr>
        <w:t xml:space="preserve">e will normally impose a civil penalty under the DWT Regulations in the following cases:- </w:t>
      </w:r>
    </w:p>
    <w:p w14:paraId="7C02DBE6" w14:textId="77777777" w:rsidR="00770AF2" w:rsidRPr="004106B1" w:rsidRDefault="00770AF2" w:rsidP="00770AF2">
      <w:pPr>
        <w:numPr>
          <w:ilvl w:val="0"/>
          <w:numId w:val="13"/>
        </w:numPr>
        <w:rPr>
          <w:rFonts w:ascii="Arial" w:hAnsi="Arial" w:cs="Arial"/>
        </w:rPr>
      </w:pPr>
      <w:r w:rsidRPr="004106B1">
        <w:rPr>
          <w:rFonts w:ascii="Arial" w:hAnsi="Arial" w:cs="Arial"/>
        </w:rPr>
        <w:t>in cases where there is a standalone breach of the DWT Regulations, unrelated to a wider incident or other breaches;</w:t>
      </w:r>
    </w:p>
    <w:p w14:paraId="14BB00B1" w14:textId="3B2FEB9C" w:rsidR="00770AF2" w:rsidRPr="004106B1" w:rsidRDefault="00770AF2" w:rsidP="00770AF2">
      <w:pPr>
        <w:numPr>
          <w:ilvl w:val="0"/>
          <w:numId w:val="13"/>
        </w:numPr>
        <w:rPr>
          <w:rFonts w:ascii="Arial" w:hAnsi="Arial" w:cs="Arial"/>
        </w:rPr>
      </w:pPr>
      <w:r w:rsidRPr="004106B1">
        <w:rPr>
          <w:rFonts w:ascii="Arial" w:hAnsi="Arial" w:cs="Arial"/>
        </w:rPr>
        <w:t xml:space="preserve">where enforcement responses other than prosecution are pursued for </w:t>
      </w:r>
      <w:r w:rsidR="00317262">
        <w:rPr>
          <w:rFonts w:ascii="Arial" w:hAnsi="Arial" w:cs="Arial"/>
        </w:rPr>
        <w:t>ass</w:t>
      </w:r>
      <w:r w:rsidR="00EE5938">
        <w:rPr>
          <w:rFonts w:ascii="Arial" w:hAnsi="Arial" w:cs="Arial"/>
        </w:rPr>
        <w:t>ocia</w:t>
      </w:r>
      <w:r w:rsidR="007E3334">
        <w:rPr>
          <w:rFonts w:ascii="Arial" w:hAnsi="Arial" w:cs="Arial"/>
        </w:rPr>
        <w:t>ted</w:t>
      </w:r>
      <w:r w:rsidR="00B267E2">
        <w:rPr>
          <w:rFonts w:ascii="Arial" w:hAnsi="Arial" w:cs="Arial"/>
        </w:rPr>
        <w:t xml:space="preserve"> </w:t>
      </w:r>
      <w:r w:rsidRPr="004106B1">
        <w:rPr>
          <w:rFonts w:ascii="Arial" w:hAnsi="Arial" w:cs="Arial"/>
        </w:rPr>
        <w:t>breaches within a wider incident</w:t>
      </w:r>
      <w:r w:rsidR="007647AE">
        <w:rPr>
          <w:rFonts w:ascii="Arial" w:hAnsi="Arial" w:cs="Arial"/>
        </w:rPr>
        <w:t>.</w:t>
      </w:r>
    </w:p>
    <w:p w14:paraId="212653CB" w14:textId="4CFC8DC3" w:rsidR="00770AF2" w:rsidRPr="004106B1" w:rsidRDefault="00770AF2" w:rsidP="00770AF2">
      <w:pPr>
        <w:rPr>
          <w:rFonts w:ascii="Arial" w:hAnsi="Arial" w:cs="Arial"/>
        </w:rPr>
      </w:pPr>
      <w:r w:rsidRPr="004106B1">
        <w:rPr>
          <w:rFonts w:ascii="Arial" w:hAnsi="Arial" w:cs="Arial"/>
        </w:rPr>
        <w:t xml:space="preserve">We will usually reserve criminal prosecution of standalone breaches of the </w:t>
      </w:r>
      <w:r w:rsidRPr="4C4DADF4">
        <w:rPr>
          <w:rFonts w:ascii="Arial" w:hAnsi="Arial" w:cs="Arial"/>
        </w:rPr>
        <w:t>DWT</w:t>
      </w:r>
      <w:r w:rsidR="35855EF5" w:rsidRPr="0C351073">
        <w:rPr>
          <w:rFonts w:ascii="Arial" w:hAnsi="Arial" w:cs="Arial"/>
        </w:rPr>
        <w:t xml:space="preserve"> Regulations</w:t>
      </w:r>
      <w:r w:rsidRPr="004106B1">
        <w:rPr>
          <w:rFonts w:ascii="Arial" w:hAnsi="Arial" w:cs="Arial"/>
        </w:rPr>
        <w:t>, unrelated to a wider incident, for conduct which has particularly reprehensible elements, such as: </w:t>
      </w:r>
    </w:p>
    <w:p w14:paraId="566960BF" w14:textId="77777777" w:rsidR="00770AF2" w:rsidRPr="004106B1" w:rsidRDefault="00770AF2" w:rsidP="483E9AC4">
      <w:pPr>
        <w:pStyle w:val="ListParagraph"/>
        <w:numPr>
          <w:ilvl w:val="0"/>
          <w:numId w:val="5"/>
        </w:numPr>
        <w:rPr>
          <w:rFonts w:ascii="Arial" w:hAnsi="Arial" w:cs="Arial"/>
        </w:rPr>
      </w:pPr>
      <w:r w:rsidRPr="004106B1">
        <w:rPr>
          <w:rFonts w:ascii="Arial" w:hAnsi="Arial" w:cs="Arial"/>
        </w:rPr>
        <w:t>Fraud;</w:t>
      </w:r>
    </w:p>
    <w:p w14:paraId="23B15C99" w14:textId="02619804" w:rsidR="00770AF2" w:rsidRPr="004106B1" w:rsidRDefault="3D0EE7B0" w:rsidP="483E9AC4">
      <w:pPr>
        <w:pStyle w:val="ListParagraph"/>
        <w:numPr>
          <w:ilvl w:val="0"/>
          <w:numId w:val="5"/>
        </w:numPr>
        <w:rPr>
          <w:rFonts w:ascii="Arial" w:hAnsi="Arial" w:cs="Arial"/>
        </w:rPr>
      </w:pPr>
      <w:r w:rsidRPr="5428FDCB">
        <w:rPr>
          <w:rFonts w:ascii="Arial" w:hAnsi="Arial" w:cs="Arial"/>
        </w:rPr>
        <w:t>B</w:t>
      </w:r>
      <w:r w:rsidR="00770AF2" w:rsidRPr="5428FDCB">
        <w:rPr>
          <w:rFonts w:ascii="Arial" w:hAnsi="Arial" w:cs="Arial"/>
        </w:rPr>
        <w:t>ad</w:t>
      </w:r>
      <w:r w:rsidR="00770AF2" w:rsidRPr="004106B1">
        <w:rPr>
          <w:rFonts w:ascii="Arial" w:hAnsi="Arial" w:cs="Arial"/>
        </w:rPr>
        <w:t xml:space="preserve"> faith, such as deliberate acts which cause major harm to the integrity of the DWT system;</w:t>
      </w:r>
    </w:p>
    <w:p w14:paraId="1A08EA84" w14:textId="603BF04B" w:rsidR="003E741F" w:rsidRPr="003E741F" w:rsidRDefault="2EC9AE53" w:rsidP="003E741F">
      <w:pPr>
        <w:pStyle w:val="ListParagraph"/>
        <w:numPr>
          <w:ilvl w:val="0"/>
          <w:numId w:val="5"/>
        </w:numPr>
        <w:rPr>
          <w:rFonts w:ascii="Arial" w:hAnsi="Arial" w:cs="Arial"/>
        </w:rPr>
      </w:pPr>
      <w:r w:rsidRPr="5428FDCB">
        <w:rPr>
          <w:rFonts w:ascii="Arial" w:hAnsi="Arial" w:cs="Arial"/>
        </w:rPr>
        <w:t>M</w:t>
      </w:r>
      <w:r w:rsidR="00770AF2" w:rsidRPr="5428FDCB">
        <w:rPr>
          <w:rFonts w:ascii="Arial" w:hAnsi="Arial" w:cs="Arial"/>
        </w:rPr>
        <w:t>isleading</w:t>
      </w:r>
      <w:r w:rsidR="00770AF2" w:rsidRPr="004106B1">
        <w:rPr>
          <w:rFonts w:ascii="Arial" w:hAnsi="Arial" w:cs="Arial"/>
        </w:rPr>
        <w:t xml:space="preserve"> statements or conduct.</w:t>
      </w:r>
    </w:p>
    <w:p w14:paraId="69AF7DF8" w14:textId="666846CA" w:rsidR="006024C8" w:rsidRDefault="006024C8" w:rsidP="00770AF2">
      <w:pPr>
        <w:rPr>
          <w:rFonts w:ascii="Arial" w:hAnsi="Arial" w:cs="Arial"/>
        </w:rPr>
      </w:pPr>
      <w:r w:rsidRPr="003E741F">
        <w:rPr>
          <w:rFonts w:ascii="Arial" w:eastAsia="Aptos" w:hAnsi="Arial" w:cs="Arial"/>
        </w:rPr>
        <w:t>We will not impose a civil penalty and prosecute for the same DWT offence.</w:t>
      </w:r>
      <w:r w:rsidRPr="003E741F">
        <w:rPr>
          <w:rFonts w:ascii="Arial" w:hAnsi="Arial" w:cs="Arial"/>
        </w:rPr>
        <w:t> </w:t>
      </w:r>
    </w:p>
    <w:p w14:paraId="6D9162DB" w14:textId="47036E69" w:rsidR="00770AF2" w:rsidRPr="004106B1" w:rsidRDefault="00770AF2" w:rsidP="00770AF2">
      <w:pPr>
        <w:rPr>
          <w:rFonts w:ascii="Arial" w:hAnsi="Arial" w:cs="Arial"/>
        </w:rPr>
      </w:pPr>
      <w:r w:rsidRPr="004106B1">
        <w:rPr>
          <w:rFonts w:ascii="Arial" w:hAnsi="Arial" w:cs="Arial"/>
        </w:rPr>
        <w:t>In cases which concern false or misleading statements, or intentionally making false entries in any record, we will additionally consider prosecution for breach of section 44 of Environmental Protection Act 1990</w:t>
      </w:r>
      <w:r w:rsidRPr="6AAA84E5">
        <w:rPr>
          <w:rFonts w:ascii="Arial" w:hAnsi="Arial" w:cs="Arial"/>
        </w:rPr>
        <w:t>.</w:t>
      </w:r>
      <w:r w:rsidRPr="004106B1">
        <w:rPr>
          <w:rFonts w:ascii="Arial" w:hAnsi="Arial" w:cs="Arial"/>
        </w:rPr>
        <w:t> A person who commits an offence under section 44 EPA 1990 shall be liable: </w:t>
      </w:r>
    </w:p>
    <w:p w14:paraId="7D8A58A7" w14:textId="6B8629B2" w:rsidR="00770AF2" w:rsidRPr="004106B1" w:rsidRDefault="00770AF2" w:rsidP="4CA9095E">
      <w:pPr>
        <w:ind w:left="720"/>
        <w:rPr>
          <w:rFonts w:ascii="Arial" w:hAnsi="Arial" w:cs="Arial"/>
        </w:rPr>
      </w:pPr>
      <w:r w:rsidRPr="004106B1">
        <w:rPr>
          <w:rFonts w:ascii="Arial" w:hAnsi="Arial" w:cs="Arial"/>
        </w:rPr>
        <w:t>(a)</w:t>
      </w:r>
      <w:r w:rsidR="4AB4D720" w:rsidRPr="414B035A">
        <w:rPr>
          <w:rFonts w:ascii="Arial" w:hAnsi="Arial" w:cs="Arial"/>
        </w:rPr>
        <w:t xml:space="preserve"> </w:t>
      </w:r>
      <w:r w:rsidRPr="004106B1">
        <w:rPr>
          <w:rFonts w:ascii="Arial" w:hAnsi="Arial" w:cs="Arial"/>
        </w:rPr>
        <w:t>on summary conviction, to a fine not exceeding the statutory maximum; </w:t>
      </w:r>
    </w:p>
    <w:p w14:paraId="3F77EA7D" w14:textId="56073E9E" w:rsidR="00770AF2" w:rsidRPr="004106B1" w:rsidRDefault="00770AF2" w:rsidP="4CA9095E">
      <w:pPr>
        <w:ind w:left="720"/>
        <w:rPr>
          <w:rFonts w:ascii="Arial" w:hAnsi="Arial" w:cs="Arial"/>
        </w:rPr>
      </w:pPr>
      <w:r w:rsidRPr="004106B1">
        <w:rPr>
          <w:rFonts w:ascii="Arial" w:hAnsi="Arial" w:cs="Arial"/>
        </w:rPr>
        <w:t>(b)</w:t>
      </w:r>
      <w:r w:rsidR="08E8CF64" w:rsidRPr="2F0CE05B">
        <w:rPr>
          <w:rFonts w:ascii="Arial" w:hAnsi="Arial" w:cs="Arial"/>
        </w:rPr>
        <w:t xml:space="preserve"> </w:t>
      </w:r>
      <w:r w:rsidRPr="004106B1">
        <w:rPr>
          <w:rFonts w:ascii="Arial" w:hAnsi="Arial" w:cs="Arial"/>
        </w:rPr>
        <w:t>on conviction on indictment, to a fine or to imprisonment for a term not exceeding two years, or to both. </w:t>
      </w:r>
    </w:p>
    <w:p w14:paraId="766BA5EF" w14:textId="37D8A4FF" w:rsidR="00770AF2" w:rsidRPr="004106B1" w:rsidRDefault="00770AF2" w:rsidP="00770AF2">
      <w:pPr>
        <w:rPr>
          <w:rFonts w:ascii="Arial" w:hAnsi="Arial" w:cs="Arial"/>
        </w:rPr>
      </w:pPr>
      <w:r w:rsidRPr="004106B1">
        <w:rPr>
          <w:rFonts w:ascii="Arial" w:hAnsi="Arial" w:cs="Arial"/>
        </w:rPr>
        <w:t>We have a choice about whether to impose an FMP or a VMP for breaches of the DWT Regulations. </w:t>
      </w:r>
    </w:p>
    <w:p w14:paraId="1AC9AA94" w14:textId="77777777" w:rsidR="00770AF2" w:rsidRPr="004106B1" w:rsidRDefault="00770AF2" w:rsidP="00770AF2">
      <w:pPr>
        <w:rPr>
          <w:rFonts w:ascii="Arial" w:hAnsi="Arial" w:cs="Arial"/>
        </w:rPr>
      </w:pPr>
      <w:r w:rsidRPr="004106B1">
        <w:rPr>
          <w:rFonts w:ascii="Arial" w:hAnsi="Arial" w:cs="Arial"/>
        </w:rPr>
        <w:t>We will issue FMPs for breaches where we consider there is only low / no culpability and:</w:t>
      </w:r>
    </w:p>
    <w:p w14:paraId="45A1A0D8" w14:textId="77777777" w:rsidR="00770AF2" w:rsidRPr="004106B1" w:rsidRDefault="00770AF2" w:rsidP="6D107B76">
      <w:pPr>
        <w:pStyle w:val="ListParagraph"/>
        <w:numPr>
          <w:ilvl w:val="0"/>
          <w:numId w:val="7"/>
        </w:numPr>
        <w:rPr>
          <w:rFonts w:ascii="Arial" w:hAnsi="Arial" w:cs="Arial"/>
        </w:rPr>
      </w:pPr>
      <w:r w:rsidRPr="004106B1">
        <w:rPr>
          <w:rFonts w:ascii="Arial" w:hAnsi="Arial" w:cs="Arial"/>
        </w:rPr>
        <w:t>the breach causes at most only a risk of harm, not actual harm, to the integrity of the DWT system</w:t>
      </w:r>
      <w:r w:rsidRPr="52F453AE">
        <w:rPr>
          <w:rFonts w:ascii="Arial" w:hAnsi="Arial" w:cs="Arial"/>
        </w:rPr>
        <w:t xml:space="preserve"> </w:t>
      </w:r>
      <w:r w:rsidRPr="004106B1">
        <w:rPr>
          <w:rFonts w:ascii="Arial" w:hAnsi="Arial" w:cs="Arial"/>
        </w:rPr>
        <w:t>or to the environment;</w:t>
      </w:r>
    </w:p>
    <w:p w14:paraId="64A45755" w14:textId="77777777" w:rsidR="00770AF2" w:rsidRPr="004106B1" w:rsidRDefault="00770AF2" w:rsidP="6D107B76">
      <w:pPr>
        <w:pStyle w:val="ListParagraph"/>
        <w:numPr>
          <w:ilvl w:val="0"/>
          <w:numId w:val="7"/>
        </w:numPr>
        <w:rPr>
          <w:rFonts w:ascii="Arial" w:hAnsi="Arial" w:cs="Arial"/>
        </w:rPr>
      </w:pPr>
      <w:r w:rsidRPr="004106B1">
        <w:rPr>
          <w:rFonts w:ascii="Arial" w:hAnsi="Arial" w:cs="Arial"/>
        </w:rPr>
        <w:t>the offence is not linked to actual environmental harm;</w:t>
      </w:r>
    </w:p>
    <w:p w14:paraId="0FB7420E" w14:textId="77777777" w:rsidR="00770AF2" w:rsidRPr="004106B1" w:rsidRDefault="00770AF2" w:rsidP="6D107B76">
      <w:pPr>
        <w:pStyle w:val="ListParagraph"/>
        <w:numPr>
          <w:ilvl w:val="0"/>
          <w:numId w:val="7"/>
        </w:numPr>
        <w:rPr>
          <w:rFonts w:ascii="Arial" w:hAnsi="Arial" w:cs="Arial"/>
        </w:rPr>
      </w:pPr>
      <w:r w:rsidRPr="004106B1">
        <w:rPr>
          <w:rFonts w:ascii="Arial" w:hAnsi="Arial" w:cs="Arial"/>
        </w:rPr>
        <w:t>no financial benefit has been accrued.</w:t>
      </w:r>
    </w:p>
    <w:p w14:paraId="046DD554" w14:textId="77777777" w:rsidR="00770AF2" w:rsidRPr="004106B1" w:rsidRDefault="00770AF2" w:rsidP="00770AF2">
      <w:pPr>
        <w:rPr>
          <w:rFonts w:ascii="Arial" w:hAnsi="Arial" w:cs="Arial"/>
        </w:rPr>
      </w:pPr>
      <w:r w:rsidRPr="004106B1">
        <w:rPr>
          <w:rFonts w:ascii="Arial" w:hAnsi="Arial" w:cs="Arial"/>
        </w:rPr>
        <w:t>We will make sure that the recipient of a notice of intent to impose a financial penalty understands the case against them. We will set out the alleged breach and the reasons for the proposed penalty. </w:t>
      </w:r>
    </w:p>
    <w:p w14:paraId="049D9A83" w14:textId="77777777" w:rsidR="00770AF2" w:rsidRPr="004106B1" w:rsidRDefault="00770AF2" w:rsidP="00770AF2">
      <w:pPr>
        <w:rPr>
          <w:rFonts w:ascii="Arial" w:hAnsi="Arial" w:cs="Arial"/>
        </w:rPr>
      </w:pPr>
      <w:r w:rsidRPr="004106B1">
        <w:rPr>
          <w:rFonts w:ascii="Arial" w:hAnsi="Arial" w:cs="Arial"/>
        </w:rPr>
        <w:t>When we impose a monetary penalty, it must be paid by the date stated on the notice. If we consider it appropriate, we may extend the time for payment. </w:t>
      </w:r>
    </w:p>
    <w:p w14:paraId="2D3D4066" w14:textId="77777777" w:rsidR="00770AF2" w:rsidRPr="004106B1" w:rsidRDefault="00770AF2" w:rsidP="00770AF2">
      <w:pPr>
        <w:rPr>
          <w:rFonts w:ascii="Arial" w:hAnsi="Arial" w:cs="Arial"/>
        </w:rPr>
      </w:pPr>
      <w:r w:rsidRPr="004106B1">
        <w:rPr>
          <w:rFonts w:ascii="Arial" w:hAnsi="Arial" w:cs="Arial"/>
        </w:rPr>
        <w:t> </w:t>
      </w:r>
    </w:p>
    <w:p w14:paraId="21DC545C" w14:textId="4D138561" w:rsidR="00770AF2" w:rsidRPr="009258B7" w:rsidRDefault="00770AF2" w:rsidP="00770AF2">
      <w:pPr>
        <w:rPr>
          <w:rFonts w:ascii="Arial" w:hAnsi="Arial" w:cs="Arial"/>
          <w:sz w:val="36"/>
          <w:szCs w:val="36"/>
        </w:rPr>
      </w:pPr>
      <w:r w:rsidRPr="009258B7">
        <w:rPr>
          <w:rFonts w:ascii="Arial" w:hAnsi="Arial" w:cs="Arial"/>
          <w:b/>
          <w:bCs/>
          <w:sz w:val="36"/>
          <w:szCs w:val="36"/>
        </w:rPr>
        <w:t>2. Fixed monetary penalties (civil standard)</w:t>
      </w:r>
      <w:r w:rsidRPr="009258B7">
        <w:rPr>
          <w:rFonts w:ascii="Arial" w:hAnsi="Arial" w:cs="Arial"/>
          <w:sz w:val="36"/>
          <w:szCs w:val="36"/>
        </w:rPr>
        <w:t> </w:t>
      </w:r>
    </w:p>
    <w:p w14:paraId="1C9D15F4" w14:textId="77777777" w:rsidR="00770AF2" w:rsidRPr="004106B1" w:rsidRDefault="00770AF2" w:rsidP="00770AF2">
      <w:pPr>
        <w:rPr>
          <w:rFonts w:ascii="Arial" w:hAnsi="Arial" w:cs="Arial"/>
        </w:rPr>
      </w:pPr>
      <w:r w:rsidRPr="004106B1">
        <w:rPr>
          <w:rFonts w:ascii="Arial" w:hAnsi="Arial" w:cs="Arial"/>
        </w:rPr>
        <w:t>The FMP in DWT is £1,000. If the penalty is not paid (and an appeal is not made) within 28 days of receipt of the final notice, the amount of the penalty is increased by 50%. </w:t>
      </w:r>
    </w:p>
    <w:p w14:paraId="516004E3" w14:textId="77777777" w:rsidR="00770AF2" w:rsidRPr="004106B1" w:rsidRDefault="00770AF2" w:rsidP="00770AF2">
      <w:pPr>
        <w:rPr>
          <w:rFonts w:ascii="Arial" w:hAnsi="Arial" w:cs="Arial"/>
        </w:rPr>
      </w:pPr>
      <w:r w:rsidRPr="004106B1">
        <w:rPr>
          <w:rFonts w:ascii="Arial" w:hAnsi="Arial" w:cs="Arial"/>
        </w:rPr>
        <w:t> </w:t>
      </w:r>
    </w:p>
    <w:p w14:paraId="6BA84ABC" w14:textId="77777777" w:rsidR="00770AF2" w:rsidRPr="009258B7" w:rsidRDefault="00770AF2" w:rsidP="00770AF2">
      <w:pPr>
        <w:rPr>
          <w:rFonts w:ascii="Arial" w:hAnsi="Arial" w:cs="Arial"/>
          <w:sz w:val="36"/>
          <w:szCs w:val="36"/>
        </w:rPr>
      </w:pPr>
      <w:r w:rsidRPr="009258B7">
        <w:rPr>
          <w:rFonts w:ascii="Arial" w:hAnsi="Arial" w:cs="Arial"/>
          <w:b/>
          <w:bCs/>
          <w:sz w:val="36"/>
          <w:szCs w:val="36"/>
        </w:rPr>
        <w:lastRenderedPageBreak/>
        <w:t>3. Variable monetary penalties (civil standard)</w:t>
      </w:r>
      <w:r w:rsidRPr="009258B7">
        <w:rPr>
          <w:rFonts w:ascii="Arial" w:hAnsi="Arial" w:cs="Arial"/>
          <w:sz w:val="36"/>
          <w:szCs w:val="36"/>
        </w:rPr>
        <w:t> </w:t>
      </w:r>
    </w:p>
    <w:p w14:paraId="3247F912" w14:textId="29138111" w:rsidR="00770AF2" w:rsidRPr="004106B1" w:rsidRDefault="00770AF2" w:rsidP="00770AF2">
      <w:pPr>
        <w:rPr>
          <w:rFonts w:ascii="Arial" w:hAnsi="Arial" w:cs="Arial"/>
        </w:rPr>
      </w:pPr>
      <w:r w:rsidRPr="004106B1">
        <w:rPr>
          <w:rFonts w:ascii="Arial" w:hAnsi="Arial" w:cs="Arial"/>
        </w:rPr>
        <w:t>We use a stepped approach to calculate the variable monetary penalties, which is based on the steps in the </w:t>
      </w:r>
      <w:hyperlink r:id="rId18">
        <w:r w:rsidRPr="7340EA68">
          <w:rPr>
            <w:rStyle w:val="Hyperlink"/>
            <w:rFonts w:ascii="Arial" w:hAnsi="Arial" w:cs="Arial"/>
          </w:rPr>
          <w:t>Sentencing Council’s definitive guideline for the sentencing of environmental offences</w:t>
        </w:r>
      </w:hyperlink>
      <w:r w:rsidRPr="004106B1">
        <w:rPr>
          <w:rFonts w:ascii="Arial" w:hAnsi="Arial" w:cs="Arial"/>
        </w:rPr>
        <w:t xml:space="preserve"> (referred to as the ‘guideline’). The guideline explains how a court should assess a suitable penalty for an environmental offence. It applies to individual offenders (aged 18 and over) and organisations. </w:t>
      </w:r>
    </w:p>
    <w:p w14:paraId="0E2AFB3D" w14:textId="342D48DE" w:rsidR="00770AF2" w:rsidRPr="004106B1" w:rsidRDefault="00770AF2" w:rsidP="00770AF2">
      <w:pPr>
        <w:rPr>
          <w:rFonts w:ascii="Arial" w:hAnsi="Arial" w:cs="Arial"/>
        </w:rPr>
      </w:pPr>
      <w:r w:rsidRPr="004106B1">
        <w:rPr>
          <w:rFonts w:ascii="Arial" w:hAnsi="Arial" w:cs="Arial"/>
        </w:rPr>
        <w:t>We have adjusted the steps in the guideline so that they are appropriate for the calculation of Environment Act 2021 variable monetary penalties</w:t>
      </w:r>
      <w:r w:rsidR="06E45938" w:rsidRPr="61FB01F6">
        <w:rPr>
          <w:rFonts w:ascii="Arial" w:hAnsi="Arial" w:cs="Arial"/>
        </w:rPr>
        <w:t xml:space="preserve"> </w:t>
      </w:r>
      <w:r w:rsidR="06E45938" w:rsidRPr="7D9AAFD3">
        <w:rPr>
          <w:rFonts w:ascii="Arial" w:hAnsi="Arial" w:cs="Arial"/>
        </w:rPr>
        <w:t xml:space="preserve">for breaches of the </w:t>
      </w:r>
      <w:r w:rsidR="06E45938" w:rsidRPr="688D00A4">
        <w:rPr>
          <w:rFonts w:ascii="Arial" w:hAnsi="Arial" w:cs="Arial"/>
        </w:rPr>
        <w:t xml:space="preserve">DWT </w:t>
      </w:r>
      <w:r w:rsidR="06E45938" w:rsidRPr="1A488673">
        <w:rPr>
          <w:rFonts w:ascii="Arial" w:hAnsi="Arial" w:cs="Arial"/>
        </w:rPr>
        <w:t>Regulations</w:t>
      </w:r>
      <w:r w:rsidRPr="004106B1">
        <w:rPr>
          <w:rFonts w:ascii="Arial" w:hAnsi="Arial" w:cs="Arial"/>
        </w:rPr>
        <w:t>.</w:t>
      </w:r>
    </w:p>
    <w:p w14:paraId="21F50284" w14:textId="77777777" w:rsidR="00770AF2" w:rsidRPr="004106B1" w:rsidRDefault="00770AF2" w:rsidP="00770AF2">
      <w:pPr>
        <w:rPr>
          <w:rFonts w:ascii="Arial" w:hAnsi="Arial" w:cs="Arial"/>
        </w:rPr>
      </w:pPr>
      <w:r w:rsidRPr="004106B1">
        <w:rPr>
          <w:rFonts w:ascii="Arial" w:hAnsi="Arial" w:cs="Arial"/>
        </w:rPr>
        <w:t>First, we determine both the:</w:t>
      </w:r>
    </w:p>
    <w:p w14:paraId="4F6E5400" w14:textId="77777777" w:rsidR="00770AF2" w:rsidRPr="004106B1" w:rsidRDefault="00770AF2" w:rsidP="2A27ADA9">
      <w:pPr>
        <w:pStyle w:val="ListParagraph"/>
        <w:numPr>
          <w:ilvl w:val="0"/>
          <w:numId w:val="28"/>
        </w:numPr>
        <w:rPr>
          <w:rFonts w:ascii="Arial" w:hAnsi="Arial" w:cs="Arial"/>
        </w:rPr>
      </w:pPr>
      <w:r w:rsidRPr="004106B1">
        <w:rPr>
          <w:rFonts w:ascii="Arial" w:hAnsi="Arial" w:cs="Arial"/>
        </w:rPr>
        <w:t>breach category (step 1)</w:t>
      </w:r>
    </w:p>
    <w:p w14:paraId="569959DE" w14:textId="77777777" w:rsidR="00770AF2" w:rsidRPr="004106B1" w:rsidRDefault="00770AF2" w:rsidP="2A27ADA9">
      <w:pPr>
        <w:pStyle w:val="ListParagraph"/>
        <w:numPr>
          <w:ilvl w:val="0"/>
          <w:numId w:val="28"/>
        </w:numPr>
        <w:rPr>
          <w:rFonts w:ascii="Arial" w:hAnsi="Arial" w:cs="Arial"/>
        </w:rPr>
      </w:pPr>
      <w:r w:rsidRPr="004106B1">
        <w:rPr>
          <w:rFonts w:ascii="Arial" w:hAnsi="Arial" w:cs="Arial"/>
        </w:rPr>
        <w:t>starting point and category range (step 2)</w:t>
      </w:r>
    </w:p>
    <w:p w14:paraId="541979A1" w14:textId="77777777" w:rsidR="00770AF2" w:rsidRPr="004106B1" w:rsidRDefault="00770AF2" w:rsidP="00770AF2">
      <w:pPr>
        <w:rPr>
          <w:rFonts w:ascii="Arial" w:hAnsi="Arial" w:cs="Arial"/>
        </w:rPr>
      </w:pPr>
      <w:r w:rsidRPr="004106B1">
        <w:rPr>
          <w:rFonts w:ascii="Arial" w:hAnsi="Arial" w:cs="Arial"/>
        </w:rPr>
        <w:t>Then we consider whether there are any aggravating and mitigating factors which should result in the starting point penalty being adjusted up or down (as set out in step 3).   </w:t>
      </w:r>
    </w:p>
    <w:p w14:paraId="705C097A" w14:textId="77777777" w:rsidR="00770AF2" w:rsidRPr="004106B1" w:rsidRDefault="00770AF2" w:rsidP="00770AF2">
      <w:pPr>
        <w:rPr>
          <w:rFonts w:ascii="Arial" w:hAnsi="Arial" w:cs="Arial"/>
        </w:rPr>
      </w:pPr>
      <w:r w:rsidRPr="004106B1">
        <w:rPr>
          <w:rFonts w:ascii="Arial" w:hAnsi="Arial" w:cs="Arial"/>
        </w:rPr>
        <w:t>The starting point for the most serious, deliberate offence by a large organisation is £1 million (within a range of between £450,000 to £3 million) – that is the top of the tariff scale.</w:t>
      </w:r>
    </w:p>
    <w:p w14:paraId="15E46E0E" w14:textId="77777777" w:rsidR="00770AF2" w:rsidRPr="004106B1" w:rsidRDefault="00770AF2" w:rsidP="00770AF2">
      <w:pPr>
        <w:rPr>
          <w:rFonts w:ascii="Arial" w:hAnsi="Arial" w:cs="Arial"/>
        </w:rPr>
      </w:pPr>
      <w:r w:rsidRPr="004106B1">
        <w:rPr>
          <w:rFonts w:ascii="Arial" w:hAnsi="Arial" w:cs="Arial"/>
        </w:rPr>
        <w:t>Under Environment Act 2021 civil sanctions, we may impose a variable monetary penalty up to an unlimited amount. We believe it is appropriate for us to consider the levels of penalties and guidance issued by the courts when they sentence environmental offences.</w:t>
      </w:r>
    </w:p>
    <w:p w14:paraId="775ED5BE" w14:textId="77777777" w:rsidR="00770AF2" w:rsidRPr="004106B1" w:rsidRDefault="00770AF2" w:rsidP="00770AF2">
      <w:pPr>
        <w:rPr>
          <w:rFonts w:ascii="Arial" w:hAnsi="Arial" w:cs="Arial"/>
        </w:rPr>
      </w:pPr>
      <w:r w:rsidRPr="004106B1">
        <w:rPr>
          <w:rFonts w:ascii="Arial" w:hAnsi="Arial" w:cs="Arial"/>
        </w:rPr>
        <w:t>We may treat very large organisations under the guideline in a class of their own. This is in line with the guideline and how the courts deal with fines for very large organisations. An example of this is the judgment in the case </w:t>
      </w:r>
      <w:hyperlink r:id="rId19" w:history="1">
        <w:r w:rsidRPr="004106B1">
          <w:rPr>
            <w:rStyle w:val="Hyperlink"/>
            <w:rFonts w:ascii="Arial" w:hAnsi="Arial" w:cs="Arial"/>
          </w:rPr>
          <w:t>R v Thames Water Utilities Limited (2015) EWCA Crim 960</w:t>
        </w:r>
      </w:hyperlink>
      <w:r w:rsidRPr="004106B1">
        <w:rPr>
          <w:rFonts w:ascii="Arial" w:hAnsi="Arial" w:cs="Arial"/>
        </w:rPr>
        <w:t> where the court held that applying a mechanistic increase or reduction is not considered helpful.</w:t>
      </w:r>
    </w:p>
    <w:p w14:paraId="0C3ABEE1" w14:textId="77777777" w:rsidR="00770AF2" w:rsidRPr="004106B1" w:rsidRDefault="00770AF2" w:rsidP="00770AF2">
      <w:pPr>
        <w:rPr>
          <w:rFonts w:ascii="Arial" w:hAnsi="Arial" w:cs="Arial"/>
        </w:rPr>
      </w:pPr>
      <w:r w:rsidRPr="004106B1">
        <w:rPr>
          <w:rFonts w:ascii="Arial" w:hAnsi="Arial" w:cs="Arial"/>
        </w:rPr>
        <w:t>Some helpful guidance has been provided in the landmark case of R v Southern Water Services Limited in July 2021. We will consider the approach and guidance set out in these and other cases, particularly decisions of the Court of Appeal and the Supreme Court on sentencing very large organisations.</w:t>
      </w:r>
    </w:p>
    <w:p w14:paraId="44B98419" w14:textId="77777777" w:rsidR="00770AF2" w:rsidRPr="004106B1" w:rsidRDefault="00770AF2" w:rsidP="00770AF2">
      <w:pPr>
        <w:rPr>
          <w:rFonts w:ascii="Arial" w:hAnsi="Arial" w:cs="Arial"/>
        </w:rPr>
      </w:pPr>
      <w:r w:rsidRPr="004106B1">
        <w:rPr>
          <w:rFonts w:ascii="Arial" w:hAnsi="Arial" w:cs="Arial"/>
          <w:b/>
          <w:bCs/>
        </w:rPr>
        <w:t>Step 1: determining the breach category</w:t>
      </w:r>
      <w:r w:rsidRPr="004106B1">
        <w:rPr>
          <w:rFonts w:ascii="Arial" w:hAnsi="Arial" w:cs="Arial"/>
        </w:rPr>
        <w:t> </w:t>
      </w:r>
    </w:p>
    <w:p w14:paraId="1C0D7C11" w14:textId="77777777" w:rsidR="00770AF2" w:rsidRPr="004106B1" w:rsidRDefault="00770AF2" w:rsidP="00770AF2">
      <w:pPr>
        <w:rPr>
          <w:rFonts w:ascii="Arial" w:hAnsi="Arial" w:cs="Arial"/>
        </w:rPr>
      </w:pPr>
      <w:r w:rsidRPr="004106B1">
        <w:rPr>
          <w:rFonts w:ascii="Arial" w:hAnsi="Arial" w:cs="Arial"/>
        </w:rPr>
        <w:t>We will use culpability (blame) and harm factors when we work out the category of breach.</w:t>
      </w:r>
    </w:p>
    <w:p w14:paraId="4C5D4881" w14:textId="77777777" w:rsidR="00770AF2" w:rsidRPr="004106B1" w:rsidRDefault="00770AF2" w:rsidP="00770AF2">
      <w:pPr>
        <w:rPr>
          <w:rFonts w:ascii="Arial" w:hAnsi="Arial" w:cs="Arial"/>
        </w:rPr>
      </w:pPr>
      <w:r w:rsidRPr="004106B1">
        <w:rPr>
          <w:rFonts w:ascii="Arial" w:hAnsi="Arial" w:cs="Arial"/>
        </w:rPr>
        <w:t xml:space="preserve">Due to the nature of the DWT regime, it is appropriate to rely on harm to the integrity of the DWT system when applying the categories of harm in the guideline: “interference with, prevention or undermining of other lawful activities or regulatory regime due to offence”. </w:t>
      </w:r>
    </w:p>
    <w:p w14:paraId="31B35CC6" w14:textId="77777777" w:rsidR="00770AF2" w:rsidRPr="004106B1" w:rsidRDefault="00770AF2" w:rsidP="00770AF2">
      <w:pPr>
        <w:rPr>
          <w:rFonts w:ascii="Arial" w:hAnsi="Arial" w:cs="Arial"/>
        </w:rPr>
      </w:pPr>
      <w:r w:rsidRPr="004106B1">
        <w:rPr>
          <w:rFonts w:ascii="Arial" w:hAnsi="Arial" w:cs="Arial"/>
        </w:rPr>
        <w:t xml:space="preserve">We will also consider the harm caused by any linked environmental impact or potential impact of the contravention. </w:t>
      </w:r>
    </w:p>
    <w:p w14:paraId="48FADE96" w14:textId="77777777" w:rsidR="00770AF2" w:rsidRPr="004106B1" w:rsidRDefault="00770AF2" w:rsidP="00770AF2">
      <w:pPr>
        <w:rPr>
          <w:rFonts w:ascii="Arial" w:hAnsi="Arial" w:cs="Arial"/>
        </w:rPr>
      </w:pPr>
    </w:p>
    <w:p w14:paraId="5B3A0558" w14:textId="77777777" w:rsidR="00770AF2" w:rsidRPr="004106B1" w:rsidRDefault="00770AF2" w:rsidP="00770AF2">
      <w:pPr>
        <w:rPr>
          <w:rFonts w:ascii="Arial" w:hAnsi="Arial" w:cs="Arial"/>
        </w:rPr>
      </w:pPr>
      <w:r w:rsidRPr="004106B1">
        <w:rPr>
          <w:rFonts w:ascii="Arial" w:hAnsi="Arial" w:cs="Arial"/>
          <w:b/>
          <w:bCs/>
        </w:rPr>
        <w:t>Step 2: starting point and category range</w:t>
      </w:r>
      <w:r w:rsidRPr="004106B1">
        <w:rPr>
          <w:rFonts w:ascii="Arial" w:hAnsi="Arial" w:cs="Arial"/>
        </w:rPr>
        <w:t> </w:t>
      </w:r>
    </w:p>
    <w:p w14:paraId="5BEBED8A" w14:textId="77777777" w:rsidR="00770AF2" w:rsidRPr="004106B1" w:rsidRDefault="00770AF2" w:rsidP="00770AF2">
      <w:pPr>
        <w:rPr>
          <w:rFonts w:ascii="Arial" w:hAnsi="Arial" w:cs="Arial"/>
        </w:rPr>
      </w:pPr>
      <w:r w:rsidRPr="004106B1">
        <w:rPr>
          <w:rFonts w:ascii="Arial" w:hAnsi="Arial" w:cs="Arial"/>
        </w:rPr>
        <w:t>When we calculate a variable monetary penalty we will assess the size of the organisation, by turnover or equivalent. If the non-compliant person is an individual, we will assess turnover or income, or equivalent, whichever is appropriate. </w:t>
      </w:r>
    </w:p>
    <w:p w14:paraId="0504A88B" w14:textId="77777777" w:rsidR="00770AF2" w:rsidRPr="004106B1" w:rsidRDefault="00770AF2" w:rsidP="00770AF2">
      <w:pPr>
        <w:rPr>
          <w:rFonts w:ascii="Arial" w:hAnsi="Arial" w:cs="Arial"/>
        </w:rPr>
      </w:pPr>
      <w:r w:rsidRPr="004106B1">
        <w:rPr>
          <w:rFonts w:ascii="Arial" w:hAnsi="Arial" w:cs="Arial"/>
        </w:rPr>
        <w:t>By the end of step 2 we will have identified our starting point and category range. </w:t>
      </w:r>
    </w:p>
    <w:p w14:paraId="1EC29512" w14:textId="77777777" w:rsidR="00770AF2" w:rsidRPr="004106B1" w:rsidRDefault="00770AF2" w:rsidP="00770AF2">
      <w:pPr>
        <w:rPr>
          <w:rFonts w:ascii="Arial" w:hAnsi="Arial" w:cs="Arial"/>
        </w:rPr>
      </w:pPr>
      <w:r w:rsidRPr="004106B1">
        <w:rPr>
          <w:rFonts w:ascii="Arial" w:hAnsi="Arial" w:cs="Arial"/>
          <w:b/>
          <w:bCs/>
        </w:rPr>
        <w:lastRenderedPageBreak/>
        <w:t>Step 3: set the final penalty amount</w:t>
      </w:r>
      <w:r w:rsidRPr="004106B1">
        <w:rPr>
          <w:rFonts w:ascii="Arial" w:hAnsi="Arial" w:cs="Arial"/>
        </w:rPr>
        <w:t> </w:t>
      </w:r>
    </w:p>
    <w:p w14:paraId="29DD8C56" w14:textId="6248EC17" w:rsidR="00770AF2" w:rsidRPr="004106B1" w:rsidRDefault="00770AF2" w:rsidP="00770AF2">
      <w:pPr>
        <w:rPr>
          <w:rFonts w:ascii="Arial" w:hAnsi="Arial" w:cs="Arial"/>
        </w:rPr>
      </w:pPr>
      <w:r w:rsidRPr="004106B1">
        <w:rPr>
          <w:rFonts w:ascii="Arial" w:hAnsi="Arial" w:cs="Arial"/>
        </w:rPr>
        <w:t xml:space="preserve">In step 3 we may adjust the penalty from the starting point within the penalty range. We do this by assessing the following aggravating and mitigating factors, to ensure the penalty </w:t>
      </w:r>
      <w:proofErr w:type="gramStart"/>
      <w:r w:rsidRPr="004106B1">
        <w:rPr>
          <w:rFonts w:ascii="Arial" w:hAnsi="Arial" w:cs="Arial"/>
        </w:rPr>
        <w:t xml:space="preserve">as </w:t>
      </w:r>
      <w:r w:rsidRPr="3FE22D4F">
        <w:rPr>
          <w:rFonts w:ascii="Arial" w:hAnsi="Arial" w:cs="Arial"/>
        </w:rPr>
        <w:t>a</w:t>
      </w:r>
      <w:r w:rsidR="09FB857F" w:rsidRPr="3FE22D4F">
        <w:rPr>
          <w:rFonts w:ascii="Arial" w:hAnsi="Arial" w:cs="Arial"/>
        </w:rPr>
        <w:t xml:space="preserve"> </w:t>
      </w:r>
      <w:r w:rsidRPr="3FE22D4F">
        <w:rPr>
          <w:rFonts w:ascii="Arial" w:hAnsi="Arial" w:cs="Arial"/>
        </w:rPr>
        <w:t>whole</w:t>
      </w:r>
      <w:r w:rsidRPr="004106B1">
        <w:rPr>
          <w:rFonts w:ascii="Arial" w:hAnsi="Arial" w:cs="Arial"/>
        </w:rPr>
        <w:t xml:space="preserve"> is</w:t>
      </w:r>
      <w:proofErr w:type="gramEnd"/>
      <w:r w:rsidRPr="004106B1">
        <w:rPr>
          <w:rFonts w:ascii="Arial" w:hAnsi="Arial" w:cs="Arial"/>
        </w:rPr>
        <w:t xml:space="preserve"> fair and proportionate. </w:t>
      </w:r>
    </w:p>
    <w:p w14:paraId="335D8CF2" w14:textId="77777777" w:rsidR="00770AF2" w:rsidRPr="004106B1" w:rsidRDefault="00770AF2" w:rsidP="00770AF2">
      <w:pPr>
        <w:rPr>
          <w:rFonts w:ascii="Arial" w:hAnsi="Arial" w:cs="Arial"/>
        </w:rPr>
      </w:pPr>
      <w:r w:rsidRPr="004106B1">
        <w:rPr>
          <w:rFonts w:ascii="Arial" w:hAnsi="Arial" w:cs="Arial"/>
        </w:rPr>
        <w:t>In determining the amount of a VMP, the DWT Regulations require the EA take into consideration (but is not limited to) the following factors:</w:t>
      </w:r>
    </w:p>
    <w:p w14:paraId="26F4E141" w14:textId="16305AD8" w:rsidR="00770AF2" w:rsidRPr="004106B1" w:rsidRDefault="00770AF2" w:rsidP="1A09B559">
      <w:pPr>
        <w:ind w:left="720"/>
        <w:rPr>
          <w:rFonts w:ascii="Arial" w:hAnsi="Arial" w:cs="Arial"/>
        </w:rPr>
      </w:pPr>
      <w:r w:rsidRPr="004106B1">
        <w:rPr>
          <w:rFonts w:ascii="Arial" w:hAnsi="Arial" w:cs="Arial"/>
        </w:rPr>
        <w:t>(a)</w:t>
      </w:r>
      <w:r w:rsidR="004A3FB4">
        <w:rPr>
          <w:rFonts w:ascii="Arial" w:hAnsi="Arial" w:cs="Arial"/>
        </w:rPr>
        <w:t xml:space="preserve"> </w:t>
      </w:r>
      <w:r w:rsidRPr="004106B1">
        <w:rPr>
          <w:rFonts w:ascii="Arial" w:hAnsi="Arial" w:cs="Arial"/>
        </w:rPr>
        <w:t>environmental impact or potential impact of contravention;</w:t>
      </w:r>
    </w:p>
    <w:p w14:paraId="1B723D14" w14:textId="672308DB" w:rsidR="00770AF2" w:rsidRPr="004106B1" w:rsidRDefault="00770AF2" w:rsidP="1A09B559">
      <w:pPr>
        <w:ind w:left="720"/>
        <w:rPr>
          <w:rFonts w:ascii="Arial" w:hAnsi="Arial" w:cs="Arial"/>
        </w:rPr>
      </w:pPr>
      <w:r w:rsidRPr="004106B1">
        <w:rPr>
          <w:rFonts w:ascii="Arial" w:hAnsi="Arial" w:cs="Arial"/>
        </w:rPr>
        <w:t>(b)</w:t>
      </w:r>
      <w:r w:rsidR="00197172">
        <w:rPr>
          <w:rFonts w:ascii="Arial" w:hAnsi="Arial" w:cs="Arial"/>
        </w:rPr>
        <w:t xml:space="preserve"> </w:t>
      </w:r>
      <w:r w:rsidRPr="004106B1">
        <w:rPr>
          <w:rFonts w:ascii="Arial" w:hAnsi="Arial" w:cs="Arial"/>
        </w:rPr>
        <w:t xml:space="preserve">benefit arising </w:t>
      </w:r>
      <w:proofErr w:type="gramStart"/>
      <w:r w:rsidRPr="004106B1">
        <w:rPr>
          <w:rFonts w:ascii="Arial" w:hAnsi="Arial" w:cs="Arial"/>
        </w:rPr>
        <w:t>as a result of</w:t>
      </w:r>
      <w:proofErr w:type="gramEnd"/>
      <w:r w:rsidRPr="004106B1">
        <w:rPr>
          <w:rFonts w:ascii="Arial" w:hAnsi="Arial" w:cs="Arial"/>
        </w:rPr>
        <w:t xml:space="preserve"> the contravention;</w:t>
      </w:r>
    </w:p>
    <w:p w14:paraId="089DE02A" w14:textId="1D5FF7A8" w:rsidR="00770AF2" w:rsidRPr="004106B1" w:rsidRDefault="00770AF2" w:rsidP="1A09B559">
      <w:pPr>
        <w:ind w:left="720"/>
        <w:rPr>
          <w:rFonts w:ascii="Arial" w:hAnsi="Arial" w:cs="Arial"/>
        </w:rPr>
      </w:pPr>
      <w:r w:rsidRPr="004106B1">
        <w:rPr>
          <w:rFonts w:ascii="Arial" w:hAnsi="Arial" w:cs="Arial"/>
        </w:rPr>
        <w:t>(c)</w:t>
      </w:r>
      <w:r w:rsidR="001713C8">
        <w:rPr>
          <w:rFonts w:ascii="Arial" w:hAnsi="Arial" w:cs="Arial"/>
        </w:rPr>
        <w:t xml:space="preserve"> </w:t>
      </w:r>
      <w:r w:rsidRPr="004106B1">
        <w:rPr>
          <w:rFonts w:ascii="Arial" w:hAnsi="Arial" w:cs="Arial"/>
        </w:rPr>
        <w:t>culpability;</w:t>
      </w:r>
    </w:p>
    <w:p w14:paraId="2BAD7211" w14:textId="39D98B16" w:rsidR="00770AF2" w:rsidRPr="004106B1" w:rsidRDefault="00770AF2" w:rsidP="1A09B559">
      <w:pPr>
        <w:ind w:left="720"/>
        <w:rPr>
          <w:rFonts w:ascii="Arial" w:hAnsi="Arial" w:cs="Arial"/>
        </w:rPr>
      </w:pPr>
      <w:r w:rsidRPr="004106B1">
        <w:rPr>
          <w:rFonts w:ascii="Arial" w:hAnsi="Arial" w:cs="Arial"/>
        </w:rPr>
        <w:t>(d)</w:t>
      </w:r>
      <w:r w:rsidR="003E1C6A">
        <w:rPr>
          <w:rFonts w:ascii="Arial" w:hAnsi="Arial" w:cs="Arial"/>
        </w:rPr>
        <w:t xml:space="preserve"> </w:t>
      </w:r>
      <w:r w:rsidRPr="004106B1">
        <w:rPr>
          <w:rFonts w:ascii="Arial" w:hAnsi="Arial" w:cs="Arial"/>
        </w:rPr>
        <w:t>previous history of non-compliance.</w:t>
      </w:r>
    </w:p>
    <w:p w14:paraId="37FDC29A" w14:textId="77777777" w:rsidR="00770AF2" w:rsidRPr="004106B1" w:rsidRDefault="00770AF2" w:rsidP="00770AF2">
      <w:pPr>
        <w:rPr>
          <w:rFonts w:ascii="Arial" w:hAnsi="Arial" w:cs="Arial"/>
        </w:rPr>
      </w:pPr>
      <w:r w:rsidRPr="004106B1">
        <w:rPr>
          <w:rFonts w:ascii="Arial" w:hAnsi="Arial" w:cs="Arial"/>
        </w:rPr>
        <w:t>We will have regard to the factors set out in the DWT Regulations and the factors that apply from the guideline which increase or reduce seriousness.</w:t>
      </w:r>
    </w:p>
    <w:p w14:paraId="1D1F7247" w14:textId="77777777" w:rsidR="00770AF2" w:rsidRPr="004106B1" w:rsidRDefault="00770AF2" w:rsidP="00770AF2">
      <w:pPr>
        <w:rPr>
          <w:rFonts w:ascii="Arial" w:hAnsi="Arial" w:cs="Arial"/>
        </w:rPr>
      </w:pPr>
      <w:r w:rsidRPr="004106B1">
        <w:rPr>
          <w:rFonts w:ascii="Arial" w:hAnsi="Arial" w:cs="Arial"/>
        </w:rPr>
        <w:t>We will normally adjust a penalty within the applicable category range. However, in some circumstances, it may be appropriate to move outside the identified category range to ensure the final penalty is commensurate to the contravention – for example, where the level of financial benefit obtained exceeds the upper limit of the identified category range.</w:t>
      </w:r>
    </w:p>
    <w:p w14:paraId="5A6FC996" w14:textId="77777777" w:rsidR="00770AF2" w:rsidRPr="004106B1" w:rsidRDefault="00770AF2" w:rsidP="00770AF2">
      <w:pPr>
        <w:rPr>
          <w:rFonts w:ascii="Arial" w:hAnsi="Arial" w:cs="Arial"/>
        </w:rPr>
      </w:pPr>
      <w:r w:rsidRPr="004106B1">
        <w:rPr>
          <w:rFonts w:ascii="Arial" w:hAnsi="Arial" w:cs="Arial"/>
        </w:rPr>
        <w:t>At the end of step 3 we will have calculated the final penalty amount. </w:t>
      </w:r>
    </w:p>
    <w:p w14:paraId="0D955763" w14:textId="77777777" w:rsidR="00770AF2" w:rsidRPr="004106B1" w:rsidRDefault="00770AF2" w:rsidP="00770AF2">
      <w:pPr>
        <w:rPr>
          <w:rFonts w:ascii="Arial" w:hAnsi="Arial" w:cs="Arial"/>
        </w:rPr>
      </w:pPr>
      <w:r w:rsidRPr="004106B1">
        <w:rPr>
          <w:rFonts w:ascii="Arial" w:hAnsi="Arial" w:cs="Arial"/>
        </w:rPr>
        <w:t> </w:t>
      </w:r>
    </w:p>
    <w:p w14:paraId="354626EA" w14:textId="77777777" w:rsidR="00770AF2" w:rsidRPr="005B7F70" w:rsidRDefault="00770AF2" w:rsidP="00770AF2">
      <w:pPr>
        <w:rPr>
          <w:rFonts w:ascii="Arial" w:hAnsi="Arial" w:cs="Arial"/>
          <w:sz w:val="36"/>
          <w:szCs w:val="36"/>
        </w:rPr>
      </w:pPr>
      <w:r w:rsidRPr="005B7F70">
        <w:rPr>
          <w:rFonts w:ascii="Arial" w:hAnsi="Arial" w:cs="Arial"/>
          <w:b/>
          <w:bCs/>
          <w:sz w:val="36"/>
          <w:szCs w:val="36"/>
        </w:rPr>
        <w:t>4. Compliance notices</w:t>
      </w:r>
      <w:r w:rsidRPr="005B7F70">
        <w:rPr>
          <w:rFonts w:ascii="Arial" w:hAnsi="Arial" w:cs="Arial"/>
          <w:sz w:val="36"/>
          <w:szCs w:val="36"/>
        </w:rPr>
        <w:t> </w:t>
      </w:r>
    </w:p>
    <w:p w14:paraId="5F4FB074" w14:textId="77777777" w:rsidR="00770AF2" w:rsidRPr="004106B1" w:rsidRDefault="00770AF2" w:rsidP="00770AF2">
      <w:pPr>
        <w:rPr>
          <w:rFonts w:ascii="Arial" w:hAnsi="Arial" w:cs="Arial"/>
        </w:rPr>
      </w:pPr>
      <w:r w:rsidRPr="004106B1">
        <w:rPr>
          <w:rFonts w:ascii="Arial" w:hAnsi="Arial" w:cs="Arial"/>
        </w:rPr>
        <w:t>We may issue a compliance notice where either of the following applies, we: </w:t>
      </w:r>
    </w:p>
    <w:p w14:paraId="0F313CFE" w14:textId="77777777" w:rsidR="00770AF2" w:rsidRPr="004106B1" w:rsidRDefault="00770AF2" w:rsidP="2AB9BBDF">
      <w:pPr>
        <w:pStyle w:val="ListParagraph"/>
        <w:numPr>
          <w:ilvl w:val="0"/>
          <w:numId w:val="24"/>
        </w:numPr>
        <w:rPr>
          <w:rFonts w:ascii="Arial" w:hAnsi="Arial" w:cs="Arial"/>
        </w:rPr>
      </w:pPr>
      <w:r w:rsidRPr="004106B1">
        <w:rPr>
          <w:rFonts w:ascii="Arial" w:hAnsi="Arial" w:cs="Arial"/>
        </w:rPr>
        <w:t xml:space="preserve">require the person to </w:t>
      </w:r>
      <w:proofErr w:type="gramStart"/>
      <w:r w:rsidRPr="004106B1">
        <w:rPr>
          <w:rFonts w:ascii="Arial" w:hAnsi="Arial" w:cs="Arial"/>
        </w:rPr>
        <w:t>take action</w:t>
      </w:r>
      <w:proofErr w:type="gramEnd"/>
      <w:r w:rsidRPr="004106B1">
        <w:rPr>
          <w:rFonts w:ascii="Arial" w:hAnsi="Arial" w:cs="Arial"/>
        </w:rPr>
        <w:t xml:space="preserve"> to be compliant, for example, where an individual or business has previously complied with the DWT Regulations but has stopped.</w:t>
      </w:r>
    </w:p>
    <w:p w14:paraId="6EFD907F" w14:textId="77777777" w:rsidR="00770AF2" w:rsidRPr="004106B1" w:rsidRDefault="00770AF2" w:rsidP="2AB9BBDF">
      <w:pPr>
        <w:pStyle w:val="ListParagraph"/>
        <w:numPr>
          <w:ilvl w:val="0"/>
          <w:numId w:val="24"/>
        </w:numPr>
        <w:rPr>
          <w:rFonts w:ascii="Arial" w:hAnsi="Arial" w:cs="Arial"/>
        </w:rPr>
      </w:pPr>
      <w:r w:rsidRPr="004106B1">
        <w:rPr>
          <w:rFonts w:ascii="Arial" w:hAnsi="Arial" w:cs="Arial"/>
        </w:rPr>
        <w:t>have given advice and guidance, the person has not followed it, and improvements have not been made </w:t>
      </w:r>
    </w:p>
    <w:p w14:paraId="109D4922" w14:textId="09191FD2" w:rsidR="00770AF2" w:rsidRPr="004106B1" w:rsidRDefault="00770AF2" w:rsidP="00770AF2">
      <w:pPr>
        <w:rPr>
          <w:rFonts w:ascii="Arial" w:hAnsi="Arial" w:cs="Arial"/>
        </w:rPr>
      </w:pPr>
      <w:r w:rsidRPr="004106B1">
        <w:rPr>
          <w:rFonts w:ascii="Arial" w:hAnsi="Arial" w:cs="Arial"/>
        </w:rPr>
        <w:t xml:space="preserve">We may issue a compliance notice in conjunction with advice / guidance, a variable monetary penalty or </w:t>
      </w:r>
      <w:r w:rsidR="00B8122E">
        <w:rPr>
          <w:rFonts w:ascii="Arial" w:hAnsi="Arial" w:cs="Arial"/>
        </w:rPr>
        <w:t xml:space="preserve">a </w:t>
      </w:r>
      <w:r w:rsidRPr="004106B1">
        <w:rPr>
          <w:rFonts w:ascii="Arial" w:hAnsi="Arial" w:cs="Arial"/>
        </w:rPr>
        <w:t>fixed monetary penalty. </w:t>
      </w:r>
    </w:p>
    <w:p w14:paraId="7D0B4D87" w14:textId="77777777" w:rsidR="00770AF2" w:rsidRPr="004106B1" w:rsidRDefault="00770AF2" w:rsidP="00770AF2">
      <w:pPr>
        <w:rPr>
          <w:rFonts w:ascii="Arial" w:hAnsi="Arial" w:cs="Arial"/>
        </w:rPr>
      </w:pPr>
      <w:r w:rsidRPr="004106B1">
        <w:rPr>
          <w:rFonts w:ascii="Arial" w:hAnsi="Arial" w:cs="Arial"/>
        </w:rPr>
        <w:t> </w:t>
      </w:r>
    </w:p>
    <w:p w14:paraId="35AA2C61" w14:textId="77777777" w:rsidR="00770AF2" w:rsidRPr="005B7F70" w:rsidRDefault="00770AF2" w:rsidP="00770AF2">
      <w:pPr>
        <w:rPr>
          <w:rFonts w:ascii="Arial" w:hAnsi="Arial" w:cs="Arial"/>
          <w:sz w:val="36"/>
          <w:szCs w:val="36"/>
        </w:rPr>
      </w:pPr>
      <w:r w:rsidRPr="005B7F70">
        <w:rPr>
          <w:rFonts w:ascii="Arial" w:hAnsi="Arial" w:cs="Arial"/>
          <w:b/>
          <w:bCs/>
          <w:sz w:val="36"/>
          <w:szCs w:val="36"/>
        </w:rPr>
        <w:t>5.  Enforcement cost recovery notices</w:t>
      </w:r>
      <w:r w:rsidRPr="005B7F70">
        <w:rPr>
          <w:rFonts w:ascii="Arial" w:hAnsi="Arial" w:cs="Arial"/>
          <w:sz w:val="36"/>
          <w:szCs w:val="36"/>
        </w:rPr>
        <w:t> </w:t>
      </w:r>
    </w:p>
    <w:p w14:paraId="5C755449" w14:textId="77777777" w:rsidR="00770AF2" w:rsidRPr="004106B1" w:rsidRDefault="00770AF2" w:rsidP="00770AF2">
      <w:pPr>
        <w:rPr>
          <w:rFonts w:ascii="Arial" w:hAnsi="Arial" w:cs="Arial"/>
        </w:rPr>
      </w:pPr>
      <w:r w:rsidRPr="004106B1">
        <w:rPr>
          <w:rFonts w:ascii="Arial" w:hAnsi="Arial" w:cs="Arial"/>
        </w:rPr>
        <w:t>We will always try to recover the money we have spent on work connected with imposing a civil sanction. When we have served a variable monetary penalty or a compliance notice on a person, we can serve an enforcement cost recovery notice which will require the person to pay the cost of the Environment Agency’s investigation, administration and expert advice (including legal advice).</w:t>
      </w:r>
    </w:p>
    <w:p w14:paraId="1C2F6690" w14:textId="77777777" w:rsidR="00770AF2" w:rsidRPr="004106B1" w:rsidRDefault="00770AF2" w:rsidP="00770AF2">
      <w:pPr>
        <w:rPr>
          <w:rFonts w:ascii="Arial" w:hAnsi="Arial" w:cs="Arial"/>
        </w:rPr>
      </w:pPr>
      <w:r w:rsidRPr="004106B1">
        <w:rPr>
          <w:rFonts w:ascii="Arial" w:hAnsi="Arial" w:cs="Arial"/>
        </w:rPr>
        <w:t>If the person is unable to pay the amount due for the civil sanction and the enforcement cost recovery notice, we may reduce the sanction but are unlikely to reduce the enforcement cost recovery notice. This is because we have a duty to protect public money. </w:t>
      </w:r>
    </w:p>
    <w:p w14:paraId="617E6752" w14:textId="77777777" w:rsidR="00770AF2" w:rsidRPr="004106B1" w:rsidRDefault="00770AF2" w:rsidP="00770AF2">
      <w:pPr>
        <w:rPr>
          <w:rFonts w:ascii="Arial" w:hAnsi="Arial" w:cs="Arial"/>
        </w:rPr>
      </w:pPr>
      <w:r w:rsidRPr="004106B1">
        <w:rPr>
          <w:rFonts w:ascii="Arial" w:hAnsi="Arial" w:cs="Arial"/>
        </w:rPr>
        <w:t>We cannot serve an enforcement cost recovery notice with a fixed monetary penalty. </w:t>
      </w:r>
    </w:p>
    <w:p w14:paraId="494E99CB" w14:textId="77777777" w:rsidR="00770AF2" w:rsidRPr="004106B1" w:rsidRDefault="00770AF2" w:rsidP="00770AF2">
      <w:pPr>
        <w:rPr>
          <w:rFonts w:ascii="Arial" w:hAnsi="Arial" w:cs="Arial"/>
        </w:rPr>
      </w:pPr>
      <w:r w:rsidRPr="004106B1">
        <w:rPr>
          <w:rFonts w:ascii="Arial" w:hAnsi="Arial" w:cs="Arial"/>
        </w:rPr>
        <w:t> </w:t>
      </w:r>
    </w:p>
    <w:p w14:paraId="676ED4E3" w14:textId="0FFD82A6" w:rsidR="00770AF2" w:rsidRPr="005B7F70" w:rsidRDefault="00770AF2" w:rsidP="00770AF2">
      <w:pPr>
        <w:rPr>
          <w:rFonts w:ascii="Arial" w:hAnsi="Arial" w:cs="Arial"/>
          <w:sz w:val="36"/>
          <w:szCs w:val="36"/>
        </w:rPr>
      </w:pPr>
      <w:r w:rsidRPr="005B7F70">
        <w:rPr>
          <w:rFonts w:ascii="Arial" w:hAnsi="Arial" w:cs="Arial"/>
          <w:b/>
          <w:bCs/>
          <w:sz w:val="36"/>
          <w:szCs w:val="36"/>
        </w:rPr>
        <w:lastRenderedPageBreak/>
        <w:t>6. Appeals</w:t>
      </w:r>
      <w:r w:rsidRPr="005B7F70">
        <w:rPr>
          <w:rFonts w:ascii="Arial" w:hAnsi="Arial" w:cs="Arial"/>
          <w:sz w:val="36"/>
          <w:szCs w:val="36"/>
        </w:rPr>
        <w:t> </w:t>
      </w:r>
    </w:p>
    <w:p w14:paraId="21EA07FF" w14:textId="1C8A5089" w:rsidR="00770AF2" w:rsidRPr="004106B1" w:rsidRDefault="00770AF2" w:rsidP="00770AF2">
      <w:pPr>
        <w:rPr>
          <w:rFonts w:ascii="Arial" w:hAnsi="Arial" w:cs="Arial"/>
        </w:rPr>
      </w:pPr>
      <w:r w:rsidRPr="004106B1">
        <w:rPr>
          <w:rFonts w:ascii="Arial" w:hAnsi="Arial" w:cs="Arial"/>
        </w:rPr>
        <w:t xml:space="preserve">Where we can impose a civil </w:t>
      </w:r>
      <w:proofErr w:type="gramStart"/>
      <w:r w:rsidRPr="004106B1">
        <w:rPr>
          <w:rFonts w:ascii="Arial" w:hAnsi="Arial" w:cs="Arial"/>
        </w:rPr>
        <w:t>sanction</w:t>
      </w:r>
      <w:proofErr w:type="gramEnd"/>
      <w:r w:rsidRPr="004106B1">
        <w:rPr>
          <w:rFonts w:ascii="Arial" w:hAnsi="Arial" w:cs="Arial"/>
        </w:rPr>
        <w:t xml:space="preserve"> our notices will set out rights of appeal. There is guidance on </w:t>
      </w:r>
      <w:hyperlink r:id="rId20" w:tgtFrame="_blank" w:history="1">
        <w:r w:rsidRPr="004106B1">
          <w:rPr>
            <w:rStyle w:val="Hyperlink"/>
            <w:rFonts w:ascii="Arial" w:hAnsi="Arial" w:cs="Arial"/>
          </w:rPr>
          <w:t>how to appeal to a tribunal against a fine or notice for an environmental offence</w:t>
        </w:r>
      </w:hyperlink>
      <w:r w:rsidRPr="004106B1">
        <w:rPr>
          <w:rFonts w:ascii="Arial" w:hAnsi="Arial" w:cs="Arial"/>
        </w:rPr>
        <w:t>. </w:t>
      </w:r>
    </w:p>
    <w:p w14:paraId="2A417AF5" w14:textId="77777777" w:rsidR="00770AF2" w:rsidRPr="004106B1" w:rsidRDefault="00770AF2" w:rsidP="00770AF2">
      <w:pPr>
        <w:rPr>
          <w:rFonts w:ascii="Arial" w:hAnsi="Arial" w:cs="Arial"/>
        </w:rPr>
      </w:pPr>
      <w:r w:rsidRPr="004106B1">
        <w:rPr>
          <w:rFonts w:ascii="Arial" w:hAnsi="Arial" w:cs="Arial"/>
        </w:rPr>
        <w:t>The following table sets out the grounds of appeal against the imposition of a civil sanction.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95"/>
        <w:gridCol w:w="1860"/>
        <w:gridCol w:w="1965"/>
        <w:gridCol w:w="2040"/>
      </w:tblGrid>
      <w:tr w:rsidR="00770AF2" w:rsidRPr="004106B1" w14:paraId="13D50F8F" w14:textId="77777777">
        <w:tc>
          <w:tcPr>
            <w:tcW w:w="2895" w:type="dxa"/>
            <w:tcBorders>
              <w:top w:val="nil"/>
              <w:left w:val="nil"/>
              <w:bottom w:val="single" w:sz="6" w:space="0" w:color="auto"/>
              <w:right w:val="nil"/>
            </w:tcBorders>
            <w:shd w:val="clear" w:color="auto" w:fill="FFFFFF"/>
            <w:hideMark/>
          </w:tcPr>
          <w:p w14:paraId="2D16E11F" w14:textId="77777777" w:rsidR="00770AF2" w:rsidRPr="004106B1" w:rsidRDefault="00770AF2" w:rsidP="00770AF2">
            <w:pPr>
              <w:rPr>
                <w:rFonts w:ascii="Arial" w:hAnsi="Arial" w:cs="Arial"/>
              </w:rPr>
            </w:pPr>
            <w:r w:rsidRPr="004106B1">
              <w:rPr>
                <w:rFonts w:ascii="Arial" w:hAnsi="Arial" w:cs="Arial"/>
                <w:b/>
                <w:bCs/>
              </w:rPr>
              <w:t>Ground of appeal</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61C72D1D" w14:textId="77777777" w:rsidR="00770AF2" w:rsidRPr="004106B1" w:rsidRDefault="00770AF2" w:rsidP="00770AF2">
            <w:pPr>
              <w:rPr>
                <w:rFonts w:ascii="Arial" w:hAnsi="Arial" w:cs="Arial"/>
              </w:rPr>
            </w:pPr>
            <w:r w:rsidRPr="004106B1">
              <w:rPr>
                <w:rFonts w:ascii="Arial" w:hAnsi="Arial" w:cs="Arial"/>
                <w:b/>
                <w:bCs/>
              </w:rPr>
              <w:t>Fixed monetary penalty</w:t>
            </w:r>
            <w:r w:rsidRPr="004106B1">
              <w:rPr>
                <w:rFonts w:ascii="Arial" w:hAnsi="Arial" w:cs="Arial"/>
              </w:rPr>
              <w:t> </w:t>
            </w:r>
          </w:p>
        </w:tc>
        <w:tc>
          <w:tcPr>
            <w:tcW w:w="1965" w:type="dxa"/>
            <w:tcBorders>
              <w:top w:val="nil"/>
              <w:left w:val="nil"/>
              <w:bottom w:val="single" w:sz="6" w:space="0" w:color="auto"/>
              <w:right w:val="nil"/>
            </w:tcBorders>
            <w:shd w:val="clear" w:color="auto" w:fill="FFFFFF"/>
            <w:hideMark/>
          </w:tcPr>
          <w:p w14:paraId="311A9CFC" w14:textId="77777777" w:rsidR="00770AF2" w:rsidRPr="004106B1" w:rsidRDefault="00770AF2" w:rsidP="00770AF2">
            <w:pPr>
              <w:rPr>
                <w:rFonts w:ascii="Arial" w:hAnsi="Arial" w:cs="Arial"/>
              </w:rPr>
            </w:pPr>
            <w:r w:rsidRPr="004106B1">
              <w:rPr>
                <w:rFonts w:ascii="Arial" w:hAnsi="Arial" w:cs="Arial"/>
                <w:b/>
                <w:bCs/>
              </w:rPr>
              <w:t>Variable monetary penalty</w:t>
            </w:r>
            <w:r w:rsidRPr="004106B1">
              <w:rPr>
                <w:rFonts w:ascii="Arial" w:hAnsi="Arial" w:cs="Arial"/>
              </w:rPr>
              <w:t> </w:t>
            </w:r>
          </w:p>
        </w:tc>
        <w:tc>
          <w:tcPr>
            <w:tcW w:w="2040" w:type="dxa"/>
            <w:tcBorders>
              <w:top w:val="nil"/>
              <w:left w:val="nil"/>
              <w:bottom w:val="single" w:sz="6" w:space="0" w:color="auto"/>
              <w:right w:val="nil"/>
            </w:tcBorders>
            <w:shd w:val="clear" w:color="auto" w:fill="FFFFFF"/>
            <w:hideMark/>
          </w:tcPr>
          <w:p w14:paraId="65053527" w14:textId="77777777" w:rsidR="00770AF2" w:rsidRPr="004106B1" w:rsidRDefault="00770AF2" w:rsidP="00770AF2">
            <w:pPr>
              <w:rPr>
                <w:rFonts w:ascii="Arial" w:hAnsi="Arial" w:cs="Arial"/>
              </w:rPr>
            </w:pPr>
            <w:r w:rsidRPr="004106B1">
              <w:rPr>
                <w:rFonts w:ascii="Arial" w:hAnsi="Arial" w:cs="Arial"/>
                <w:b/>
                <w:bCs/>
              </w:rPr>
              <w:t>Compliance notice</w:t>
            </w:r>
            <w:r w:rsidRPr="004106B1">
              <w:rPr>
                <w:rFonts w:ascii="Arial" w:hAnsi="Arial" w:cs="Arial"/>
              </w:rPr>
              <w:t> </w:t>
            </w:r>
          </w:p>
        </w:tc>
      </w:tr>
      <w:tr w:rsidR="00770AF2" w:rsidRPr="004106B1" w14:paraId="6610CCFD" w14:textId="77777777">
        <w:tc>
          <w:tcPr>
            <w:tcW w:w="2895" w:type="dxa"/>
            <w:tcBorders>
              <w:top w:val="nil"/>
              <w:left w:val="nil"/>
              <w:bottom w:val="single" w:sz="6" w:space="0" w:color="auto"/>
              <w:right w:val="nil"/>
            </w:tcBorders>
            <w:shd w:val="clear" w:color="auto" w:fill="FFFFFF"/>
            <w:hideMark/>
          </w:tcPr>
          <w:p w14:paraId="6FC2941F" w14:textId="77777777" w:rsidR="00770AF2" w:rsidRPr="004106B1" w:rsidRDefault="00770AF2" w:rsidP="00770AF2">
            <w:pPr>
              <w:rPr>
                <w:rFonts w:ascii="Arial" w:hAnsi="Arial" w:cs="Arial"/>
              </w:rPr>
            </w:pPr>
            <w:r w:rsidRPr="004106B1">
              <w:rPr>
                <w:rFonts w:ascii="Arial" w:hAnsi="Arial" w:cs="Arial"/>
                <w:b/>
                <w:bCs/>
              </w:rPr>
              <w:t>Decision was based on an error of fact</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16B96BCA" w14:textId="77777777" w:rsidR="00770AF2" w:rsidRPr="004106B1" w:rsidRDefault="00770AF2" w:rsidP="00770AF2">
            <w:pPr>
              <w:rPr>
                <w:rFonts w:ascii="Arial" w:hAnsi="Arial" w:cs="Arial"/>
              </w:rPr>
            </w:pPr>
            <w:r w:rsidRPr="004106B1">
              <w:rPr>
                <w:rFonts w:ascii="Arial" w:hAnsi="Arial" w:cs="Arial"/>
              </w:rPr>
              <w:t>Yes </w:t>
            </w:r>
          </w:p>
        </w:tc>
        <w:tc>
          <w:tcPr>
            <w:tcW w:w="1965" w:type="dxa"/>
            <w:tcBorders>
              <w:top w:val="nil"/>
              <w:left w:val="nil"/>
              <w:bottom w:val="single" w:sz="6" w:space="0" w:color="auto"/>
              <w:right w:val="nil"/>
            </w:tcBorders>
            <w:shd w:val="clear" w:color="auto" w:fill="FFFFFF"/>
            <w:hideMark/>
          </w:tcPr>
          <w:p w14:paraId="6268E80B" w14:textId="77777777" w:rsidR="00770AF2" w:rsidRPr="004106B1" w:rsidRDefault="00770AF2" w:rsidP="00770AF2">
            <w:pPr>
              <w:rPr>
                <w:rFonts w:ascii="Arial" w:hAnsi="Arial" w:cs="Arial"/>
              </w:rPr>
            </w:pPr>
            <w:r w:rsidRPr="004106B1">
              <w:rPr>
                <w:rFonts w:ascii="Arial" w:hAnsi="Arial" w:cs="Arial"/>
              </w:rPr>
              <w:t>Yes </w:t>
            </w:r>
          </w:p>
        </w:tc>
        <w:tc>
          <w:tcPr>
            <w:tcW w:w="2040" w:type="dxa"/>
            <w:tcBorders>
              <w:top w:val="nil"/>
              <w:left w:val="nil"/>
              <w:bottom w:val="single" w:sz="6" w:space="0" w:color="auto"/>
              <w:right w:val="nil"/>
            </w:tcBorders>
            <w:shd w:val="clear" w:color="auto" w:fill="FFFFFF"/>
            <w:hideMark/>
          </w:tcPr>
          <w:p w14:paraId="6D9AC8A8" w14:textId="77777777" w:rsidR="00770AF2" w:rsidRPr="004106B1" w:rsidRDefault="00770AF2" w:rsidP="00770AF2">
            <w:pPr>
              <w:rPr>
                <w:rFonts w:ascii="Arial" w:hAnsi="Arial" w:cs="Arial"/>
              </w:rPr>
            </w:pPr>
            <w:r w:rsidRPr="004106B1">
              <w:rPr>
                <w:rFonts w:ascii="Arial" w:hAnsi="Arial" w:cs="Arial"/>
              </w:rPr>
              <w:t>Yes </w:t>
            </w:r>
          </w:p>
        </w:tc>
      </w:tr>
      <w:tr w:rsidR="00770AF2" w:rsidRPr="004106B1" w14:paraId="4D018536" w14:textId="77777777">
        <w:tc>
          <w:tcPr>
            <w:tcW w:w="2895" w:type="dxa"/>
            <w:tcBorders>
              <w:top w:val="nil"/>
              <w:left w:val="nil"/>
              <w:bottom w:val="single" w:sz="6" w:space="0" w:color="auto"/>
              <w:right w:val="nil"/>
            </w:tcBorders>
            <w:shd w:val="clear" w:color="auto" w:fill="FFFFFF"/>
            <w:hideMark/>
          </w:tcPr>
          <w:p w14:paraId="2D94FEC5" w14:textId="77777777" w:rsidR="00770AF2" w:rsidRPr="004106B1" w:rsidRDefault="00770AF2" w:rsidP="00770AF2">
            <w:pPr>
              <w:rPr>
                <w:rFonts w:ascii="Arial" w:hAnsi="Arial" w:cs="Arial"/>
              </w:rPr>
            </w:pPr>
            <w:r w:rsidRPr="004106B1">
              <w:rPr>
                <w:rFonts w:ascii="Arial" w:hAnsi="Arial" w:cs="Arial"/>
                <w:b/>
                <w:bCs/>
              </w:rPr>
              <w:t>Decision was wrong in law</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47FEA4E1" w14:textId="77777777" w:rsidR="00770AF2" w:rsidRPr="004106B1" w:rsidRDefault="00770AF2" w:rsidP="00770AF2">
            <w:pPr>
              <w:rPr>
                <w:rFonts w:ascii="Arial" w:hAnsi="Arial" w:cs="Arial"/>
              </w:rPr>
            </w:pPr>
            <w:r w:rsidRPr="004106B1">
              <w:rPr>
                <w:rFonts w:ascii="Arial" w:hAnsi="Arial" w:cs="Arial"/>
              </w:rPr>
              <w:t>Yes </w:t>
            </w:r>
          </w:p>
        </w:tc>
        <w:tc>
          <w:tcPr>
            <w:tcW w:w="1965" w:type="dxa"/>
            <w:tcBorders>
              <w:top w:val="nil"/>
              <w:left w:val="nil"/>
              <w:bottom w:val="single" w:sz="6" w:space="0" w:color="auto"/>
              <w:right w:val="nil"/>
            </w:tcBorders>
            <w:shd w:val="clear" w:color="auto" w:fill="FFFFFF"/>
            <w:hideMark/>
          </w:tcPr>
          <w:p w14:paraId="0F08395D" w14:textId="77777777" w:rsidR="00770AF2" w:rsidRPr="004106B1" w:rsidRDefault="00770AF2" w:rsidP="00770AF2">
            <w:pPr>
              <w:rPr>
                <w:rFonts w:ascii="Arial" w:hAnsi="Arial" w:cs="Arial"/>
              </w:rPr>
            </w:pPr>
            <w:r w:rsidRPr="004106B1">
              <w:rPr>
                <w:rFonts w:ascii="Arial" w:hAnsi="Arial" w:cs="Arial"/>
              </w:rPr>
              <w:t>Yes </w:t>
            </w:r>
          </w:p>
        </w:tc>
        <w:tc>
          <w:tcPr>
            <w:tcW w:w="2040" w:type="dxa"/>
            <w:tcBorders>
              <w:top w:val="nil"/>
              <w:left w:val="nil"/>
              <w:bottom w:val="single" w:sz="6" w:space="0" w:color="auto"/>
              <w:right w:val="nil"/>
            </w:tcBorders>
            <w:shd w:val="clear" w:color="auto" w:fill="FFFFFF"/>
            <w:hideMark/>
          </w:tcPr>
          <w:p w14:paraId="498D4E4C" w14:textId="77777777" w:rsidR="00770AF2" w:rsidRPr="004106B1" w:rsidRDefault="00770AF2" w:rsidP="00770AF2">
            <w:pPr>
              <w:rPr>
                <w:rFonts w:ascii="Arial" w:hAnsi="Arial" w:cs="Arial"/>
              </w:rPr>
            </w:pPr>
            <w:r w:rsidRPr="004106B1">
              <w:rPr>
                <w:rFonts w:ascii="Arial" w:hAnsi="Arial" w:cs="Arial"/>
              </w:rPr>
              <w:t>Yes </w:t>
            </w:r>
          </w:p>
        </w:tc>
      </w:tr>
      <w:tr w:rsidR="00770AF2" w:rsidRPr="004106B1" w14:paraId="7F5E423E" w14:textId="77777777">
        <w:tc>
          <w:tcPr>
            <w:tcW w:w="2895" w:type="dxa"/>
            <w:tcBorders>
              <w:top w:val="nil"/>
              <w:left w:val="nil"/>
              <w:bottom w:val="single" w:sz="6" w:space="0" w:color="auto"/>
              <w:right w:val="nil"/>
            </w:tcBorders>
            <w:shd w:val="clear" w:color="auto" w:fill="FFFFFF"/>
            <w:hideMark/>
          </w:tcPr>
          <w:p w14:paraId="4E604D05" w14:textId="77777777" w:rsidR="00770AF2" w:rsidRPr="004106B1" w:rsidRDefault="00770AF2" w:rsidP="00770AF2">
            <w:pPr>
              <w:rPr>
                <w:rFonts w:ascii="Arial" w:hAnsi="Arial" w:cs="Arial"/>
              </w:rPr>
            </w:pPr>
            <w:r w:rsidRPr="004106B1">
              <w:rPr>
                <w:rFonts w:ascii="Arial" w:hAnsi="Arial" w:cs="Arial"/>
                <w:b/>
                <w:bCs/>
              </w:rPr>
              <w:t>Decision was unreasonable</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5F77A1F0" w14:textId="77777777" w:rsidR="00770AF2" w:rsidRPr="004106B1" w:rsidRDefault="00770AF2" w:rsidP="00770AF2">
            <w:pPr>
              <w:rPr>
                <w:rFonts w:ascii="Arial" w:hAnsi="Arial" w:cs="Arial"/>
              </w:rPr>
            </w:pPr>
            <w:r w:rsidRPr="004106B1">
              <w:rPr>
                <w:rFonts w:ascii="Arial" w:hAnsi="Arial" w:cs="Arial"/>
              </w:rPr>
              <w:t>Yes </w:t>
            </w:r>
          </w:p>
        </w:tc>
        <w:tc>
          <w:tcPr>
            <w:tcW w:w="1965" w:type="dxa"/>
            <w:tcBorders>
              <w:top w:val="nil"/>
              <w:left w:val="nil"/>
              <w:bottom w:val="single" w:sz="6" w:space="0" w:color="auto"/>
              <w:right w:val="nil"/>
            </w:tcBorders>
            <w:shd w:val="clear" w:color="auto" w:fill="FFFFFF"/>
            <w:hideMark/>
          </w:tcPr>
          <w:p w14:paraId="0B8C6E53" w14:textId="77777777" w:rsidR="00770AF2" w:rsidRPr="004106B1" w:rsidRDefault="00770AF2" w:rsidP="00770AF2">
            <w:pPr>
              <w:rPr>
                <w:rFonts w:ascii="Arial" w:hAnsi="Arial" w:cs="Arial"/>
              </w:rPr>
            </w:pPr>
            <w:r w:rsidRPr="004106B1">
              <w:rPr>
                <w:rFonts w:ascii="Arial" w:hAnsi="Arial" w:cs="Arial"/>
              </w:rPr>
              <w:t>Yes </w:t>
            </w:r>
          </w:p>
        </w:tc>
        <w:tc>
          <w:tcPr>
            <w:tcW w:w="2040" w:type="dxa"/>
            <w:tcBorders>
              <w:top w:val="nil"/>
              <w:left w:val="nil"/>
              <w:bottom w:val="single" w:sz="6" w:space="0" w:color="auto"/>
              <w:right w:val="nil"/>
            </w:tcBorders>
            <w:shd w:val="clear" w:color="auto" w:fill="FFFFFF"/>
            <w:hideMark/>
          </w:tcPr>
          <w:p w14:paraId="25711C7A" w14:textId="77777777" w:rsidR="00770AF2" w:rsidRPr="004106B1" w:rsidRDefault="00770AF2" w:rsidP="00770AF2">
            <w:pPr>
              <w:rPr>
                <w:rFonts w:ascii="Arial" w:hAnsi="Arial" w:cs="Arial"/>
              </w:rPr>
            </w:pPr>
            <w:r w:rsidRPr="004106B1">
              <w:rPr>
                <w:rFonts w:ascii="Arial" w:hAnsi="Arial" w:cs="Arial"/>
              </w:rPr>
              <w:t>Yes </w:t>
            </w:r>
          </w:p>
        </w:tc>
      </w:tr>
      <w:tr w:rsidR="00770AF2" w:rsidRPr="004106B1" w14:paraId="1DB72F0B" w14:textId="77777777">
        <w:tc>
          <w:tcPr>
            <w:tcW w:w="2895" w:type="dxa"/>
            <w:tcBorders>
              <w:top w:val="nil"/>
              <w:left w:val="nil"/>
              <w:bottom w:val="single" w:sz="6" w:space="0" w:color="auto"/>
              <w:right w:val="nil"/>
            </w:tcBorders>
            <w:shd w:val="clear" w:color="auto" w:fill="FFFFFF"/>
            <w:hideMark/>
          </w:tcPr>
          <w:p w14:paraId="5E204121" w14:textId="77777777" w:rsidR="00770AF2" w:rsidRPr="004106B1" w:rsidRDefault="00770AF2" w:rsidP="00770AF2">
            <w:pPr>
              <w:rPr>
                <w:rFonts w:ascii="Arial" w:hAnsi="Arial" w:cs="Arial"/>
              </w:rPr>
            </w:pPr>
            <w:r w:rsidRPr="004106B1">
              <w:rPr>
                <w:rFonts w:ascii="Arial" w:hAnsi="Arial" w:cs="Arial"/>
                <w:b/>
                <w:bCs/>
              </w:rPr>
              <w:t>Amount is unreasonable</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166F6B87" w14:textId="77777777" w:rsidR="00770AF2" w:rsidRPr="004106B1" w:rsidRDefault="00770AF2" w:rsidP="00770AF2">
            <w:pPr>
              <w:rPr>
                <w:rFonts w:ascii="Arial" w:hAnsi="Arial" w:cs="Arial"/>
              </w:rPr>
            </w:pPr>
            <w:r w:rsidRPr="004106B1">
              <w:rPr>
                <w:rFonts w:ascii="Arial" w:hAnsi="Arial" w:cs="Arial"/>
              </w:rPr>
              <w:t>No </w:t>
            </w:r>
          </w:p>
        </w:tc>
        <w:tc>
          <w:tcPr>
            <w:tcW w:w="1965" w:type="dxa"/>
            <w:tcBorders>
              <w:top w:val="nil"/>
              <w:left w:val="nil"/>
              <w:bottom w:val="single" w:sz="6" w:space="0" w:color="auto"/>
              <w:right w:val="nil"/>
            </w:tcBorders>
            <w:shd w:val="clear" w:color="auto" w:fill="FFFFFF"/>
            <w:hideMark/>
          </w:tcPr>
          <w:p w14:paraId="4B7CDA08" w14:textId="77777777" w:rsidR="00770AF2" w:rsidRPr="004106B1" w:rsidRDefault="00770AF2" w:rsidP="00770AF2">
            <w:pPr>
              <w:rPr>
                <w:rFonts w:ascii="Arial" w:hAnsi="Arial" w:cs="Arial"/>
              </w:rPr>
            </w:pPr>
            <w:r w:rsidRPr="004106B1">
              <w:rPr>
                <w:rFonts w:ascii="Arial" w:hAnsi="Arial" w:cs="Arial"/>
              </w:rPr>
              <w:t>Yes </w:t>
            </w:r>
          </w:p>
        </w:tc>
        <w:tc>
          <w:tcPr>
            <w:tcW w:w="2040" w:type="dxa"/>
            <w:tcBorders>
              <w:top w:val="nil"/>
              <w:left w:val="nil"/>
              <w:bottom w:val="single" w:sz="6" w:space="0" w:color="auto"/>
              <w:right w:val="nil"/>
            </w:tcBorders>
            <w:shd w:val="clear" w:color="auto" w:fill="FFFFFF"/>
            <w:hideMark/>
          </w:tcPr>
          <w:p w14:paraId="0FC54365" w14:textId="77777777" w:rsidR="00770AF2" w:rsidRPr="004106B1" w:rsidRDefault="00770AF2" w:rsidP="00770AF2">
            <w:pPr>
              <w:rPr>
                <w:rFonts w:ascii="Arial" w:hAnsi="Arial" w:cs="Arial"/>
              </w:rPr>
            </w:pPr>
            <w:r w:rsidRPr="004106B1">
              <w:rPr>
                <w:rFonts w:ascii="Arial" w:hAnsi="Arial" w:cs="Arial"/>
              </w:rPr>
              <w:t>No </w:t>
            </w:r>
          </w:p>
        </w:tc>
      </w:tr>
      <w:tr w:rsidR="00770AF2" w:rsidRPr="004106B1" w14:paraId="1552E27A" w14:textId="77777777">
        <w:tc>
          <w:tcPr>
            <w:tcW w:w="2895" w:type="dxa"/>
            <w:tcBorders>
              <w:top w:val="nil"/>
              <w:left w:val="nil"/>
              <w:bottom w:val="single" w:sz="6" w:space="0" w:color="auto"/>
              <w:right w:val="nil"/>
            </w:tcBorders>
            <w:shd w:val="clear" w:color="auto" w:fill="FFFFFF"/>
            <w:hideMark/>
          </w:tcPr>
          <w:p w14:paraId="17947910" w14:textId="77777777" w:rsidR="00770AF2" w:rsidRPr="004106B1" w:rsidRDefault="00770AF2" w:rsidP="00770AF2">
            <w:pPr>
              <w:rPr>
                <w:rFonts w:ascii="Arial" w:hAnsi="Arial" w:cs="Arial"/>
              </w:rPr>
            </w:pPr>
            <w:r w:rsidRPr="004106B1">
              <w:rPr>
                <w:rFonts w:ascii="Arial" w:hAnsi="Arial" w:cs="Arial"/>
                <w:b/>
                <w:bCs/>
              </w:rPr>
              <w:t>Nature of the requirement is unreasonable</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35F519E7" w14:textId="77777777" w:rsidR="00770AF2" w:rsidRPr="004106B1" w:rsidRDefault="00770AF2" w:rsidP="00770AF2">
            <w:pPr>
              <w:rPr>
                <w:rFonts w:ascii="Arial" w:hAnsi="Arial" w:cs="Arial"/>
              </w:rPr>
            </w:pPr>
            <w:r w:rsidRPr="004106B1">
              <w:rPr>
                <w:rFonts w:ascii="Arial" w:hAnsi="Arial" w:cs="Arial"/>
              </w:rPr>
              <w:t>No </w:t>
            </w:r>
          </w:p>
        </w:tc>
        <w:tc>
          <w:tcPr>
            <w:tcW w:w="1965" w:type="dxa"/>
            <w:tcBorders>
              <w:top w:val="nil"/>
              <w:left w:val="nil"/>
              <w:bottom w:val="single" w:sz="6" w:space="0" w:color="auto"/>
              <w:right w:val="nil"/>
            </w:tcBorders>
            <w:shd w:val="clear" w:color="auto" w:fill="FFFFFF"/>
            <w:hideMark/>
          </w:tcPr>
          <w:p w14:paraId="16EF8A83" w14:textId="77777777" w:rsidR="00770AF2" w:rsidRPr="004106B1" w:rsidRDefault="00770AF2" w:rsidP="00770AF2">
            <w:pPr>
              <w:rPr>
                <w:rFonts w:ascii="Arial" w:hAnsi="Arial" w:cs="Arial"/>
              </w:rPr>
            </w:pPr>
            <w:r w:rsidRPr="004106B1">
              <w:rPr>
                <w:rFonts w:ascii="Arial" w:hAnsi="Arial" w:cs="Arial"/>
              </w:rPr>
              <w:t>No </w:t>
            </w:r>
          </w:p>
        </w:tc>
        <w:tc>
          <w:tcPr>
            <w:tcW w:w="2040" w:type="dxa"/>
            <w:tcBorders>
              <w:top w:val="nil"/>
              <w:left w:val="nil"/>
              <w:bottom w:val="single" w:sz="6" w:space="0" w:color="auto"/>
              <w:right w:val="nil"/>
            </w:tcBorders>
            <w:shd w:val="clear" w:color="auto" w:fill="FFFFFF"/>
            <w:hideMark/>
          </w:tcPr>
          <w:p w14:paraId="7EA18406" w14:textId="77777777" w:rsidR="00770AF2" w:rsidRPr="004106B1" w:rsidRDefault="00770AF2" w:rsidP="00770AF2">
            <w:pPr>
              <w:rPr>
                <w:rFonts w:ascii="Arial" w:hAnsi="Arial" w:cs="Arial"/>
              </w:rPr>
            </w:pPr>
            <w:r w:rsidRPr="004106B1">
              <w:rPr>
                <w:rFonts w:ascii="Arial" w:hAnsi="Arial" w:cs="Arial"/>
              </w:rPr>
              <w:t>Yes </w:t>
            </w:r>
          </w:p>
        </w:tc>
      </w:tr>
      <w:tr w:rsidR="00770AF2" w:rsidRPr="004106B1" w14:paraId="55D12AFF" w14:textId="77777777">
        <w:tc>
          <w:tcPr>
            <w:tcW w:w="2895" w:type="dxa"/>
            <w:tcBorders>
              <w:top w:val="nil"/>
              <w:left w:val="nil"/>
              <w:bottom w:val="single" w:sz="6" w:space="0" w:color="auto"/>
              <w:right w:val="nil"/>
            </w:tcBorders>
            <w:shd w:val="clear" w:color="auto" w:fill="FFFFFF"/>
            <w:hideMark/>
          </w:tcPr>
          <w:p w14:paraId="27C72562" w14:textId="77777777" w:rsidR="00770AF2" w:rsidRPr="004106B1" w:rsidRDefault="00770AF2" w:rsidP="00770AF2">
            <w:pPr>
              <w:rPr>
                <w:rFonts w:ascii="Arial" w:hAnsi="Arial" w:cs="Arial"/>
              </w:rPr>
            </w:pPr>
            <w:r w:rsidRPr="004106B1">
              <w:rPr>
                <w:rFonts w:ascii="Arial" w:hAnsi="Arial" w:cs="Arial"/>
                <w:b/>
                <w:bCs/>
              </w:rPr>
              <w:t>Wrong for any other reason</w:t>
            </w:r>
            <w:r w:rsidRPr="004106B1">
              <w:rPr>
                <w:rFonts w:ascii="Arial" w:hAnsi="Arial" w:cs="Arial"/>
              </w:rPr>
              <w:t> </w:t>
            </w:r>
          </w:p>
        </w:tc>
        <w:tc>
          <w:tcPr>
            <w:tcW w:w="1860" w:type="dxa"/>
            <w:tcBorders>
              <w:top w:val="nil"/>
              <w:left w:val="nil"/>
              <w:bottom w:val="single" w:sz="6" w:space="0" w:color="auto"/>
              <w:right w:val="nil"/>
            </w:tcBorders>
            <w:shd w:val="clear" w:color="auto" w:fill="FFFFFF"/>
            <w:hideMark/>
          </w:tcPr>
          <w:p w14:paraId="1DF1E9E2" w14:textId="77777777" w:rsidR="00770AF2" w:rsidRPr="004106B1" w:rsidRDefault="00770AF2" w:rsidP="00770AF2">
            <w:pPr>
              <w:rPr>
                <w:rFonts w:ascii="Arial" w:hAnsi="Arial" w:cs="Arial"/>
              </w:rPr>
            </w:pPr>
            <w:r w:rsidRPr="004106B1">
              <w:rPr>
                <w:rFonts w:ascii="Arial" w:hAnsi="Arial" w:cs="Arial"/>
              </w:rPr>
              <w:t>No </w:t>
            </w:r>
          </w:p>
        </w:tc>
        <w:tc>
          <w:tcPr>
            <w:tcW w:w="1965" w:type="dxa"/>
            <w:tcBorders>
              <w:top w:val="nil"/>
              <w:left w:val="nil"/>
              <w:bottom w:val="single" w:sz="6" w:space="0" w:color="auto"/>
              <w:right w:val="nil"/>
            </w:tcBorders>
            <w:shd w:val="clear" w:color="auto" w:fill="FFFFFF"/>
            <w:hideMark/>
          </w:tcPr>
          <w:p w14:paraId="64A64F4D" w14:textId="77777777" w:rsidR="00770AF2" w:rsidRPr="004106B1" w:rsidRDefault="00770AF2" w:rsidP="00770AF2">
            <w:pPr>
              <w:rPr>
                <w:rFonts w:ascii="Arial" w:hAnsi="Arial" w:cs="Arial"/>
              </w:rPr>
            </w:pPr>
            <w:r w:rsidRPr="004106B1">
              <w:rPr>
                <w:rFonts w:ascii="Arial" w:hAnsi="Arial" w:cs="Arial"/>
              </w:rPr>
              <w:t>No </w:t>
            </w:r>
          </w:p>
        </w:tc>
        <w:tc>
          <w:tcPr>
            <w:tcW w:w="2040" w:type="dxa"/>
            <w:tcBorders>
              <w:top w:val="nil"/>
              <w:left w:val="nil"/>
              <w:bottom w:val="single" w:sz="6" w:space="0" w:color="auto"/>
              <w:right w:val="nil"/>
            </w:tcBorders>
            <w:shd w:val="clear" w:color="auto" w:fill="FFFFFF"/>
            <w:hideMark/>
          </w:tcPr>
          <w:p w14:paraId="5B3D32C2" w14:textId="77777777" w:rsidR="00770AF2" w:rsidRPr="004106B1" w:rsidRDefault="00770AF2" w:rsidP="00770AF2">
            <w:pPr>
              <w:rPr>
                <w:rFonts w:ascii="Arial" w:hAnsi="Arial" w:cs="Arial"/>
              </w:rPr>
            </w:pPr>
            <w:r w:rsidRPr="004106B1">
              <w:rPr>
                <w:rFonts w:ascii="Arial" w:hAnsi="Arial" w:cs="Arial"/>
              </w:rPr>
              <w:t>No </w:t>
            </w:r>
          </w:p>
        </w:tc>
      </w:tr>
    </w:tbl>
    <w:p w14:paraId="546B4F67" w14:textId="77777777" w:rsidR="00770AF2" w:rsidRPr="004106B1" w:rsidRDefault="00770AF2" w:rsidP="00770AF2">
      <w:pPr>
        <w:rPr>
          <w:rFonts w:ascii="Arial" w:hAnsi="Arial" w:cs="Arial"/>
        </w:rPr>
      </w:pPr>
      <w:r w:rsidRPr="004106B1">
        <w:rPr>
          <w:rFonts w:ascii="Arial" w:hAnsi="Arial" w:cs="Arial"/>
        </w:rPr>
        <w:t>In relation to an enforcement cost recovery notice, the person required to pay costs may appeal against either: </w:t>
      </w:r>
    </w:p>
    <w:p w14:paraId="33D2094C" w14:textId="77777777" w:rsidR="00770AF2" w:rsidRPr="004106B1" w:rsidRDefault="00770AF2" w:rsidP="6BBF57A1">
      <w:pPr>
        <w:pStyle w:val="ListParagraph"/>
        <w:numPr>
          <w:ilvl w:val="0"/>
          <w:numId w:val="2"/>
        </w:numPr>
        <w:rPr>
          <w:rFonts w:ascii="Arial" w:hAnsi="Arial" w:cs="Arial"/>
        </w:rPr>
      </w:pPr>
      <w:r w:rsidRPr="004106B1">
        <w:rPr>
          <w:rFonts w:ascii="Arial" w:hAnsi="Arial" w:cs="Arial"/>
        </w:rPr>
        <w:t>the decision to impose the requirement to pay costs </w:t>
      </w:r>
    </w:p>
    <w:p w14:paraId="1BBB6B26" w14:textId="6F18B347" w:rsidR="00770AF2" w:rsidRPr="004106B1" w:rsidRDefault="00770AF2" w:rsidP="6BBF57A1">
      <w:pPr>
        <w:pStyle w:val="ListParagraph"/>
        <w:numPr>
          <w:ilvl w:val="0"/>
          <w:numId w:val="2"/>
        </w:numPr>
        <w:rPr>
          <w:rFonts w:ascii="Arial" w:hAnsi="Arial" w:cs="Arial"/>
        </w:rPr>
      </w:pPr>
      <w:r w:rsidRPr="004106B1">
        <w:rPr>
          <w:rFonts w:ascii="Arial" w:hAnsi="Arial" w:cs="Arial"/>
        </w:rPr>
        <w:t>the decision as to the amount of those costs</w:t>
      </w:r>
    </w:p>
    <w:p w14:paraId="3A596FB5" w14:textId="77777777" w:rsidR="00770AF2" w:rsidRPr="004106B1" w:rsidRDefault="00770AF2">
      <w:pPr>
        <w:rPr>
          <w:rFonts w:ascii="Arial" w:hAnsi="Arial" w:cs="Arial"/>
        </w:rPr>
      </w:pPr>
    </w:p>
    <w:sectPr w:rsidR="00770AF2" w:rsidRPr="004106B1" w:rsidSect="00770AF2">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0C4C" w14:textId="77777777" w:rsidR="005B5B38" w:rsidRDefault="005B5B38">
      <w:pPr>
        <w:spacing w:after="0" w:line="240" w:lineRule="auto"/>
      </w:pPr>
      <w:r>
        <w:separator/>
      </w:r>
    </w:p>
  </w:endnote>
  <w:endnote w:type="continuationSeparator" w:id="0">
    <w:p w14:paraId="6F5A00C4" w14:textId="77777777" w:rsidR="005B5B38" w:rsidRDefault="005B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4AF4" w14:textId="77777777" w:rsidR="00557FEA" w:rsidRDefault="00557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39A4" w14:textId="77777777" w:rsidR="00557FEA" w:rsidRDefault="00557F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E41D" w14:textId="77777777" w:rsidR="00557FEA" w:rsidRDefault="00557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FBAF" w14:textId="77777777" w:rsidR="005B5B38" w:rsidRDefault="005B5B38">
      <w:pPr>
        <w:spacing w:after="0" w:line="240" w:lineRule="auto"/>
      </w:pPr>
      <w:r>
        <w:separator/>
      </w:r>
    </w:p>
  </w:footnote>
  <w:footnote w:type="continuationSeparator" w:id="0">
    <w:p w14:paraId="69989FA3" w14:textId="77777777" w:rsidR="005B5B38" w:rsidRDefault="005B5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0E39" w14:textId="77777777" w:rsidR="00557FEA" w:rsidRDefault="00557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97CE" w14:textId="77777777" w:rsidR="00557FEA" w:rsidRDefault="00557F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4622" w14:textId="77777777" w:rsidR="00557FEA" w:rsidRDefault="00557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983"/>
    <w:multiLevelType w:val="hybridMultilevel"/>
    <w:tmpl w:val="FFFFFFFF"/>
    <w:lvl w:ilvl="0" w:tplc="FFCCFD5E">
      <w:start w:val="1"/>
      <w:numFmt w:val="bullet"/>
      <w:lvlText w:val="-"/>
      <w:lvlJc w:val="left"/>
      <w:pPr>
        <w:ind w:left="720" w:hanging="360"/>
      </w:pPr>
      <w:rPr>
        <w:rFonts w:ascii="Arial" w:hAnsi="Arial" w:hint="default"/>
      </w:rPr>
    </w:lvl>
    <w:lvl w:ilvl="1" w:tplc="95A21036">
      <w:start w:val="1"/>
      <w:numFmt w:val="bullet"/>
      <w:lvlText w:val="o"/>
      <w:lvlJc w:val="left"/>
      <w:pPr>
        <w:ind w:left="1440" w:hanging="360"/>
      </w:pPr>
      <w:rPr>
        <w:rFonts w:ascii="Courier New" w:hAnsi="Courier New" w:hint="default"/>
      </w:rPr>
    </w:lvl>
    <w:lvl w:ilvl="2" w:tplc="65B8DE90">
      <w:start w:val="1"/>
      <w:numFmt w:val="bullet"/>
      <w:lvlText w:val=""/>
      <w:lvlJc w:val="left"/>
      <w:pPr>
        <w:ind w:left="2160" w:hanging="360"/>
      </w:pPr>
      <w:rPr>
        <w:rFonts w:ascii="Wingdings" w:hAnsi="Wingdings" w:hint="default"/>
      </w:rPr>
    </w:lvl>
    <w:lvl w:ilvl="3" w:tplc="CC962852">
      <w:start w:val="1"/>
      <w:numFmt w:val="bullet"/>
      <w:lvlText w:val=""/>
      <w:lvlJc w:val="left"/>
      <w:pPr>
        <w:ind w:left="2880" w:hanging="360"/>
      </w:pPr>
      <w:rPr>
        <w:rFonts w:ascii="Symbol" w:hAnsi="Symbol" w:hint="default"/>
      </w:rPr>
    </w:lvl>
    <w:lvl w:ilvl="4" w:tplc="3858135E">
      <w:start w:val="1"/>
      <w:numFmt w:val="bullet"/>
      <w:lvlText w:val="o"/>
      <w:lvlJc w:val="left"/>
      <w:pPr>
        <w:ind w:left="3600" w:hanging="360"/>
      </w:pPr>
      <w:rPr>
        <w:rFonts w:ascii="Courier New" w:hAnsi="Courier New" w:hint="default"/>
      </w:rPr>
    </w:lvl>
    <w:lvl w:ilvl="5" w:tplc="424A9BF4">
      <w:start w:val="1"/>
      <w:numFmt w:val="bullet"/>
      <w:lvlText w:val=""/>
      <w:lvlJc w:val="left"/>
      <w:pPr>
        <w:ind w:left="4320" w:hanging="360"/>
      </w:pPr>
      <w:rPr>
        <w:rFonts w:ascii="Wingdings" w:hAnsi="Wingdings" w:hint="default"/>
      </w:rPr>
    </w:lvl>
    <w:lvl w:ilvl="6" w:tplc="652CC432">
      <w:start w:val="1"/>
      <w:numFmt w:val="bullet"/>
      <w:lvlText w:val=""/>
      <w:lvlJc w:val="left"/>
      <w:pPr>
        <w:ind w:left="5040" w:hanging="360"/>
      </w:pPr>
      <w:rPr>
        <w:rFonts w:ascii="Symbol" w:hAnsi="Symbol" w:hint="default"/>
      </w:rPr>
    </w:lvl>
    <w:lvl w:ilvl="7" w:tplc="5A7A6172">
      <w:start w:val="1"/>
      <w:numFmt w:val="bullet"/>
      <w:lvlText w:val="o"/>
      <w:lvlJc w:val="left"/>
      <w:pPr>
        <w:ind w:left="5760" w:hanging="360"/>
      </w:pPr>
      <w:rPr>
        <w:rFonts w:ascii="Courier New" w:hAnsi="Courier New" w:hint="default"/>
      </w:rPr>
    </w:lvl>
    <w:lvl w:ilvl="8" w:tplc="B36E2E32">
      <w:start w:val="1"/>
      <w:numFmt w:val="bullet"/>
      <w:lvlText w:val=""/>
      <w:lvlJc w:val="left"/>
      <w:pPr>
        <w:ind w:left="6480" w:hanging="360"/>
      </w:pPr>
      <w:rPr>
        <w:rFonts w:ascii="Wingdings" w:hAnsi="Wingdings" w:hint="default"/>
      </w:rPr>
    </w:lvl>
  </w:abstractNum>
  <w:abstractNum w:abstractNumId="1" w15:restartNumberingAfterBreak="0">
    <w:nsid w:val="0A0B08B4"/>
    <w:multiLevelType w:val="multilevel"/>
    <w:tmpl w:val="7E4E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D6EC6"/>
    <w:multiLevelType w:val="hybridMultilevel"/>
    <w:tmpl w:val="FFFFFFFF"/>
    <w:lvl w:ilvl="0" w:tplc="5FEE991E">
      <w:start w:val="1"/>
      <w:numFmt w:val="bullet"/>
      <w:lvlText w:val="-"/>
      <w:lvlJc w:val="left"/>
      <w:pPr>
        <w:ind w:left="720" w:hanging="360"/>
      </w:pPr>
      <w:rPr>
        <w:rFonts w:ascii="Arial" w:hAnsi="Arial" w:hint="default"/>
      </w:rPr>
    </w:lvl>
    <w:lvl w:ilvl="1" w:tplc="ADCCF15E">
      <w:start w:val="1"/>
      <w:numFmt w:val="bullet"/>
      <w:lvlText w:val="o"/>
      <w:lvlJc w:val="left"/>
      <w:pPr>
        <w:ind w:left="1440" w:hanging="360"/>
      </w:pPr>
      <w:rPr>
        <w:rFonts w:ascii="Courier New" w:hAnsi="Courier New" w:hint="default"/>
      </w:rPr>
    </w:lvl>
    <w:lvl w:ilvl="2" w:tplc="4824EBF0">
      <w:start w:val="1"/>
      <w:numFmt w:val="bullet"/>
      <w:lvlText w:val=""/>
      <w:lvlJc w:val="left"/>
      <w:pPr>
        <w:ind w:left="2160" w:hanging="360"/>
      </w:pPr>
      <w:rPr>
        <w:rFonts w:ascii="Wingdings" w:hAnsi="Wingdings" w:hint="default"/>
      </w:rPr>
    </w:lvl>
    <w:lvl w:ilvl="3" w:tplc="E5F0EA90">
      <w:start w:val="1"/>
      <w:numFmt w:val="bullet"/>
      <w:lvlText w:val=""/>
      <w:lvlJc w:val="left"/>
      <w:pPr>
        <w:ind w:left="2880" w:hanging="360"/>
      </w:pPr>
      <w:rPr>
        <w:rFonts w:ascii="Symbol" w:hAnsi="Symbol" w:hint="default"/>
      </w:rPr>
    </w:lvl>
    <w:lvl w:ilvl="4" w:tplc="1BE482BA">
      <w:start w:val="1"/>
      <w:numFmt w:val="bullet"/>
      <w:lvlText w:val="o"/>
      <w:lvlJc w:val="left"/>
      <w:pPr>
        <w:ind w:left="3600" w:hanging="360"/>
      </w:pPr>
      <w:rPr>
        <w:rFonts w:ascii="Courier New" w:hAnsi="Courier New" w:hint="default"/>
      </w:rPr>
    </w:lvl>
    <w:lvl w:ilvl="5" w:tplc="ABBE167E">
      <w:start w:val="1"/>
      <w:numFmt w:val="bullet"/>
      <w:lvlText w:val=""/>
      <w:lvlJc w:val="left"/>
      <w:pPr>
        <w:ind w:left="4320" w:hanging="360"/>
      </w:pPr>
      <w:rPr>
        <w:rFonts w:ascii="Wingdings" w:hAnsi="Wingdings" w:hint="default"/>
      </w:rPr>
    </w:lvl>
    <w:lvl w:ilvl="6" w:tplc="29725904">
      <w:start w:val="1"/>
      <w:numFmt w:val="bullet"/>
      <w:lvlText w:val=""/>
      <w:lvlJc w:val="left"/>
      <w:pPr>
        <w:ind w:left="5040" w:hanging="360"/>
      </w:pPr>
      <w:rPr>
        <w:rFonts w:ascii="Symbol" w:hAnsi="Symbol" w:hint="default"/>
      </w:rPr>
    </w:lvl>
    <w:lvl w:ilvl="7" w:tplc="6E1496B2">
      <w:start w:val="1"/>
      <w:numFmt w:val="bullet"/>
      <w:lvlText w:val="o"/>
      <w:lvlJc w:val="left"/>
      <w:pPr>
        <w:ind w:left="5760" w:hanging="360"/>
      </w:pPr>
      <w:rPr>
        <w:rFonts w:ascii="Courier New" w:hAnsi="Courier New" w:hint="default"/>
      </w:rPr>
    </w:lvl>
    <w:lvl w:ilvl="8" w:tplc="D26AB5A8">
      <w:start w:val="1"/>
      <w:numFmt w:val="bullet"/>
      <w:lvlText w:val=""/>
      <w:lvlJc w:val="left"/>
      <w:pPr>
        <w:ind w:left="6480" w:hanging="360"/>
      </w:pPr>
      <w:rPr>
        <w:rFonts w:ascii="Wingdings" w:hAnsi="Wingdings" w:hint="default"/>
      </w:rPr>
    </w:lvl>
  </w:abstractNum>
  <w:abstractNum w:abstractNumId="3" w15:restartNumberingAfterBreak="0">
    <w:nsid w:val="0F555BD7"/>
    <w:multiLevelType w:val="multilevel"/>
    <w:tmpl w:val="3F92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11CED"/>
    <w:multiLevelType w:val="hybridMultilevel"/>
    <w:tmpl w:val="FFFFFFFF"/>
    <w:lvl w:ilvl="0" w:tplc="7E1EDCAC">
      <w:start w:val="1"/>
      <w:numFmt w:val="bullet"/>
      <w:lvlText w:val="-"/>
      <w:lvlJc w:val="left"/>
      <w:pPr>
        <w:ind w:left="720" w:hanging="360"/>
      </w:pPr>
      <w:rPr>
        <w:rFonts w:ascii="Arial" w:hAnsi="Arial" w:hint="default"/>
      </w:rPr>
    </w:lvl>
    <w:lvl w:ilvl="1" w:tplc="6EA08298">
      <w:start w:val="1"/>
      <w:numFmt w:val="bullet"/>
      <w:lvlText w:val="o"/>
      <w:lvlJc w:val="left"/>
      <w:pPr>
        <w:ind w:left="1440" w:hanging="360"/>
      </w:pPr>
      <w:rPr>
        <w:rFonts w:ascii="Courier New" w:hAnsi="Courier New" w:hint="default"/>
      </w:rPr>
    </w:lvl>
    <w:lvl w:ilvl="2" w:tplc="97E4AED4">
      <w:start w:val="1"/>
      <w:numFmt w:val="bullet"/>
      <w:lvlText w:val=""/>
      <w:lvlJc w:val="left"/>
      <w:pPr>
        <w:ind w:left="2160" w:hanging="360"/>
      </w:pPr>
      <w:rPr>
        <w:rFonts w:ascii="Wingdings" w:hAnsi="Wingdings" w:hint="default"/>
      </w:rPr>
    </w:lvl>
    <w:lvl w:ilvl="3" w:tplc="876CA6AA">
      <w:start w:val="1"/>
      <w:numFmt w:val="bullet"/>
      <w:lvlText w:val=""/>
      <w:lvlJc w:val="left"/>
      <w:pPr>
        <w:ind w:left="2880" w:hanging="360"/>
      </w:pPr>
      <w:rPr>
        <w:rFonts w:ascii="Symbol" w:hAnsi="Symbol" w:hint="default"/>
      </w:rPr>
    </w:lvl>
    <w:lvl w:ilvl="4" w:tplc="59906A7A">
      <w:start w:val="1"/>
      <w:numFmt w:val="bullet"/>
      <w:lvlText w:val="o"/>
      <w:lvlJc w:val="left"/>
      <w:pPr>
        <w:ind w:left="3600" w:hanging="360"/>
      </w:pPr>
      <w:rPr>
        <w:rFonts w:ascii="Courier New" w:hAnsi="Courier New" w:hint="default"/>
      </w:rPr>
    </w:lvl>
    <w:lvl w:ilvl="5" w:tplc="3F0AC616">
      <w:start w:val="1"/>
      <w:numFmt w:val="bullet"/>
      <w:lvlText w:val=""/>
      <w:lvlJc w:val="left"/>
      <w:pPr>
        <w:ind w:left="4320" w:hanging="360"/>
      </w:pPr>
      <w:rPr>
        <w:rFonts w:ascii="Wingdings" w:hAnsi="Wingdings" w:hint="default"/>
      </w:rPr>
    </w:lvl>
    <w:lvl w:ilvl="6" w:tplc="C5A496F2">
      <w:start w:val="1"/>
      <w:numFmt w:val="bullet"/>
      <w:lvlText w:val=""/>
      <w:lvlJc w:val="left"/>
      <w:pPr>
        <w:ind w:left="5040" w:hanging="360"/>
      </w:pPr>
      <w:rPr>
        <w:rFonts w:ascii="Symbol" w:hAnsi="Symbol" w:hint="default"/>
      </w:rPr>
    </w:lvl>
    <w:lvl w:ilvl="7" w:tplc="304884E8">
      <w:start w:val="1"/>
      <w:numFmt w:val="bullet"/>
      <w:lvlText w:val="o"/>
      <w:lvlJc w:val="left"/>
      <w:pPr>
        <w:ind w:left="5760" w:hanging="360"/>
      </w:pPr>
      <w:rPr>
        <w:rFonts w:ascii="Courier New" w:hAnsi="Courier New" w:hint="default"/>
      </w:rPr>
    </w:lvl>
    <w:lvl w:ilvl="8" w:tplc="5A2C9D6C">
      <w:start w:val="1"/>
      <w:numFmt w:val="bullet"/>
      <w:lvlText w:val=""/>
      <w:lvlJc w:val="left"/>
      <w:pPr>
        <w:ind w:left="6480" w:hanging="360"/>
      </w:pPr>
      <w:rPr>
        <w:rFonts w:ascii="Wingdings" w:hAnsi="Wingdings" w:hint="default"/>
      </w:rPr>
    </w:lvl>
  </w:abstractNum>
  <w:abstractNum w:abstractNumId="5" w15:restartNumberingAfterBreak="0">
    <w:nsid w:val="166B4CF2"/>
    <w:multiLevelType w:val="hybridMultilevel"/>
    <w:tmpl w:val="08D8A706"/>
    <w:lvl w:ilvl="0" w:tplc="096A8D44">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74523"/>
    <w:multiLevelType w:val="multilevel"/>
    <w:tmpl w:val="3E18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A49FF"/>
    <w:multiLevelType w:val="multilevel"/>
    <w:tmpl w:val="23BC6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3C6324"/>
    <w:multiLevelType w:val="hybridMultilevel"/>
    <w:tmpl w:val="66460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615B9"/>
    <w:multiLevelType w:val="multilevel"/>
    <w:tmpl w:val="263A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5C5E38"/>
    <w:multiLevelType w:val="hybridMultilevel"/>
    <w:tmpl w:val="C38EBC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669F26"/>
    <w:multiLevelType w:val="hybridMultilevel"/>
    <w:tmpl w:val="FFFFFFFF"/>
    <w:lvl w:ilvl="0" w:tplc="23BA0F42">
      <w:start w:val="1"/>
      <w:numFmt w:val="bullet"/>
      <w:lvlText w:val="-"/>
      <w:lvlJc w:val="left"/>
      <w:pPr>
        <w:ind w:left="720" w:hanging="360"/>
      </w:pPr>
      <w:rPr>
        <w:rFonts w:ascii="Arial" w:hAnsi="Arial" w:hint="default"/>
      </w:rPr>
    </w:lvl>
    <w:lvl w:ilvl="1" w:tplc="9DF43566">
      <w:start w:val="1"/>
      <w:numFmt w:val="bullet"/>
      <w:lvlText w:val="o"/>
      <w:lvlJc w:val="left"/>
      <w:pPr>
        <w:ind w:left="1440" w:hanging="360"/>
      </w:pPr>
      <w:rPr>
        <w:rFonts w:ascii="Courier New" w:hAnsi="Courier New" w:hint="default"/>
      </w:rPr>
    </w:lvl>
    <w:lvl w:ilvl="2" w:tplc="EA6E27F6">
      <w:start w:val="1"/>
      <w:numFmt w:val="bullet"/>
      <w:lvlText w:val=""/>
      <w:lvlJc w:val="left"/>
      <w:pPr>
        <w:ind w:left="2160" w:hanging="360"/>
      </w:pPr>
      <w:rPr>
        <w:rFonts w:ascii="Wingdings" w:hAnsi="Wingdings" w:hint="default"/>
      </w:rPr>
    </w:lvl>
    <w:lvl w:ilvl="3" w:tplc="7988F770">
      <w:start w:val="1"/>
      <w:numFmt w:val="bullet"/>
      <w:lvlText w:val=""/>
      <w:lvlJc w:val="left"/>
      <w:pPr>
        <w:ind w:left="2880" w:hanging="360"/>
      </w:pPr>
      <w:rPr>
        <w:rFonts w:ascii="Symbol" w:hAnsi="Symbol" w:hint="default"/>
      </w:rPr>
    </w:lvl>
    <w:lvl w:ilvl="4" w:tplc="27B49932">
      <w:start w:val="1"/>
      <w:numFmt w:val="bullet"/>
      <w:lvlText w:val="o"/>
      <w:lvlJc w:val="left"/>
      <w:pPr>
        <w:ind w:left="3600" w:hanging="360"/>
      </w:pPr>
      <w:rPr>
        <w:rFonts w:ascii="Courier New" w:hAnsi="Courier New" w:hint="default"/>
      </w:rPr>
    </w:lvl>
    <w:lvl w:ilvl="5" w:tplc="7D021AA8">
      <w:start w:val="1"/>
      <w:numFmt w:val="bullet"/>
      <w:lvlText w:val=""/>
      <w:lvlJc w:val="left"/>
      <w:pPr>
        <w:ind w:left="4320" w:hanging="360"/>
      </w:pPr>
      <w:rPr>
        <w:rFonts w:ascii="Wingdings" w:hAnsi="Wingdings" w:hint="default"/>
      </w:rPr>
    </w:lvl>
    <w:lvl w:ilvl="6" w:tplc="1B84D99A">
      <w:start w:val="1"/>
      <w:numFmt w:val="bullet"/>
      <w:lvlText w:val=""/>
      <w:lvlJc w:val="left"/>
      <w:pPr>
        <w:ind w:left="5040" w:hanging="360"/>
      </w:pPr>
      <w:rPr>
        <w:rFonts w:ascii="Symbol" w:hAnsi="Symbol" w:hint="default"/>
      </w:rPr>
    </w:lvl>
    <w:lvl w:ilvl="7" w:tplc="7C2892B2">
      <w:start w:val="1"/>
      <w:numFmt w:val="bullet"/>
      <w:lvlText w:val="o"/>
      <w:lvlJc w:val="left"/>
      <w:pPr>
        <w:ind w:left="5760" w:hanging="360"/>
      </w:pPr>
      <w:rPr>
        <w:rFonts w:ascii="Courier New" w:hAnsi="Courier New" w:hint="default"/>
      </w:rPr>
    </w:lvl>
    <w:lvl w:ilvl="8" w:tplc="5E50B580">
      <w:start w:val="1"/>
      <w:numFmt w:val="bullet"/>
      <w:lvlText w:val=""/>
      <w:lvlJc w:val="left"/>
      <w:pPr>
        <w:ind w:left="6480" w:hanging="360"/>
      </w:pPr>
      <w:rPr>
        <w:rFonts w:ascii="Wingdings" w:hAnsi="Wingdings" w:hint="default"/>
      </w:rPr>
    </w:lvl>
  </w:abstractNum>
  <w:abstractNum w:abstractNumId="12" w15:restartNumberingAfterBreak="0">
    <w:nsid w:val="2EF5798C"/>
    <w:multiLevelType w:val="hybridMultilevel"/>
    <w:tmpl w:val="FFFFFFFF"/>
    <w:lvl w:ilvl="0" w:tplc="72B8576C">
      <w:start w:val="1"/>
      <w:numFmt w:val="bullet"/>
      <w:lvlText w:val="-"/>
      <w:lvlJc w:val="left"/>
      <w:pPr>
        <w:ind w:left="720" w:hanging="360"/>
      </w:pPr>
      <w:rPr>
        <w:rFonts w:ascii="Arial" w:hAnsi="Arial" w:hint="default"/>
      </w:rPr>
    </w:lvl>
    <w:lvl w:ilvl="1" w:tplc="55D676E2">
      <w:start w:val="1"/>
      <w:numFmt w:val="bullet"/>
      <w:lvlText w:val="o"/>
      <w:lvlJc w:val="left"/>
      <w:pPr>
        <w:ind w:left="1440" w:hanging="360"/>
      </w:pPr>
      <w:rPr>
        <w:rFonts w:ascii="Courier New" w:hAnsi="Courier New" w:hint="default"/>
      </w:rPr>
    </w:lvl>
    <w:lvl w:ilvl="2" w:tplc="4D76F842">
      <w:start w:val="1"/>
      <w:numFmt w:val="bullet"/>
      <w:lvlText w:val=""/>
      <w:lvlJc w:val="left"/>
      <w:pPr>
        <w:ind w:left="2160" w:hanging="360"/>
      </w:pPr>
      <w:rPr>
        <w:rFonts w:ascii="Wingdings" w:hAnsi="Wingdings" w:hint="default"/>
      </w:rPr>
    </w:lvl>
    <w:lvl w:ilvl="3" w:tplc="82406DC4">
      <w:start w:val="1"/>
      <w:numFmt w:val="bullet"/>
      <w:lvlText w:val=""/>
      <w:lvlJc w:val="left"/>
      <w:pPr>
        <w:ind w:left="2880" w:hanging="360"/>
      </w:pPr>
      <w:rPr>
        <w:rFonts w:ascii="Symbol" w:hAnsi="Symbol" w:hint="default"/>
      </w:rPr>
    </w:lvl>
    <w:lvl w:ilvl="4" w:tplc="8FC63C6A">
      <w:start w:val="1"/>
      <w:numFmt w:val="bullet"/>
      <w:lvlText w:val="o"/>
      <w:lvlJc w:val="left"/>
      <w:pPr>
        <w:ind w:left="3600" w:hanging="360"/>
      </w:pPr>
      <w:rPr>
        <w:rFonts w:ascii="Courier New" w:hAnsi="Courier New" w:hint="default"/>
      </w:rPr>
    </w:lvl>
    <w:lvl w:ilvl="5" w:tplc="02E2FB22">
      <w:start w:val="1"/>
      <w:numFmt w:val="bullet"/>
      <w:lvlText w:val=""/>
      <w:lvlJc w:val="left"/>
      <w:pPr>
        <w:ind w:left="4320" w:hanging="360"/>
      </w:pPr>
      <w:rPr>
        <w:rFonts w:ascii="Wingdings" w:hAnsi="Wingdings" w:hint="default"/>
      </w:rPr>
    </w:lvl>
    <w:lvl w:ilvl="6" w:tplc="0356758A">
      <w:start w:val="1"/>
      <w:numFmt w:val="bullet"/>
      <w:lvlText w:val=""/>
      <w:lvlJc w:val="left"/>
      <w:pPr>
        <w:ind w:left="5040" w:hanging="360"/>
      </w:pPr>
      <w:rPr>
        <w:rFonts w:ascii="Symbol" w:hAnsi="Symbol" w:hint="default"/>
      </w:rPr>
    </w:lvl>
    <w:lvl w:ilvl="7" w:tplc="A606B822">
      <w:start w:val="1"/>
      <w:numFmt w:val="bullet"/>
      <w:lvlText w:val="o"/>
      <w:lvlJc w:val="left"/>
      <w:pPr>
        <w:ind w:left="5760" w:hanging="360"/>
      </w:pPr>
      <w:rPr>
        <w:rFonts w:ascii="Courier New" w:hAnsi="Courier New" w:hint="default"/>
      </w:rPr>
    </w:lvl>
    <w:lvl w:ilvl="8" w:tplc="6B482402">
      <w:start w:val="1"/>
      <w:numFmt w:val="bullet"/>
      <w:lvlText w:val=""/>
      <w:lvlJc w:val="left"/>
      <w:pPr>
        <w:ind w:left="6480" w:hanging="360"/>
      </w:pPr>
      <w:rPr>
        <w:rFonts w:ascii="Wingdings" w:hAnsi="Wingdings" w:hint="default"/>
      </w:rPr>
    </w:lvl>
  </w:abstractNum>
  <w:abstractNum w:abstractNumId="13" w15:restartNumberingAfterBreak="0">
    <w:nsid w:val="31250AF2"/>
    <w:multiLevelType w:val="hybridMultilevel"/>
    <w:tmpl w:val="32927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5797C"/>
    <w:multiLevelType w:val="multilevel"/>
    <w:tmpl w:val="DE1A24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127E74"/>
    <w:multiLevelType w:val="multilevel"/>
    <w:tmpl w:val="0A7CBC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C70DE6"/>
    <w:multiLevelType w:val="multilevel"/>
    <w:tmpl w:val="EA963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653818"/>
    <w:multiLevelType w:val="multilevel"/>
    <w:tmpl w:val="7E4E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D564DA"/>
    <w:multiLevelType w:val="hybridMultilevel"/>
    <w:tmpl w:val="1C0C578A"/>
    <w:lvl w:ilvl="0" w:tplc="3AEE2DA2">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9BE44F6"/>
    <w:multiLevelType w:val="multilevel"/>
    <w:tmpl w:val="BF908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B87A8A"/>
    <w:multiLevelType w:val="multilevel"/>
    <w:tmpl w:val="98E884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DB535D"/>
    <w:multiLevelType w:val="hybridMultilevel"/>
    <w:tmpl w:val="FFFFFFFF"/>
    <w:lvl w:ilvl="0" w:tplc="897E4938">
      <w:start w:val="1"/>
      <w:numFmt w:val="bullet"/>
      <w:lvlText w:val=""/>
      <w:lvlJc w:val="left"/>
      <w:pPr>
        <w:ind w:left="720" w:hanging="360"/>
      </w:pPr>
      <w:rPr>
        <w:rFonts w:ascii="Symbol" w:hAnsi="Symbol" w:hint="default"/>
      </w:rPr>
    </w:lvl>
    <w:lvl w:ilvl="1" w:tplc="727C8326">
      <w:start w:val="1"/>
      <w:numFmt w:val="bullet"/>
      <w:lvlText w:val="o"/>
      <w:lvlJc w:val="left"/>
      <w:pPr>
        <w:ind w:left="1440" w:hanging="360"/>
      </w:pPr>
      <w:rPr>
        <w:rFonts w:ascii="Courier New" w:hAnsi="Courier New" w:hint="default"/>
      </w:rPr>
    </w:lvl>
    <w:lvl w:ilvl="2" w:tplc="B8BEDB78">
      <w:start w:val="1"/>
      <w:numFmt w:val="bullet"/>
      <w:lvlText w:val=""/>
      <w:lvlJc w:val="left"/>
      <w:pPr>
        <w:ind w:left="2160" w:hanging="360"/>
      </w:pPr>
      <w:rPr>
        <w:rFonts w:ascii="Wingdings" w:hAnsi="Wingdings" w:hint="default"/>
      </w:rPr>
    </w:lvl>
    <w:lvl w:ilvl="3" w:tplc="2DCC2FA4">
      <w:start w:val="1"/>
      <w:numFmt w:val="bullet"/>
      <w:lvlText w:val=""/>
      <w:lvlJc w:val="left"/>
      <w:pPr>
        <w:ind w:left="2880" w:hanging="360"/>
      </w:pPr>
      <w:rPr>
        <w:rFonts w:ascii="Symbol" w:hAnsi="Symbol" w:hint="default"/>
      </w:rPr>
    </w:lvl>
    <w:lvl w:ilvl="4" w:tplc="17489EDA">
      <w:start w:val="1"/>
      <w:numFmt w:val="bullet"/>
      <w:lvlText w:val="o"/>
      <w:lvlJc w:val="left"/>
      <w:pPr>
        <w:ind w:left="3600" w:hanging="360"/>
      </w:pPr>
      <w:rPr>
        <w:rFonts w:ascii="Courier New" w:hAnsi="Courier New" w:hint="default"/>
      </w:rPr>
    </w:lvl>
    <w:lvl w:ilvl="5" w:tplc="BC64C4CA">
      <w:start w:val="1"/>
      <w:numFmt w:val="bullet"/>
      <w:lvlText w:val=""/>
      <w:lvlJc w:val="left"/>
      <w:pPr>
        <w:ind w:left="4320" w:hanging="360"/>
      </w:pPr>
      <w:rPr>
        <w:rFonts w:ascii="Wingdings" w:hAnsi="Wingdings" w:hint="default"/>
      </w:rPr>
    </w:lvl>
    <w:lvl w:ilvl="6" w:tplc="30EC218C">
      <w:start w:val="1"/>
      <w:numFmt w:val="bullet"/>
      <w:lvlText w:val=""/>
      <w:lvlJc w:val="left"/>
      <w:pPr>
        <w:ind w:left="5040" w:hanging="360"/>
      </w:pPr>
      <w:rPr>
        <w:rFonts w:ascii="Symbol" w:hAnsi="Symbol" w:hint="default"/>
      </w:rPr>
    </w:lvl>
    <w:lvl w:ilvl="7" w:tplc="435EE9E8">
      <w:start w:val="1"/>
      <w:numFmt w:val="bullet"/>
      <w:lvlText w:val="o"/>
      <w:lvlJc w:val="left"/>
      <w:pPr>
        <w:ind w:left="5760" w:hanging="360"/>
      </w:pPr>
      <w:rPr>
        <w:rFonts w:ascii="Courier New" w:hAnsi="Courier New" w:hint="default"/>
      </w:rPr>
    </w:lvl>
    <w:lvl w:ilvl="8" w:tplc="F93AB778">
      <w:start w:val="1"/>
      <w:numFmt w:val="bullet"/>
      <w:lvlText w:val=""/>
      <w:lvlJc w:val="left"/>
      <w:pPr>
        <w:ind w:left="6480" w:hanging="360"/>
      </w:pPr>
      <w:rPr>
        <w:rFonts w:ascii="Wingdings" w:hAnsi="Wingdings" w:hint="default"/>
      </w:rPr>
    </w:lvl>
  </w:abstractNum>
  <w:abstractNum w:abstractNumId="22" w15:restartNumberingAfterBreak="0">
    <w:nsid w:val="5C237B2D"/>
    <w:multiLevelType w:val="multilevel"/>
    <w:tmpl w:val="89F29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C683B"/>
    <w:multiLevelType w:val="multilevel"/>
    <w:tmpl w:val="F1E6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226D3A"/>
    <w:multiLevelType w:val="multilevel"/>
    <w:tmpl w:val="29E0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775B23"/>
    <w:multiLevelType w:val="multilevel"/>
    <w:tmpl w:val="2A70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015A81"/>
    <w:multiLevelType w:val="multilevel"/>
    <w:tmpl w:val="BAE67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E76CC8"/>
    <w:multiLevelType w:val="multilevel"/>
    <w:tmpl w:val="014A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9C0BC8"/>
    <w:multiLevelType w:val="multilevel"/>
    <w:tmpl w:val="6798B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7710D8"/>
    <w:multiLevelType w:val="multilevel"/>
    <w:tmpl w:val="DA9A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B24E5B"/>
    <w:multiLevelType w:val="multilevel"/>
    <w:tmpl w:val="63AC4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5E7B21"/>
    <w:multiLevelType w:val="hybridMultilevel"/>
    <w:tmpl w:val="0008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A9626A"/>
    <w:multiLevelType w:val="multilevel"/>
    <w:tmpl w:val="6FE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4023CE"/>
    <w:multiLevelType w:val="multilevel"/>
    <w:tmpl w:val="A98E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052F75"/>
    <w:multiLevelType w:val="multilevel"/>
    <w:tmpl w:val="8F16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2973340">
    <w:abstractNumId w:val="29"/>
  </w:num>
  <w:num w:numId="2" w16cid:durableId="1033503388">
    <w:abstractNumId w:val="2"/>
  </w:num>
  <w:num w:numId="3" w16cid:durableId="1061100478">
    <w:abstractNumId w:val="34"/>
  </w:num>
  <w:num w:numId="4" w16cid:durableId="1094856809">
    <w:abstractNumId w:val="24"/>
  </w:num>
  <w:num w:numId="5" w16cid:durableId="1155992156">
    <w:abstractNumId w:val="12"/>
  </w:num>
  <w:num w:numId="6" w16cid:durableId="1205019059">
    <w:abstractNumId w:val="23"/>
  </w:num>
  <w:num w:numId="7" w16cid:durableId="127557164">
    <w:abstractNumId w:val="4"/>
  </w:num>
  <w:num w:numId="8" w16cid:durableId="1388645891">
    <w:abstractNumId w:val="9"/>
  </w:num>
  <w:num w:numId="9" w16cid:durableId="1447307206">
    <w:abstractNumId w:val="5"/>
  </w:num>
  <w:num w:numId="10" w16cid:durableId="1484270202">
    <w:abstractNumId w:val="30"/>
  </w:num>
  <w:num w:numId="11" w16cid:durableId="1527717857">
    <w:abstractNumId w:val="26"/>
  </w:num>
  <w:num w:numId="12" w16cid:durableId="1534538738">
    <w:abstractNumId w:val="27"/>
  </w:num>
  <w:num w:numId="13" w16cid:durableId="1559122686">
    <w:abstractNumId w:val="18"/>
  </w:num>
  <w:num w:numId="14" w16cid:durableId="1599677625">
    <w:abstractNumId w:val="19"/>
  </w:num>
  <w:num w:numId="15" w16cid:durableId="1691950293">
    <w:abstractNumId w:val="7"/>
  </w:num>
  <w:num w:numId="16" w16cid:durableId="2104522962">
    <w:abstractNumId w:val="3"/>
  </w:num>
  <w:num w:numId="17" w16cid:durableId="267006112">
    <w:abstractNumId w:val="15"/>
  </w:num>
  <w:num w:numId="18" w16cid:durableId="269048876">
    <w:abstractNumId w:val="25"/>
  </w:num>
  <w:num w:numId="19" w16cid:durableId="271402387">
    <w:abstractNumId w:val="28"/>
  </w:num>
  <w:num w:numId="20" w16cid:durableId="362632943">
    <w:abstractNumId w:val="10"/>
  </w:num>
  <w:num w:numId="21" w16cid:durableId="376202977">
    <w:abstractNumId w:val="8"/>
  </w:num>
  <w:num w:numId="22" w16cid:durableId="43146384">
    <w:abstractNumId w:val="22"/>
  </w:num>
  <w:num w:numId="23" w16cid:durableId="512033085">
    <w:abstractNumId w:val="16"/>
  </w:num>
  <w:num w:numId="24" w16cid:durableId="521668498">
    <w:abstractNumId w:val="11"/>
  </w:num>
  <w:num w:numId="25" w16cid:durableId="529421093">
    <w:abstractNumId w:val="14"/>
  </w:num>
  <w:num w:numId="26" w16cid:durableId="540048908">
    <w:abstractNumId w:val="31"/>
  </w:num>
  <w:num w:numId="27" w16cid:durableId="54091968">
    <w:abstractNumId w:val="33"/>
  </w:num>
  <w:num w:numId="28" w16cid:durableId="58525066">
    <w:abstractNumId w:val="0"/>
  </w:num>
  <w:num w:numId="29" w16cid:durableId="652297540">
    <w:abstractNumId w:val="21"/>
  </w:num>
  <w:num w:numId="30" w16cid:durableId="693072122">
    <w:abstractNumId w:val="6"/>
  </w:num>
  <w:num w:numId="31" w16cid:durableId="807012239">
    <w:abstractNumId w:val="20"/>
  </w:num>
  <w:num w:numId="32" w16cid:durableId="827400311">
    <w:abstractNumId w:val="13"/>
  </w:num>
  <w:num w:numId="33" w16cid:durableId="88046278">
    <w:abstractNumId w:val="32"/>
  </w:num>
  <w:num w:numId="34" w16cid:durableId="900410283">
    <w:abstractNumId w:val="17"/>
  </w:num>
  <w:num w:numId="35" w16cid:durableId="92284560">
    <w:abstractNumId w:val="1"/>
  </w:num>
  <w:num w:numId="36" w16cid:durableId="930239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F2"/>
    <w:rsid w:val="00006780"/>
    <w:rsid w:val="00010253"/>
    <w:rsid w:val="00014672"/>
    <w:rsid w:val="00014BA4"/>
    <w:rsid w:val="00024684"/>
    <w:rsid w:val="00027C1C"/>
    <w:rsid w:val="00027F01"/>
    <w:rsid w:val="000461BE"/>
    <w:rsid w:val="0006472A"/>
    <w:rsid w:val="00066198"/>
    <w:rsid w:val="00070B4A"/>
    <w:rsid w:val="0007334B"/>
    <w:rsid w:val="000739BA"/>
    <w:rsid w:val="000745FB"/>
    <w:rsid w:val="0008124F"/>
    <w:rsid w:val="000827B0"/>
    <w:rsid w:val="000859BC"/>
    <w:rsid w:val="0008750C"/>
    <w:rsid w:val="00091892"/>
    <w:rsid w:val="000944D7"/>
    <w:rsid w:val="000B0E29"/>
    <w:rsid w:val="000C5511"/>
    <w:rsid w:val="000E239A"/>
    <w:rsid w:val="000F0FE4"/>
    <w:rsid w:val="001072C5"/>
    <w:rsid w:val="00114F90"/>
    <w:rsid w:val="001415BF"/>
    <w:rsid w:val="00142793"/>
    <w:rsid w:val="00147EFE"/>
    <w:rsid w:val="00154FF5"/>
    <w:rsid w:val="001713C8"/>
    <w:rsid w:val="00183B9E"/>
    <w:rsid w:val="00185718"/>
    <w:rsid w:val="00197172"/>
    <w:rsid w:val="001A586F"/>
    <w:rsid w:val="001A73A5"/>
    <w:rsid w:val="001B3014"/>
    <w:rsid w:val="001B6BCD"/>
    <w:rsid w:val="001B7CE3"/>
    <w:rsid w:val="001C0802"/>
    <w:rsid w:val="001C6834"/>
    <w:rsid w:val="001D0DC6"/>
    <w:rsid w:val="001E380B"/>
    <w:rsid w:val="001E49AE"/>
    <w:rsid w:val="001E7BAB"/>
    <w:rsid w:val="001F1D45"/>
    <w:rsid w:val="002007F0"/>
    <w:rsid w:val="002057CA"/>
    <w:rsid w:val="00212D68"/>
    <w:rsid w:val="00214A4A"/>
    <w:rsid w:val="00215D39"/>
    <w:rsid w:val="00221B02"/>
    <w:rsid w:val="00244102"/>
    <w:rsid w:val="00246E1F"/>
    <w:rsid w:val="002617EF"/>
    <w:rsid w:val="0027742E"/>
    <w:rsid w:val="00282F6F"/>
    <w:rsid w:val="002839CB"/>
    <w:rsid w:val="002A02BD"/>
    <w:rsid w:val="002A1209"/>
    <w:rsid w:val="002A1989"/>
    <w:rsid w:val="002A4BEA"/>
    <w:rsid w:val="002B12A4"/>
    <w:rsid w:val="002B21DF"/>
    <w:rsid w:val="002C6B20"/>
    <w:rsid w:val="002E4878"/>
    <w:rsid w:val="002F74EF"/>
    <w:rsid w:val="00300715"/>
    <w:rsid w:val="0030726A"/>
    <w:rsid w:val="00317262"/>
    <w:rsid w:val="0032751A"/>
    <w:rsid w:val="003314B0"/>
    <w:rsid w:val="003330D9"/>
    <w:rsid w:val="00333E71"/>
    <w:rsid w:val="00336839"/>
    <w:rsid w:val="00337F69"/>
    <w:rsid w:val="00353BCA"/>
    <w:rsid w:val="00354706"/>
    <w:rsid w:val="003629C4"/>
    <w:rsid w:val="003717D2"/>
    <w:rsid w:val="00372E56"/>
    <w:rsid w:val="003731D5"/>
    <w:rsid w:val="00374C7E"/>
    <w:rsid w:val="00375E89"/>
    <w:rsid w:val="00390BC5"/>
    <w:rsid w:val="003924FE"/>
    <w:rsid w:val="00392D26"/>
    <w:rsid w:val="003A2D94"/>
    <w:rsid w:val="003B4B94"/>
    <w:rsid w:val="003B7CD2"/>
    <w:rsid w:val="003C1E00"/>
    <w:rsid w:val="003E1C6A"/>
    <w:rsid w:val="003E6A4B"/>
    <w:rsid w:val="003E741F"/>
    <w:rsid w:val="0040414B"/>
    <w:rsid w:val="00407530"/>
    <w:rsid w:val="004106B1"/>
    <w:rsid w:val="00413B12"/>
    <w:rsid w:val="004145B9"/>
    <w:rsid w:val="00421DBC"/>
    <w:rsid w:val="00422090"/>
    <w:rsid w:val="00424F12"/>
    <w:rsid w:val="004254D5"/>
    <w:rsid w:val="00426C28"/>
    <w:rsid w:val="00434903"/>
    <w:rsid w:val="004378DA"/>
    <w:rsid w:val="004400DE"/>
    <w:rsid w:val="00443143"/>
    <w:rsid w:val="00445BA6"/>
    <w:rsid w:val="004479EE"/>
    <w:rsid w:val="00447FC1"/>
    <w:rsid w:val="0045469F"/>
    <w:rsid w:val="0046013F"/>
    <w:rsid w:val="00461AD5"/>
    <w:rsid w:val="00487596"/>
    <w:rsid w:val="00487F41"/>
    <w:rsid w:val="00492D47"/>
    <w:rsid w:val="004977C7"/>
    <w:rsid w:val="004A0F85"/>
    <w:rsid w:val="004A3FB4"/>
    <w:rsid w:val="004A68EB"/>
    <w:rsid w:val="004C28AC"/>
    <w:rsid w:val="004D0055"/>
    <w:rsid w:val="004D57CA"/>
    <w:rsid w:val="004D71C8"/>
    <w:rsid w:val="005028B0"/>
    <w:rsid w:val="00527E7E"/>
    <w:rsid w:val="00534B29"/>
    <w:rsid w:val="00543D56"/>
    <w:rsid w:val="00543DC0"/>
    <w:rsid w:val="00550459"/>
    <w:rsid w:val="005512E9"/>
    <w:rsid w:val="0055320A"/>
    <w:rsid w:val="00555536"/>
    <w:rsid w:val="00557FEA"/>
    <w:rsid w:val="005655A3"/>
    <w:rsid w:val="00572EC1"/>
    <w:rsid w:val="00573AD7"/>
    <w:rsid w:val="005749D2"/>
    <w:rsid w:val="0058186A"/>
    <w:rsid w:val="00586604"/>
    <w:rsid w:val="005947A1"/>
    <w:rsid w:val="005A7E21"/>
    <w:rsid w:val="005B1D96"/>
    <w:rsid w:val="005B32E9"/>
    <w:rsid w:val="005B394A"/>
    <w:rsid w:val="005B5B38"/>
    <w:rsid w:val="005B7F70"/>
    <w:rsid w:val="005D35A7"/>
    <w:rsid w:val="005D6CC8"/>
    <w:rsid w:val="005D6F00"/>
    <w:rsid w:val="005D71A6"/>
    <w:rsid w:val="005D789C"/>
    <w:rsid w:val="005F1C5B"/>
    <w:rsid w:val="005F496B"/>
    <w:rsid w:val="005F4C48"/>
    <w:rsid w:val="00600C86"/>
    <w:rsid w:val="006024C8"/>
    <w:rsid w:val="00606501"/>
    <w:rsid w:val="00607854"/>
    <w:rsid w:val="00610DDF"/>
    <w:rsid w:val="00610FDB"/>
    <w:rsid w:val="00612D81"/>
    <w:rsid w:val="00624CE8"/>
    <w:rsid w:val="00643117"/>
    <w:rsid w:val="00645523"/>
    <w:rsid w:val="006468B4"/>
    <w:rsid w:val="00664940"/>
    <w:rsid w:val="0068228F"/>
    <w:rsid w:val="006879EE"/>
    <w:rsid w:val="00695938"/>
    <w:rsid w:val="006B0C9D"/>
    <w:rsid w:val="006B510B"/>
    <w:rsid w:val="006E1C0B"/>
    <w:rsid w:val="006E680F"/>
    <w:rsid w:val="00703D8B"/>
    <w:rsid w:val="007068DF"/>
    <w:rsid w:val="0072B210"/>
    <w:rsid w:val="0073373F"/>
    <w:rsid w:val="00734D26"/>
    <w:rsid w:val="00741179"/>
    <w:rsid w:val="007647AE"/>
    <w:rsid w:val="00766C53"/>
    <w:rsid w:val="00770AF2"/>
    <w:rsid w:val="00776397"/>
    <w:rsid w:val="007911E6"/>
    <w:rsid w:val="007A10F4"/>
    <w:rsid w:val="007A5682"/>
    <w:rsid w:val="007A6C6C"/>
    <w:rsid w:val="007B4199"/>
    <w:rsid w:val="007C1D77"/>
    <w:rsid w:val="007C5678"/>
    <w:rsid w:val="007D0E48"/>
    <w:rsid w:val="007D2B3D"/>
    <w:rsid w:val="007D359A"/>
    <w:rsid w:val="007D3D92"/>
    <w:rsid w:val="007E04D3"/>
    <w:rsid w:val="007E3334"/>
    <w:rsid w:val="007E39C6"/>
    <w:rsid w:val="007F7996"/>
    <w:rsid w:val="007F7B41"/>
    <w:rsid w:val="008111DF"/>
    <w:rsid w:val="008153A7"/>
    <w:rsid w:val="00816C29"/>
    <w:rsid w:val="00827258"/>
    <w:rsid w:val="008302FD"/>
    <w:rsid w:val="008306C5"/>
    <w:rsid w:val="00836CED"/>
    <w:rsid w:val="0084734E"/>
    <w:rsid w:val="0085112C"/>
    <w:rsid w:val="00852BF0"/>
    <w:rsid w:val="008629BF"/>
    <w:rsid w:val="00870874"/>
    <w:rsid w:val="00890632"/>
    <w:rsid w:val="00890C42"/>
    <w:rsid w:val="008A3A50"/>
    <w:rsid w:val="008C5CFF"/>
    <w:rsid w:val="008C66AA"/>
    <w:rsid w:val="008D3661"/>
    <w:rsid w:val="00900F89"/>
    <w:rsid w:val="00910AA4"/>
    <w:rsid w:val="00910E2D"/>
    <w:rsid w:val="0091114C"/>
    <w:rsid w:val="00913DF4"/>
    <w:rsid w:val="0091533C"/>
    <w:rsid w:val="00925684"/>
    <w:rsid w:val="009258B7"/>
    <w:rsid w:val="00930DA7"/>
    <w:rsid w:val="00937E95"/>
    <w:rsid w:val="00940A8B"/>
    <w:rsid w:val="00951974"/>
    <w:rsid w:val="0095471F"/>
    <w:rsid w:val="0096678C"/>
    <w:rsid w:val="00976557"/>
    <w:rsid w:val="0098494C"/>
    <w:rsid w:val="00990083"/>
    <w:rsid w:val="00991A13"/>
    <w:rsid w:val="00994035"/>
    <w:rsid w:val="009B5E3D"/>
    <w:rsid w:val="009C3010"/>
    <w:rsid w:val="009C48B4"/>
    <w:rsid w:val="009D139A"/>
    <w:rsid w:val="009E1AEC"/>
    <w:rsid w:val="009F6AEC"/>
    <w:rsid w:val="00A060EB"/>
    <w:rsid w:val="00A07644"/>
    <w:rsid w:val="00A222A1"/>
    <w:rsid w:val="00A24116"/>
    <w:rsid w:val="00A2553D"/>
    <w:rsid w:val="00A33A3D"/>
    <w:rsid w:val="00A443BF"/>
    <w:rsid w:val="00A45F49"/>
    <w:rsid w:val="00A54F08"/>
    <w:rsid w:val="00A55B4E"/>
    <w:rsid w:val="00A626EE"/>
    <w:rsid w:val="00A65A5E"/>
    <w:rsid w:val="00A6623C"/>
    <w:rsid w:val="00A743F9"/>
    <w:rsid w:val="00A75D20"/>
    <w:rsid w:val="00A90456"/>
    <w:rsid w:val="00A90F41"/>
    <w:rsid w:val="00AA3925"/>
    <w:rsid w:val="00AA43E1"/>
    <w:rsid w:val="00AB03FD"/>
    <w:rsid w:val="00AB22F8"/>
    <w:rsid w:val="00AB43D3"/>
    <w:rsid w:val="00AB5974"/>
    <w:rsid w:val="00AC4DCC"/>
    <w:rsid w:val="00AC7C13"/>
    <w:rsid w:val="00AD1486"/>
    <w:rsid w:val="00AD1980"/>
    <w:rsid w:val="00AE37BF"/>
    <w:rsid w:val="00AF6512"/>
    <w:rsid w:val="00B065FD"/>
    <w:rsid w:val="00B155A2"/>
    <w:rsid w:val="00B267E2"/>
    <w:rsid w:val="00B418B6"/>
    <w:rsid w:val="00B42419"/>
    <w:rsid w:val="00B470FA"/>
    <w:rsid w:val="00B51968"/>
    <w:rsid w:val="00B51BB4"/>
    <w:rsid w:val="00B601D1"/>
    <w:rsid w:val="00B67DAD"/>
    <w:rsid w:val="00B7501E"/>
    <w:rsid w:val="00B8122E"/>
    <w:rsid w:val="00B81384"/>
    <w:rsid w:val="00B907D9"/>
    <w:rsid w:val="00B93E5F"/>
    <w:rsid w:val="00BA116D"/>
    <w:rsid w:val="00BB3ED0"/>
    <w:rsid w:val="00BC2A72"/>
    <w:rsid w:val="00BC748B"/>
    <w:rsid w:val="00BE0411"/>
    <w:rsid w:val="00BE3549"/>
    <w:rsid w:val="00BF18D1"/>
    <w:rsid w:val="00BF45A5"/>
    <w:rsid w:val="00C04ACD"/>
    <w:rsid w:val="00C05938"/>
    <w:rsid w:val="00C41148"/>
    <w:rsid w:val="00C47F6B"/>
    <w:rsid w:val="00C50F0C"/>
    <w:rsid w:val="00C536CC"/>
    <w:rsid w:val="00C549B6"/>
    <w:rsid w:val="00C66432"/>
    <w:rsid w:val="00C70F07"/>
    <w:rsid w:val="00C73BA0"/>
    <w:rsid w:val="00C74854"/>
    <w:rsid w:val="00C76AC3"/>
    <w:rsid w:val="00C859AE"/>
    <w:rsid w:val="00C86548"/>
    <w:rsid w:val="00C949EB"/>
    <w:rsid w:val="00C94F18"/>
    <w:rsid w:val="00CA05A8"/>
    <w:rsid w:val="00CA512D"/>
    <w:rsid w:val="00CC04F6"/>
    <w:rsid w:val="00CD29CC"/>
    <w:rsid w:val="00CD2FA6"/>
    <w:rsid w:val="00CE015F"/>
    <w:rsid w:val="00CE08A6"/>
    <w:rsid w:val="00CE30DD"/>
    <w:rsid w:val="00CE3FDD"/>
    <w:rsid w:val="00D15179"/>
    <w:rsid w:val="00D15621"/>
    <w:rsid w:val="00D16EA9"/>
    <w:rsid w:val="00D23C8C"/>
    <w:rsid w:val="00D243D0"/>
    <w:rsid w:val="00D52229"/>
    <w:rsid w:val="00D52631"/>
    <w:rsid w:val="00D52A98"/>
    <w:rsid w:val="00D5535C"/>
    <w:rsid w:val="00D66066"/>
    <w:rsid w:val="00D66CAF"/>
    <w:rsid w:val="00D77143"/>
    <w:rsid w:val="00D80D62"/>
    <w:rsid w:val="00D81566"/>
    <w:rsid w:val="00D902E9"/>
    <w:rsid w:val="00D91EFB"/>
    <w:rsid w:val="00D94BC6"/>
    <w:rsid w:val="00D9515C"/>
    <w:rsid w:val="00DA73F0"/>
    <w:rsid w:val="00DB3C5B"/>
    <w:rsid w:val="00DC4D0B"/>
    <w:rsid w:val="00DD55A8"/>
    <w:rsid w:val="00DD700E"/>
    <w:rsid w:val="00DE2483"/>
    <w:rsid w:val="00DF29E3"/>
    <w:rsid w:val="00DF36BE"/>
    <w:rsid w:val="00DF3CA1"/>
    <w:rsid w:val="00DF5217"/>
    <w:rsid w:val="00E03F1F"/>
    <w:rsid w:val="00E132C3"/>
    <w:rsid w:val="00E1702F"/>
    <w:rsid w:val="00E179F2"/>
    <w:rsid w:val="00E330D8"/>
    <w:rsid w:val="00E335AB"/>
    <w:rsid w:val="00E36724"/>
    <w:rsid w:val="00E41160"/>
    <w:rsid w:val="00E45C52"/>
    <w:rsid w:val="00E601F5"/>
    <w:rsid w:val="00E65908"/>
    <w:rsid w:val="00E659E9"/>
    <w:rsid w:val="00E707A4"/>
    <w:rsid w:val="00E9457E"/>
    <w:rsid w:val="00E95A29"/>
    <w:rsid w:val="00E95DD5"/>
    <w:rsid w:val="00EA7819"/>
    <w:rsid w:val="00ED02D6"/>
    <w:rsid w:val="00EE1187"/>
    <w:rsid w:val="00EE27A1"/>
    <w:rsid w:val="00EE5938"/>
    <w:rsid w:val="00EF36EF"/>
    <w:rsid w:val="00EF7D84"/>
    <w:rsid w:val="00F02B3F"/>
    <w:rsid w:val="00F16963"/>
    <w:rsid w:val="00F239A2"/>
    <w:rsid w:val="00F2753F"/>
    <w:rsid w:val="00F40BF4"/>
    <w:rsid w:val="00F45B4C"/>
    <w:rsid w:val="00F50DB4"/>
    <w:rsid w:val="00F54A7E"/>
    <w:rsid w:val="00F619F9"/>
    <w:rsid w:val="00F72FE1"/>
    <w:rsid w:val="00F808C4"/>
    <w:rsid w:val="00F86CE0"/>
    <w:rsid w:val="00F92B67"/>
    <w:rsid w:val="00F9664A"/>
    <w:rsid w:val="00FA4E36"/>
    <w:rsid w:val="00FB0FC5"/>
    <w:rsid w:val="00FB469A"/>
    <w:rsid w:val="00FB5BD8"/>
    <w:rsid w:val="00FB5F43"/>
    <w:rsid w:val="00FC0CE5"/>
    <w:rsid w:val="00FC7639"/>
    <w:rsid w:val="00FD36E4"/>
    <w:rsid w:val="00FE40BB"/>
    <w:rsid w:val="00FE5A7F"/>
    <w:rsid w:val="03F9CEC0"/>
    <w:rsid w:val="05764476"/>
    <w:rsid w:val="06E45938"/>
    <w:rsid w:val="07AE2F6E"/>
    <w:rsid w:val="08E8CF64"/>
    <w:rsid w:val="09FB857F"/>
    <w:rsid w:val="0C351073"/>
    <w:rsid w:val="0F6BCE98"/>
    <w:rsid w:val="11AA099E"/>
    <w:rsid w:val="14FF7423"/>
    <w:rsid w:val="16398D37"/>
    <w:rsid w:val="16745423"/>
    <w:rsid w:val="1A09B559"/>
    <w:rsid w:val="1A488673"/>
    <w:rsid w:val="1C8BDD3A"/>
    <w:rsid w:val="1F9C65A6"/>
    <w:rsid w:val="20AFB152"/>
    <w:rsid w:val="225446B8"/>
    <w:rsid w:val="24E8E656"/>
    <w:rsid w:val="27D6ABAE"/>
    <w:rsid w:val="2806F3EF"/>
    <w:rsid w:val="2A27ADA9"/>
    <w:rsid w:val="2AB9BBDF"/>
    <w:rsid w:val="2DDA95F6"/>
    <w:rsid w:val="2E417A69"/>
    <w:rsid w:val="2EC9AE53"/>
    <w:rsid w:val="2F0CE05B"/>
    <w:rsid w:val="35855EF5"/>
    <w:rsid w:val="38506CE8"/>
    <w:rsid w:val="3966B8D6"/>
    <w:rsid w:val="3AF15B0A"/>
    <w:rsid w:val="3C91BFF9"/>
    <w:rsid w:val="3C9A5F56"/>
    <w:rsid w:val="3D0EE7B0"/>
    <w:rsid w:val="3FAA6318"/>
    <w:rsid w:val="3FE22D4F"/>
    <w:rsid w:val="414B035A"/>
    <w:rsid w:val="42B7237A"/>
    <w:rsid w:val="45B8BA76"/>
    <w:rsid w:val="45F27AFB"/>
    <w:rsid w:val="47CF0021"/>
    <w:rsid w:val="483E9AC4"/>
    <w:rsid w:val="4AB4D720"/>
    <w:rsid w:val="4B47F249"/>
    <w:rsid w:val="4C4DADF4"/>
    <w:rsid w:val="4CA9095E"/>
    <w:rsid w:val="4F8A1E06"/>
    <w:rsid w:val="51AEAD55"/>
    <w:rsid w:val="52F453AE"/>
    <w:rsid w:val="5428FDCB"/>
    <w:rsid w:val="546CADE0"/>
    <w:rsid w:val="55C5CBB6"/>
    <w:rsid w:val="5A93F27F"/>
    <w:rsid w:val="5AC1832F"/>
    <w:rsid w:val="5B72317A"/>
    <w:rsid w:val="60B048B1"/>
    <w:rsid w:val="61FB01F6"/>
    <w:rsid w:val="67CBEF23"/>
    <w:rsid w:val="688D00A4"/>
    <w:rsid w:val="6AAA84E5"/>
    <w:rsid w:val="6AEEDB99"/>
    <w:rsid w:val="6BBF57A1"/>
    <w:rsid w:val="6D107B76"/>
    <w:rsid w:val="6DDE4B31"/>
    <w:rsid w:val="703F4B72"/>
    <w:rsid w:val="7340EA68"/>
    <w:rsid w:val="794CDA74"/>
    <w:rsid w:val="79A0149B"/>
    <w:rsid w:val="7A1D7D5B"/>
    <w:rsid w:val="7B973A68"/>
    <w:rsid w:val="7C9856F0"/>
    <w:rsid w:val="7D9AA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4155"/>
  <w15:chartTrackingRefBased/>
  <w15:docId w15:val="{770B6CF6-941C-4CF1-8356-4B984CEF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AF2"/>
    <w:pPr>
      <w:spacing w:line="259" w:lineRule="auto"/>
    </w:pPr>
    <w:rPr>
      <w:sz w:val="22"/>
      <w:szCs w:val="22"/>
    </w:rPr>
  </w:style>
  <w:style w:type="paragraph" w:styleId="Heading1">
    <w:name w:val="heading 1"/>
    <w:basedOn w:val="Normal"/>
    <w:next w:val="Normal"/>
    <w:link w:val="Heading1Char"/>
    <w:uiPriority w:val="9"/>
    <w:qFormat/>
    <w:rsid w:val="00770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AF2"/>
    <w:rPr>
      <w:rFonts w:eastAsiaTheme="majorEastAsia" w:cstheme="majorBidi"/>
      <w:color w:val="272727" w:themeColor="text1" w:themeTint="D8"/>
    </w:rPr>
  </w:style>
  <w:style w:type="paragraph" w:styleId="Title">
    <w:name w:val="Title"/>
    <w:basedOn w:val="Normal"/>
    <w:next w:val="Normal"/>
    <w:link w:val="TitleChar"/>
    <w:uiPriority w:val="10"/>
    <w:qFormat/>
    <w:rsid w:val="00770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AF2"/>
    <w:pPr>
      <w:spacing w:before="160"/>
      <w:jc w:val="center"/>
    </w:pPr>
    <w:rPr>
      <w:i/>
      <w:iCs/>
      <w:color w:val="404040" w:themeColor="text1" w:themeTint="BF"/>
    </w:rPr>
  </w:style>
  <w:style w:type="character" w:customStyle="1" w:styleId="QuoteChar">
    <w:name w:val="Quote Char"/>
    <w:basedOn w:val="DefaultParagraphFont"/>
    <w:link w:val="Quote"/>
    <w:uiPriority w:val="29"/>
    <w:rsid w:val="00770AF2"/>
    <w:rPr>
      <w:i/>
      <w:iCs/>
      <w:color w:val="404040" w:themeColor="text1" w:themeTint="BF"/>
    </w:rPr>
  </w:style>
  <w:style w:type="paragraph" w:styleId="ListParagraph">
    <w:name w:val="List Paragraph"/>
    <w:basedOn w:val="Normal"/>
    <w:uiPriority w:val="34"/>
    <w:qFormat/>
    <w:rsid w:val="00770AF2"/>
    <w:pPr>
      <w:ind w:left="720"/>
      <w:contextualSpacing/>
    </w:pPr>
  </w:style>
  <w:style w:type="character" w:styleId="IntenseEmphasis">
    <w:name w:val="Intense Emphasis"/>
    <w:basedOn w:val="DefaultParagraphFont"/>
    <w:uiPriority w:val="21"/>
    <w:qFormat/>
    <w:rsid w:val="00770AF2"/>
    <w:rPr>
      <w:i/>
      <w:iCs/>
      <w:color w:val="0F4761" w:themeColor="accent1" w:themeShade="BF"/>
    </w:rPr>
  </w:style>
  <w:style w:type="paragraph" w:styleId="IntenseQuote">
    <w:name w:val="Intense Quote"/>
    <w:basedOn w:val="Normal"/>
    <w:next w:val="Normal"/>
    <w:link w:val="IntenseQuoteChar"/>
    <w:uiPriority w:val="30"/>
    <w:qFormat/>
    <w:rsid w:val="00770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AF2"/>
    <w:rPr>
      <w:i/>
      <w:iCs/>
      <w:color w:val="0F4761" w:themeColor="accent1" w:themeShade="BF"/>
    </w:rPr>
  </w:style>
  <w:style w:type="character" w:styleId="IntenseReference">
    <w:name w:val="Intense Reference"/>
    <w:basedOn w:val="DefaultParagraphFont"/>
    <w:uiPriority w:val="32"/>
    <w:qFormat/>
    <w:rsid w:val="00770AF2"/>
    <w:rPr>
      <w:b/>
      <w:bCs/>
      <w:smallCaps/>
      <w:color w:val="0F4761" w:themeColor="accent1" w:themeShade="BF"/>
      <w:spacing w:val="5"/>
    </w:rPr>
  </w:style>
  <w:style w:type="paragraph" w:customStyle="1" w:styleId="pf0">
    <w:name w:val="pf0"/>
    <w:basedOn w:val="Normal"/>
    <w:rsid w:val="00770AF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770AF2"/>
    <w:rPr>
      <w:rFonts w:ascii="Segoe UI" w:hAnsi="Segoe UI" w:cs="Segoe UI" w:hint="default"/>
      <w:sz w:val="18"/>
      <w:szCs w:val="18"/>
    </w:rPr>
  </w:style>
  <w:style w:type="paragraph" w:styleId="NormalWeb">
    <w:name w:val="Normal (Web)"/>
    <w:basedOn w:val="Normal"/>
    <w:uiPriority w:val="99"/>
    <w:unhideWhenUsed/>
    <w:rsid w:val="00770AF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770A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AF2"/>
    <w:rPr>
      <w:sz w:val="22"/>
      <w:szCs w:val="22"/>
    </w:rPr>
  </w:style>
  <w:style w:type="paragraph" w:styleId="Footer">
    <w:name w:val="footer"/>
    <w:basedOn w:val="Normal"/>
    <w:link w:val="FooterChar"/>
    <w:uiPriority w:val="99"/>
    <w:unhideWhenUsed/>
    <w:rsid w:val="00770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AF2"/>
    <w:rPr>
      <w:sz w:val="22"/>
      <w:szCs w:val="22"/>
    </w:rPr>
  </w:style>
  <w:style w:type="paragraph" w:customStyle="1" w:styleId="Default">
    <w:name w:val="Default"/>
    <w:rsid w:val="00770AF2"/>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770AF2"/>
    <w:rPr>
      <w:color w:val="467886" w:themeColor="hyperlink"/>
      <w:u w:val="single"/>
    </w:rPr>
  </w:style>
  <w:style w:type="character" w:styleId="UnresolvedMention">
    <w:name w:val="Unresolved Mention"/>
    <w:basedOn w:val="DefaultParagraphFont"/>
    <w:uiPriority w:val="99"/>
    <w:semiHidden/>
    <w:unhideWhenUsed/>
    <w:rsid w:val="00770AF2"/>
    <w:rPr>
      <w:color w:val="605E5C"/>
      <w:shd w:val="clear" w:color="auto" w:fill="E1DFDD"/>
    </w:rPr>
  </w:style>
  <w:style w:type="paragraph" w:styleId="Revision">
    <w:name w:val="Revision"/>
    <w:hidden/>
    <w:uiPriority w:val="99"/>
    <w:semiHidden/>
    <w:rsid w:val="005B394A"/>
    <w:pPr>
      <w:spacing w:after="0" w:line="240" w:lineRule="auto"/>
    </w:pPr>
    <w:rPr>
      <w:sz w:val="22"/>
      <w:szCs w:val="22"/>
    </w:rPr>
  </w:style>
  <w:style w:type="character" w:styleId="FollowedHyperlink">
    <w:name w:val="FollowedHyperlink"/>
    <w:basedOn w:val="DefaultParagraphFont"/>
    <w:uiPriority w:val="99"/>
    <w:semiHidden/>
    <w:unhideWhenUsed/>
    <w:rsid w:val="00E65908"/>
    <w:rPr>
      <w:color w:val="96607D" w:themeColor="followedHyperlink"/>
      <w:u w:val="single"/>
    </w:rPr>
  </w:style>
  <w:style w:type="character" w:styleId="CommentReference">
    <w:name w:val="annotation reference"/>
    <w:basedOn w:val="DefaultParagraphFont"/>
    <w:uiPriority w:val="99"/>
    <w:semiHidden/>
    <w:unhideWhenUsed/>
    <w:rsid w:val="00ED02D6"/>
    <w:rPr>
      <w:sz w:val="16"/>
      <w:szCs w:val="16"/>
    </w:rPr>
  </w:style>
  <w:style w:type="paragraph" w:styleId="CommentText">
    <w:name w:val="annotation text"/>
    <w:basedOn w:val="Normal"/>
    <w:link w:val="CommentTextChar"/>
    <w:uiPriority w:val="99"/>
    <w:unhideWhenUsed/>
    <w:rsid w:val="00ED02D6"/>
    <w:pPr>
      <w:spacing w:line="240" w:lineRule="auto"/>
    </w:pPr>
    <w:rPr>
      <w:sz w:val="20"/>
      <w:szCs w:val="20"/>
    </w:rPr>
  </w:style>
  <w:style w:type="character" w:customStyle="1" w:styleId="CommentTextChar">
    <w:name w:val="Comment Text Char"/>
    <w:basedOn w:val="DefaultParagraphFont"/>
    <w:link w:val="CommentText"/>
    <w:uiPriority w:val="99"/>
    <w:rsid w:val="00ED02D6"/>
    <w:rPr>
      <w:sz w:val="20"/>
      <w:szCs w:val="20"/>
    </w:rPr>
  </w:style>
  <w:style w:type="paragraph" w:styleId="CommentSubject">
    <w:name w:val="annotation subject"/>
    <w:basedOn w:val="CommentText"/>
    <w:next w:val="CommentText"/>
    <w:link w:val="CommentSubjectChar"/>
    <w:uiPriority w:val="99"/>
    <w:semiHidden/>
    <w:unhideWhenUsed/>
    <w:rsid w:val="00ED02D6"/>
    <w:rPr>
      <w:b/>
      <w:bCs/>
    </w:rPr>
  </w:style>
  <w:style w:type="character" w:customStyle="1" w:styleId="CommentSubjectChar">
    <w:name w:val="Comment Subject Char"/>
    <w:basedOn w:val="CommentTextChar"/>
    <w:link w:val="CommentSubject"/>
    <w:uiPriority w:val="99"/>
    <w:semiHidden/>
    <w:rsid w:val="00ED0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ilii.org/ew/cases/EWCA/Crim/2015/960.html" TargetMode="External"/><Relationship Id="rId18" Type="http://schemas.openxmlformats.org/officeDocument/2006/relationships/hyperlink" Target="https://sentencingcouncil.org.uk/resources/guideline-history/environmental-offenc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entencingcouncil.org.uk/resources/guideline-history/environmental-offences/" TargetMode="External"/><Relationship Id="rId17" Type="http://schemas.openxmlformats.org/officeDocument/2006/relationships/hyperlink" Target="https://www.gov.uk/government/publications/offence-response-options-environment-agency"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courts-tribunals/first-tier-tribunal-general-regulatory-chamber" TargetMode="External"/><Relationship Id="rId20" Type="http://schemas.openxmlformats.org/officeDocument/2006/relationships/hyperlink" Target="https://www.gov.uk/guidance/environmental-fines-or-notices-appeal-against-a-regula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offence-response-options-environment-agenc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judiciary.uk/courts-and-tribunals/tribunals/first-tier-tribunal/general-regulatory-chamber/general-regulatory-chamber-guidance-and-informatio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ailii.org/ew/cases/EWCA/Crim/2015/960.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environmental-fines-or-notices-appeal-against-a-regulator"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Civil Penalties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 and B Water Regulation Programmes</Team>
    <n7493b4506bf40e28c373b1e51a33445 xmlns="662745e8-e224-48e8-a2e3-254862b8c2f5">
      <Terms xmlns="http://schemas.microsoft.com/office/infopath/2007/PartnerControls"/>
    </n7493b4506bf40e28c373b1e51a33445>
  </documentManagement>
</p:properti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1EAA7-5AE1-42C9-9789-2658E6418E50}">
  <ds:schemaRefs>
    <ds:schemaRef ds:uri="http://schemas.microsoft.com/office/2006/metadata/properties"/>
    <ds:schemaRef ds:uri="http://schemas.microsoft.com/office/infopath/2007/PartnerControls"/>
    <ds:schemaRef ds:uri="662745e8-e224-48e8-a2e3-254862b8c2f5"/>
  </ds:schemaRefs>
</ds:datastoreItem>
</file>

<file path=customXml/itemProps2.xml><?xml version="1.0" encoding="utf-8"?>
<ds:datastoreItem xmlns:ds="http://schemas.openxmlformats.org/officeDocument/2006/customXml" ds:itemID="{D11040C3-2AED-4996-B5A0-02F2343F3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D9341-84C4-42EB-B369-15B527AF87F7}">
  <ds:schemaRefs>
    <ds:schemaRef ds:uri="Microsoft.SharePoint.Taxonomy.ContentTypeSync"/>
  </ds:schemaRefs>
</ds:datastoreItem>
</file>

<file path=customXml/itemProps4.xml><?xml version="1.0" encoding="utf-8"?>
<ds:datastoreItem xmlns:ds="http://schemas.openxmlformats.org/officeDocument/2006/customXml" ds:itemID="{C3D03499-9B65-44FE-A42F-0F2BA97B5C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5443</Words>
  <Characters>31026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Terry</dc:creator>
  <cp:keywords/>
  <dc:description/>
  <cp:lastModifiedBy>Tamsin Appleton</cp:lastModifiedBy>
  <cp:revision>2</cp:revision>
  <dcterms:created xsi:type="dcterms:W3CDTF">2026-07-28T08:51:00Z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0x010100A5BF1C78D9F64B679A5EBDE1C6598EBC0100BCCBFB28573E494887D17A9C21003EF8</vt:lpwstr>
  </property>
  <property fmtid="{D5CDD505-2E9C-101B-9397-08002B2CF9AE}" pid="3" name="InformationType">
    <vt:lpwstr/>
  </property>
  <property fmtid="{D5CDD505-2E9C-101B-9397-08002B2CF9AE}" pid="4" name="Distribution">
    <vt:lpwstr>5;#Internal EA|b77da37e-7166-4741-8c12-4679faab22d9</vt:lpwstr>
  </property>
  <property fmtid="{D5CDD505-2E9C-101B-9397-08002B2CF9AE}" pid="5" name="MediaServiceImageTags">
    <vt:lpwstr/>
  </property>
  <property fmtid="{D5CDD505-2E9C-101B-9397-08002B2CF9AE}" pid="6" name="HOCopyrightLevel">
    <vt:lpwstr>2;#Crown|69589897-2828-4761-976e-717fd8e631c9</vt:lpwstr>
  </property>
  <property fmtid="{D5CDD505-2E9C-101B-9397-08002B2CF9AE}" pid="7" name="lcf76f155ced4ddcb4097134ff3c332f">
    <vt:lpwstr/>
  </property>
  <property fmtid="{D5CDD505-2E9C-101B-9397-08002B2CF9AE}" pid="8" name="HOGovernmentSecurityClassification">
    <vt:lpwstr>1;#Official|14c80daa-741b-422c-9722-f71693c9ede4</vt:lpwstr>
  </property>
  <property fmtid="{D5CDD505-2E9C-101B-9397-08002B2CF9AE}" pid="9" name="HOSiteType">
    <vt:lpwstr/>
  </property>
  <property fmtid="{D5CDD505-2E9C-101B-9397-08002B2CF9AE}" pid="10" name="OrganisationalUnit">
    <vt:lpwstr>4;#EA|d5f78ddb-b1b6-4328-9877-d7e3ed06fdac</vt:lpwstr>
  </property>
</Properties>
</file>